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rPr>
      </w:pP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rPr>
      </w:pPr>
      <w:bookmarkStart w:id="0" w:name="_GoBack"/>
      <w:bookmarkEnd w:id="0"/>
      <w:r>
        <w:rPr>
          <w:rFonts w:hint="eastAsia" w:ascii="方正小标宋简体" w:hAnsi="方正小标宋简体" w:eastAsia="方正小标宋简体" w:cs="方正小标宋简体"/>
          <w:color w:val="000000"/>
          <w:sz w:val="44"/>
          <w:szCs w:val="44"/>
        </w:rPr>
        <w:t>职业病危害监测及评价管理制度</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编制要点</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明确职业病危害日常检测及评价管理制度的目的、依据。</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确定职业病危害日常检测及评价管理负责部门、责任人。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明确职业病危害因素的检测人员、检测场所、检测周期、检测标准和依据、检测内容、检测设备、检测方法和检测要求、上报要求、备档要求。</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明确对职业病危害因素检测后的评价分析、评价结果、预防和整改和治理措施、上报内容及时限。</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明确作业场所职业病危害因素检测结果公布地点及事宜。</w:t>
      </w:r>
    </w:p>
    <w:p>
      <w:pPr>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color w:val="000000"/>
          <w:sz w:val="32"/>
          <w:szCs w:val="32"/>
        </w:rPr>
      </w:pP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职业病危害监测及评价管理制度</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color w:val="000000"/>
          <w:sz w:val="44"/>
          <w:szCs w:val="44"/>
        </w:rPr>
      </w:pP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为做好用人单位职业病危害检测与评价工作，使作业场所职业病危害因素的强度或浓度符合国家职业卫生标准，有效预防职业病危害，切实保障员工健康，根据《职业病防治法》</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《工作场所职业卫生监督管理规定》的有关规定，制定本制度。</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w:t>
      </w:r>
      <w:r>
        <w:rPr>
          <w:rFonts w:hint="eastAsia" w:ascii="仿宋_GB2312" w:hAnsi="仿宋_GB2312" w:eastAsia="仿宋_GB2312" w:cs="仿宋_GB2312"/>
          <w:sz w:val="32"/>
          <w:szCs w:val="32"/>
        </w:rPr>
        <w:t>职业卫生管理机构负责本单位职业病危害因素检测及评价管理制度的实施与监督，并做好制定、修订和落实工作。</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w:t>
      </w:r>
      <w:r>
        <w:rPr>
          <w:rFonts w:hint="eastAsia" w:ascii="仿宋_GB2312" w:hAnsi="仿宋_GB2312" w:eastAsia="仿宋_GB2312" w:cs="仿宋_GB2312"/>
          <w:sz w:val="32"/>
          <w:szCs w:val="32"/>
        </w:rPr>
        <w:t>职业卫生管理部门牵头，负责组织各个生产车间等对生产作业场所存在的粉尘、噪声、高温、毒物等危害因素及危害点进行确定和辨识，并按照职业卫生管理标准进行定期检测及评估，确定每一个点的危害程度。</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w:t>
      </w:r>
      <w:r>
        <w:rPr>
          <w:rFonts w:hint="eastAsia" w:ascii="仿宋_GB2312" w:hAnsi="仿宋_GB2312" w:eastAsia="仿宋_GB2312" w:cs="仿宋_GB2312"/>
          <w:sz w:val="32"/>
          <w:szCs w:val="32"/>
        </w:rPr>
        <w:t>用人单位应设置设专人，负责日常监测和管理工作，建立本单位的职业病危害因素监测档案，并妥善保存。</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w:t>
      </w:r>
      <w:r>
        <w:rPr>
          <w:rFonts w:hint="eastAsia" w:ascii="仿宋_GB2312" w:hAnsi="仿宋_GB2312" w:eastAsia="仿宋_GB2312" w:cs="仿宋_GB2312"/>
          <w:sz w:val="32"/>
          <w:szCs w:val="32"/>
        </w:rPr>
        <w:t>职业卫生管理部门负责联系职业卫生技术服务机构，定期对作业现场的危害因素进行检测及评价</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w:t>
      </w:r>
      <w:r>
        <w:rPr>
          <w:rFonts w:hint="eastAsia" w:ascii="仿宋_GB2312" w:hAnsi="仿宋_GB2312" w:eastAsia="仿宋_GB2312" w:cs="仿宋_GB2312"/>
          <w:sz w:val="32"/>
          <w:szCs w:val="32"/>
        </w:rPr>
        <w:t>职业病危害严重的用人单位，应当委托具有相应资质的职业卫生技术服务机构，每年至少进行一次职业病危害因素检测，每三年至少进行一次职业病危害现状评价。</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职业病危害一般的用人单位，应当委托具有相应资质的职业卫生技术服务机构，每三年至少进行一次职业病危害因素检测。</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w:t>
      </w:r>
      <w:r>
        <w:rPr>
          <w:rFonts w:hint="eastAsia" w:ascii="仿宋_GB2312" w:hAnsi="仿宋_GB2312" w:eastAsia="仿宋_GB2312" w:cs="仿宋_GB2312"/>
          <w:sz w:val="32"/>
          <w:szCs w:val="32"/>
        </w:rPr>
        <w:t>检测与评价结果应及时向劳动者公布，并上报当地</w:t>
      </w:r>
      <w:r>
        <w:rPr>
          <w:rFonts w:hint="eastAsia" w:ascii="仿宋_GB2312" w:hAnsi="仿宋_GB2312" w:eastAsia="仿宋_GB2312" w:cs="仿宋_GB2312"/>
          <w:sz w:val="32"/>
          <w:szCs w:val="32"/>
          <w:lang w:eastAsia="zh-CN"/>
        </w:rPr>
        <w:t>卫生健康监督管理</w:t>
      </w:r>
      <w:r>
        <w:rPr>
          <w:rFonts w:hint="eastAsia" w:ascii="仿宋_GB2312" w:hAnsi="仿宋_GB2312" w:eastAsia="仿宋_GB2312" w:cs="仿宋_GB2312"/>
          <w:sz w:val="32"/>
          <w:szCs w:val="32"/>
        </w:rPr>
        <w:t>部门备案。</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七、</w:t>
      </w:r>
      <w:r>
        <w:rPr>
          <w:rFonts w:hint="eastAsia" w:ascii="仿宋_GB2312" w:hAnsi="仿宋_GB2312" w:eastAsia="仿宋_GB2312" w:cs="仿宋_GB2312"/>
          <w:sz w:val="32"/>
          <w:szCs w:val="32"/>
        </w:rPr>
        <w:t>检测或者评价人员进入现场必须佩戴安全帽、工作服、防护手套、防护眼镜、防毒面罩等相关防护用品。</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八、</w:t>
      </w:r>
      <w:r>
        <w:rPr>
          <w:rFonts w:hint="eastAsia" w:ascii="仿宋_GB2312" w:hAnsi="仿宋_GB2312" w:eastAsia="仿宋_GB2312" w:cs="仿宋_GB2312"/>
          <w:sz w:val="32"/>
          <w:szCs w:val="32"/>
        </w:rPr>
        <w:t>有新、改、扩建的工程建设项目和技术改造项目，可能产生职业病危害的，应当按照有关规定，进行职业病危害预评价、职业病防护设施设计、职业病危害控制效果评价。</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九、</w:t>
      </w:r>
      <w:r>
        <w:rPr>
          <w:rFonts w:hint="eastAsia" w:ascii="仿宋_GB2312" w:hAnsi="仿宋_GB2312" w:eastAsia="仿宋_GB2312" w:cs="仿宋_GB2312"/>
          <w:sz w:val="32"/>
          <w:szCs w:val="32"/>
        </w:rPr>
        <w:t>检测结果发现作业场所职业病危害因素浓度或强度超过职业接触限值时，应及时采取有效的治理措施，治理措施难度较大的应制订规划，限期整改到位。</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十、</w:t>
      </w:r>
      <w:r>
        <w:rPr>
          <w:rFonts w:hint="eastAsia" w:ascii="仿宋_GB2312" w:hAnsi="仿宋_GB2312" w:eastAsia="仿宋_GB2312" w:cs="仿宋_GB2312"/>
          <w:sz w:val="32"/>
          <w:szCs w:val="32"/>
        </w:rPr>
        <w:t>职业病危害防护设施在投入使用前和设备大修后，应进行危害因素浓度或强度检测和评价。</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十一、</w:t>
      </w:r>
      <w:r>
        <w:rPr>
          <w:rFonts w:hint="eastAsia" w:ascii="仿宋_GB2312" w:hAnsi="仿宋_GB2312" w:eastAsia="仿宋_GB2312" w:cs="仿宋_GB2312"/>
          <w:sz w:val="32"/>
          <w:szCs w:val="32"/>
        </w:rPr>
        <w:t>职业卫生管理部门应制定年度检测计划和经费预算，财务部门要保障检测经费的落实。</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F7A28"/>
    <w:rsid w:val="19EF7A28"/>
    <w:rsid w:val="43787E08"/>
    <w:rsid w:val="7F244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2022-07-27T06:13:00Z</dcterms:created>
  <dc:creator>千月</dc:creator>
  <cp:lastModifiedBy>千月</cp:lastModifiedBy>
  <dcterms:modified xsi:type="dcterms:W3CDTF">2022-08-08T08:57:06Z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