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C8" w:rsidRPr="00664015" w:rsidRDefault="00BA6CC8" w:rsidP="00664015">
      <w:pPr>
        <w:snapToGrid w:val="0"/>
        <w:spacing w:line="360" w:lineRule="auto"/>
        <w:jc w:val="center"/>
        <w:rPr>
          <w:rFonts w:ascii="宋体" w:cs="Times New Roman"/>
          <w:b/>
          <w:snapToGrid w:val="0"/>
          <w:kern w:val="0"/>
          <w:sz w:val="36"/>
          <w:szCs w:val="36"/>
        </w:rPr>
      </w:pPr>
      <w:r>
        <w:rPr>
          <w:rFonts w:ascii="仿宋_GB2312" w:eastAsia="仿宋_GB2312" w:hAnsi="仿宋" w:cs="Times New Roman"/>
          <w:b/>
          <w:sz w:val="44"/>
          <w:szCs w:val="44"/>
        </w:rPr>
        <w:t xml:space="preserve">  </w:t>
      </w:r>
      <w:r w:rsidRPr="00664015">
        <w:rPr>
          <w:rFonts w:ascii="宋体" w:hAnsi="宋体" w:cs="Times New Roman" w:hint="eastAsia"/>
          <w:b/>
          <w:snapToGrid w:val="0"/>
          <w:kern w:val="0"/>
          <w:sz w:val="36"/>
          <w:szCs w:val="36"/>
        </w:rPr>
        <w:t>北京市东城区园林绿化局</w:t>
      </w:r>
    </w:p>
    <w:p w:rsidR="00BA6CC8" w:rsidRPr="00664015" w:rsidRDefault="00BA6CC8" w:rsidP="00664015">
      <w:pPr>
        <w:snapToGrid w:val="0"/>
        <w:spacing w:line="360" w:lineRule="auto"/>
        <w:jc w:val="center"/>
        <w:rPr>
          <w:rFonts w:ascii="宋体" w:cs="Times New Roman"/>
          <w:b/>
          <w:snapToGrid w:val="0"/>
          <w:kern w:val="0"/>
          <w:sz w:val="36"/>
          <w:szCs w:val="36"/>
        </w:rPr>
      </w:pPr>
      <w:r w:rsidRPr="00664015">
        <w:rPr>
          <w:rFonts w:ascii="宋体" w:hAnsi="宋体" w:cs="Times New Roman"/>
          <w:b/>
          <w:snapToGrid w:val="0"/>
          <w:kern w:val="0"/>
          <w:sz w:val="36"/>
          <w:szCs w:val="36"/>
        </w:rPr>
        <w:t>2019</w:t>
      </w:r>
      <w:r w:rsidRPr="00664015">
        <w:rPr>
          <w:rFonts w:ascii="宋体" w:hAnsi="宋体" w:cs="Times New Roman" w:hint="eastAsia"/>
          <w:b/>
          <w:snapToGrid w:val="0"/>
          <w:kern w:val="0"/>
          <w:sz w:val="36"/>
          <w:szCs w:val="36"/>
        </w:rPr>
        <w:t>年全区园林绿化裸露地生态治理工程项目</w:t>
      </w:r>
    </w:p>
    <w:p w:rsidR="00BA6CC8" w:rsidRPr="00664015" w:rsidRDefault="00BA6CC8" w:rsidP="00664015">
      <w:pPr>
        <w:snapToGrid w:val="0"/>
        <w:spacing w:line="360" w:lineRule="auto"/>
        <w:jc w:val="center"/>
        <w:rPr>
          <w:rFonts w:ascii="宋体" w:cs="Times New Roman"/>
          <w:b/>
          <w:snapToGrid w:val="0"/>
          <w:kern w:val="0"/>
          <w:sz w:val="36"/>
          <w:szCs w:val="36"/>
        </w:rPr>
      </w:pPr>
      <w:r w:rsidRPr="00664015">
        <w:rPr>
          <w:rFonts w:ascii="宋体" w:hAnsi="宋体" w:cs="Times New Roman" w:hint="eastAsia"/>
          <w:b/>
          <w:snapToGrid w:val="0"/>
          <w:kern w:val="0"/>
          <w:sz w:val="36"/>
          <w:szCs w:val="36"/>
        </w:rPr>
        <w:t>绩效评价报告</w:t>
      </w:r>
    </w:p>
    <w:p w:rsidR="00BA6CC8" w:rsidRDefault="00BA6CC8">
      <w:pPr>
        <w:adjustRightInd w:val="0"/>
        <w:spacing w:line="480" w:lineRule="auto"/>
        <w:ind w:firstLineChars="200" w:firstLine="640"/>
        <w:rPr>
          <w:rFonts w:ascii="仿宋_GB2312" w:eastAsia="仿宋_GB2312" w:hAnsi="仿宋" w:cs="Times New Roman"/>
          <w:sz w:val="32"/>
          <w:szCs w:val="32"/>
        </w:rPr>
      </w:pPr>
    </w:p>
    <w:p w:rsidR="00BA6CC8" w:rsidRDefault="00BA6CC8">
      <w:pPr>
        <w:adjustRightInd w:val="0"/>
        <w:spacing w:line="48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为进一步推进政府绩效管理和财政科学化精细化管理，合理配置资源，优化支出结构，规范预算资金分配，提高财政资金的使用效益，根据《北京市东城区区级预算部门组织财政项目支出绩效评价规范》（东财发〔</w:t>
      </w:r>
      <w:r>
        <w:rPr>
          <w:rFonts w:ascii="仿宋_GB2312" w:eastAsia="仿宋_GB2312" w:hAnsi="仿宋" w:cs="Times New Roman"/>
          <w:sz w:val="32"/>
          <w:szCs w:val="32"/>
        </w:rPr>
        <w:t>2013</w:t>
      </w:r>
      <w:r>
        <w:rPr>
          <w:rFonts w:ascii="仿宋_GB2312" w:eastAsia="仿宋_GB2312" w:hAnsi="仿宋" w:cs="Times New Roman" w:hint="eastAsia"/>
          <w:sz w:val="32"/>
          <w:szCs w:val="32"/>
        </w:rPr>
        <w:t>〕</w:t>
      </w:r>
      <w:r>
        <w:rPr>
          <w:rFonts w:ascii="仿宋_GB2312" w:eastAsia="仿宋_GB2312" w:hAnsi="仿宋" w:cs="Times New Roman"/>
          <w:sz w:val="32"/>
          <w:szCs w:val="32"/>
        </w:rPr>
        <w:t>304</w:t>
      </w:r>
      <w:r>
        <w:rPr>
          <w:rFonts w:ascii="仿宋_GB2312" w:eastAsia="仿宋_GB2312" w:hAnsi="仿宋" w:cs="Times New Roman" w:hint="eastAsia"/>
          <w:sz w:val="32"/>
          <w:szCs w:val="32"/>
        </w:rPr>
        <w:t>号）、《关于开展</w:t>
      </w:r>
      <w:r>
        <w:rPr>
          <w:rFonts w:ascii="仿宋_GB2312" w:eastAsia="仿宋_GB2312" w:hAnsi="仿宋" w:cs="Times New Roman"/>
          <w:sz w:val="32"/>
          <w:szCs w:val="32"/>
        </w:rPr>
        <w:t>2020</w:t>
      </w:r>
      <w:r>
        <w:rPr>
          <w:rFonts w:ascii="仿宋_GB2312" w:eastAsia="仿宋_GB2312" w:hAnsi="仿宋" w:cs="Times New Roman" w:hint="eastAsia"/>
          <w:sz w:val="32"/>
          <w:szCs w:val="32"/>
        </w:rPr>
        <w:t>年东城区财政支出绩效评价工作的通知》（东财发</w:t>
      </w:r>
      <w:r>
        <w:rPr>
          <w:rFonts w:ascii="仿宋_GB2312" w:eastAsia="仿宋_GB2312" w:hAnsi="仿宋" w:cs="Times New Roman"/>
          <w:sz w:val="32"/>
          <w:szCs w:val="32"/>
        </w:rPr>
        <w:t>[2020]200</w:t>
      </w:r>
      <w:r>
        <w:rPr>
          <w:rFonts w:ascii="仿宋_GB2312" w:eastAsia="仿宋_GB2312" w:hAnsi="仿宋" w:cs="Times New Roman" w:hint="eastAsia"/>
          <w:sz w:val="32"/>
          <w:szCs w:val="32"/>
        </w:rPr>
        <w:t>号）文件的规定北京市东城区财政局绩效评价科成立了项目绩效评价工作组，对北京市东城区园林绿化局（以下简称“东城区园林局”）“全区园林绿化裸露地生态治理工程”项目进行绩效评价，形成本绩效评价报告。</w:t>
      </w:r>
    </w:p>
    <w:p w:rsidR="00BA6CC8" w:rsidRDefault="00BA6CC8">
      <w:pPr>
        <w:keepNext/>
        <w:keepLines/>
        <w:spacing w:line="480" w:lineRule="auto"/>
        <w:ind w:firstLineChars="196" w:firstLine="630"/>
        <w:outlineLvl w:val="0"/>
        <w:rPr>
          <w:rFonts w:ascii="仿宋_GB2312" w:eastAsia="仿宋_GB2312" w:cs="Times New Roman"/>
          <w:b/>
          <w:bCs/>
          <w:kern w:val="44"/>
          <w:sz w:val="32"/>
          <w:szCs w:val="32"/>
        </w:rPr>
      </w:pPr>
      <w:bookmarkStart w:id="0" w:name="_Toc450915840"/>
      <w:r>
        <w:rPr>
          <w:rFonts w:ascii="仿宋_GB2312" w:eastAsia="仿宋_GB2312" w:cs="Times New Roman" w:hint="eastAsia"/>
          <w:b/>
          <w:bCs/>
          <w:kern w:val="44"/>
          <w:sz w:val="32"/>
          <w:szCs w:val="32"/>
        </w:rPr>
        <w:t>一、项目概况</w:t>
      </w:r>
      <w:bookmarkEnd w:id="0"/>
    </w:p>
    <w:p w:rsidR="00BA6CC8" w:rsidRDefault="00BA6CC8">
      <w:pPr>
        <w:keepNext/>
        <w:keepLines/>
        <w:spacing w:line="480" w:lineRule="auto"/>
        <w:outlineLvl w:val="1"/>
        <w:rPr>
          <w:rFonts w:ascii="仿宋_GB2312" w:eastAsia="仿宋_GB2312" w:hAnsi="仿宋" w:cs="Times New Roman"/>
          <w:b/>
          <w:sz w:val="32"/>
          <w:szCs w:val="32"/>
        </w:rPr>
      </w:pPr>
      <w:r>
        <w:rPr>
          <w:rFonts w:ascii="仿宋_GB2312" w:eastAsia="仿宋_GB2312" w:hAnsi="Cambria" w:cs="Times New Roman"/>
          <w:bCs/>
          <w:sz w:val="32"/>
          <w:szCs w:val="32"/>
        </w:rPr>
        <w:t xml:space="preserve">   </w:t>
      </w:r>
      <w:r>
        <w:rPr>
          <w:rFonts w:ascii="仿宋_GB2312" w:eastAsia="仿宋_GB2312" w:hAnsi="仿宋" w:cs="Times New Roman"/>
          <w:b/>
          <w:sz w:val="32"/>
          <w:szCs w:val="32"/>
        </w:rPr>
        <w:t xml:space="preserve"> </w:t>
      </w:r>
      <w:bookmarkStart w:id="1" w:name="_Toc450915841"/>
      <w:r>
        <w:rPr>
          <w:rFonts w:ascii="仿宋_GB2312" w:eastAsia="仿宋_GB2312" w:hAnsi="仿宋" w:cs="Times New Roman" w:hint="eastAsia"/>
          <w:b/>
          <w:sz w:val="32"/>
          <w:szCs w:val="32"/>
        </w:rPr>
        <w:t>（一）项目概况</w:t>
      </w:r>
      <w:bookmarkEnd w:id="1"/>
    </w:p>
    <w:p w:rsidR="00BA6CC8" w:rsidRDefault="00BA6CC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据《北京市打赢蓝天保卫战三年行动计划》、《北京市大气污染综合治理领导小组办公室关于加强裸露地面扬尘污染控制工作的通知》、《北京市园林绿化局关于加强园林绿化裸露地生态治理工作的意见》、《东城区大气污染防治精细化提升工作方案》、《东城区裸露地面扬尘污染管控方案》、《东城区大气污染综合治理领导小组办公室关于加强绿化用地扬尘污染控制的通知》、《关于研究</w:t>
      </w:r>
      <w:r>
        <w:rPr>
          <w:rFonts w:ascii="仿宋_GB2312" w:eastAsia="仿宋_GB2312" w:hAnsi="仿宋" w:cs="Times New Roman"/>
          <w:sz w:val="32"/>
          <w:szCs w:val="32"/>
        </w:rPr>
        <w:t>&lt;</w:t>
      </w:r>
      <w:r>
        <w:rPr>
          <w:rFonts w:ascii="仿宋_GB2312" w:eastAsia="仿宋_GB2312" w:hAnsi="仿宋" w:cs="Times New Roman" w:hint="eastAsia"/>
          <w:sz w:val="32"/>
          <w:szCs w:val="32"/>
        </w:rPr>
        <w:t>试点街道园林绿化裸露地生态治理设计方案</w:t>
      </w:r>
      <w:r>
        <w:rPr>
          <w:rFonts w:ascii="仿宋_GB2312" w:eastAsia="仿宋_GB2312" w:hAnsi="仿宋" w:cs="Times New Roman"/>
          <w:sz w:val="32"/>
          <w:szCs w:val="32"/>
        </w:rPr>
        <w:t>&gt;</w:t>
      </w:r>
      <w:r>
        <w:rPr>
          <w:rFonts w:ascii="仿宋_GB2312" w:eastAsia="仿宋_GB2312" w:hAnsi="仿宋" w:cs="Times New Roman" w:hint="eastAsia"/>
          <w:sz w:val="32"/>
          <w:szCs w:val="32"/>
        </w:rPr>
        <w:t>等工作的会议纪要》等文件要求，在试点街道园林绿化裸露地治理经验基础上，东城区园林局于</w:t>
      </w:r>
      <w:r>
        <w:rPr>
          <w:rFonts w:ascii="仿宋_GB2312" w:eastAsia="仿宋_GB2312" w:hAnsi="仿宋" w:cs="Times New Roman"/>
          <w:sz w:val="32"/>
          <w:szCs w:val="32"/>
        </w:rPr>
        <w:t>2019</w:t>
      </w:r>
      <w:r>
        <w:rPr>
          <w:rFonts w:ascii="仿宋_GB2312" w:eastAsia="仿宋_GB2312" w:hAnsi="仿宋" w:cs="Times New Roman" w:hint="eastAsia"/>
          <w:sz w:val="32"/>
          <w:szCs w:val="32"/>
        </w:rPr>
        <w:t>年对全区园林绿化裸露地进行摸排治理，目的是通过地被植物与覆盖物的科学应用，提升东城区园林绿地的稳定性与生态承载力，使其在改善空气质量、滞留大气污染物方面发挥更好的生态效益。</w:t>
      </w:r>
    </w:p>
    <w:p w:rsidR="00BA6CC8" w:rsidRDefault="00BA6CC8">
      <w:pPr>
        <w:keepNext/>
        <w:keepLines/>
        <w:spacing w:line="480" w:lineRule="auto"/>
        <w:outlineLvl w:val="1"/>
        <w:rPr>
          <w:rFonts w:ascii="仿宋_GB2312" w:eastAsia="仿宋_GB2312" w:hAnsi="仿宋" w:cs="Times New Roman"/>
          <w:b/>
          <w:sz w:val="32"/>
          <w:szCs w:val="32"/>
        </w:rPr>
      </w:pPr>
      <w:r>
        <w:rPr>
          <w:rFonts w:ascii="仿宋_GB2312" w:eastAsia="仿宋_GB2312" w:hAnsi="Cambria" w:cs="Times New Roman"/>
          <w:bCs/>
          <w:sz w:val="32"/>
          <w:szCs w:val="32"/>
        </w:rPr>
        <w:t xml:space="preserve">    </w:t>
      </w:r>
      <w:bookmarkStart w:id="2" w:name="_Toc450915842"/>
      <w:r>
        <w:rPr>
          <w:rFonts w:ascii="仿宋_GB2312" w:eastAsia="仿宋_GB2312" w:hAnsi="仿宋" w:cs="Times New Roman" w:hint="eastAsia"/>
          <w:b/>
          <w:sz w:val="32"/>
          <w:szCs w:val="32"/>
        </w:rPr>
        <w:t>（二）项目资金情况</w:t>
      </w:r>
      <w:bookmarkEnd w:id="2"/>
    </w:p>
    <w:p w:rsidR="00BA6CC8" w:rsidRDefault="00BA6CC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东城区园林局</w:t>
      </w: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“全区园林绿化裸露地生态治理工程”项目资金纳入</w:t>
      </w:r>
      <w:r>
        <w:rPr>
          <w:rFonts w:ascii="仿宋_GB2312" w:eastAsia="仿宋_GB2312" w:hAnsi="仿宋" w:cs="Times New Roman"/>
          <w:sz w:val="32"/>
          <w:szCs w:val="32"/>
        </w:rPr>
        <w:t>2019</w:t>
      </w:r>
      <w:r>
        <w:rPr>
          <w:rFonts w:ascii="仿宋_GB2312" w:eastAsia="仿宋_GB2312" w:hAnsi="仿宋" w:cs="Times New Roman" w:hint="eastAsia"/>
          <w:sz w:val="32"/>
          <w:szCs w:val="32"/>
        </w:rPr>
        <w:t>年区财政部门预算，项目预算总额</w:t>
      </w:r>
      <w:r>
        <w:rPr>
          <w:rFonts w:ascii="仿宋_GB2312" w:eastAsia="仿宋_GB2312" w:hAnsi="仿宋" w:cs="Times New Roman"/>
          <w:sz w:val="32"/>
          <w:szCs w:val="32"/>
        </w:rPr>
        <w:t>31,787,416.03</w:t>
      </w:r>
      <w:r>
        <w:rPr>
          <w:rFonts w:ascii="仿宋_GB2312" w:eastAsia="仿宋_GB2312" w:hAnsi="仿宋" w:cs="Times New Roman" w:hint="eastAsia"/>
          <w:sz w:val="32"/>
          <w:szCs w:val="32"/>
        </w:rPr>
        <w:t>元，截止到评价时，项目预算资金到位</w:t>
      </w:r>
      <w:r>
        <w:rPr>
          <w:rFonts w:ascii="仿宋_GB2312" w:eastAsia="仿宋_GB2312" w:hAnsi="仿宋" w:cs="Times New Roman"/>
          <w:sz w:val="32"/>
          <w:szCs w:val="32"/>
        </w:rPr>
        <w:t>31,787,416.03</w:t>
      </w:r>
      <w:r>
        <w:rPr>
          <w:rFonts w:ascii="仿宋_GB2312" w:eastAsia="仿宋_GB2312" w:hAnsi="仿宋" w:cs="Times New Roman" w:hint="eastAsia"/>
          <w:sz w:val="32"/>
          <w:szCs w:val="32"/>
        </w:rPr>
        <w:t>元，完成支付</w:t>
      </w:r>
      <w:r>
        <w:rPr>
          <w:rFonts w:ascii="仿宋_GB2312" w:eastAsia="仿宋_GB2312" w:hAnsi="仿宋" w:cs="Times New Roman"/>
          <w:sz w:val="32"/>
          <w:szCs w:val="32"/>
        </w:rPr>
        <w:t>31,787,416.03</w:t>
      </w:r>
      <w:r>
        <w:rPr>
          <w:rFonts w:ascii="仿宋_GB2312" w:eastAsia="仿宋_GB2312" w:hAnsi="仿宋" w:cs="Times New Roman" w:hint="eastAsia"/>
          <w:sz w:val="32"/>
          <w:szCs w:val="32"/>
        </w:rPr>
        <w:t>元，项目资金执行率</w:t>
      </w:r>
      <w:r>
        <w:rPr>
          <w:rFonts w:ascii="仿宋_GB2312" w:eastAsia="仿宋_GB2312" w:hAnsi="仿宋" w:cs="Times New Roman"/>
          <w:sz w:val="32"/>
          <w:szCs w:val="32"/>
        </w:rPr>
        <w:t>100%</w:t>
      </w:r>
      <w:r>
        <w:rPr>
          <w:rFonts w:ascii="仿宋_GB2312" w:eastAsia="仿宋_GB2312" w:hAnsi="仿宋" w:cs="Times New Roman" w:hint="eastAsia"/>
          <w:sz w:val="32"/>
          <w:szCs w:val="32"/>
        </w:rPr>
        <w:t>。</w:t>
      </w:r>
    </w:p>
    <w:p w:rsidR="00BA6CC8" w:rsidRDefault="00BA6CC8">
      <w:pPr>
        <w:keepNext/>
        <w:keepLines/>
        <w:spacing w:line="480" w:lineRule="auto"/>
        <w:outlineLvl w:val="1"/>
        <w:rPr>
          <w:rFonts w:ascii="仿宋_GB2312" w:eastAsia="仿宋_GB2312" w:hAnsi="仿宋" w:cs="Times New Roman"/>
          <w:b/>
          <w:sz w:val="32"/>
          <w:szCs w:val="32"/>
        </w:rPr>
      </w:pPr>
      <w:r>
        <w:rPr>
          <w:rFonts w:ascii="仿宋_GB2312" w:eastAsia="仿宋_GB2312" w:hAnsi="Cambria" w:cs="Times New Roman"/>
          <w:b/>
          <w:bCs/>
          <w:sz w:val="32"/>
          <w:szCs w:val="32"/>
        </w:rPr>
        <w:t xml:space="preserve">    </w:t>
      </w:r>
      <w:bookmarkStart w:id="3" w:name="_Toc450915843"/>
      <w:r>
        <w:rPr>
          <w:rFonts w:ascii="仿宋_GB2312" w:eastAsia="仿宋_GB2312" w:hAnsi="仿宋" w:cs="Times New Roman" w:hint="eastAsia"/>
          <w:b/>
          <w:sz w:val="32"/>
          <w:szCs w:val="32"/>
        </w:rPr>
        <w:t>（三）绩效目标</w:t>
      </w:r>
      <w:bookmarkEnd w:id="3"/>
    </w:p>
    <w:p w:rsidR="00BA6CC8" w:rsidRDefault="00BA6CC8">
      <w:pPr>
        <w:ind w:firstLineChars="200" w:firstLine="640"/>
        <w:rPr>
          <w:rFonts w:ascii="仿宋_GB2312" w:eastAsia="仿宋_GB2312" w:hAnsi="仿宋" w:cs="Times New Roman"/>
          <w:sz w:val="32"/>
          <w:szCs w:val="32"/>
          <w:highlight w:val="yellow"/>
        </w:rPr>
      </w:pPr>
      <w:r>
        <w:rPr>
          <w:rFonts w:ascii="仿宋_GB2312" w:eastAsia="仿宋_GB2312" w:hAnsi="仿宋" w:cs="Times New Roman" w:hint="eastAsia"/>
          <w:sz w:val="32"/>
          <w:szCs w:val="32"/>
        </w:rPr>
        <w:t>东城区园林局</w:t>
      </w:r>
      <w:r>
        <w:rPr>
          <w:rFonts w:ascii="仿宋_GB2312" w:eastAsia="仿宋_GB2312" w:hAnsi="仿宋" w:cs="Times New Roman"/>
          <w:sz w:val="32"/>
          <w:szCs w:val="32"/>
        </w:rPr>
        <w:t>2019</w:t>
      </w:r>
      <w:r>
        <w:rPr>
          <w:rFonts w:ascii="仿宋_GB2312" w:eastAsia="仿宋_GB2312" w:hAnsi="仿宋" w:cs="Times New Roman" w:hint="eastAsia"/>
          <w:sz w:val="32"/>
          <w:szCs w:val="32"/>
        </w:rPr>
        <w:t>年“全区园林绿化裸露地生态治理工程”项目绩效总目标为：</w:t>
      </w:r>
      <w:r w:rsidRPr="0093698D">
        <w:rPr>
          <w:rFonts w:ascii="仿宋_GB2312" w:eastAsia="仿宋_GB2312" w:hAnsi="仿宋" w:cs="Times New Roman" w:hint="eastAsia"/>
          <w:sz w:val="32"/>
          <w:szCs w:val="32"/>
        </w:rPr>
        <w:t>对全区</w:t>
      </w:r>
      <w:r w:rsidRPr="0093698D">
        <w:rPr>
          <w:rFonts w:ascii="仿宋_GB2312" w:eastAsia="仿宋_GB2312" w:hAnsi="仿宋" w:cs="Times New Roman"/>
          <w:sz w:val="32"/>
          <w:szCs w:val="32"/>
        </w:rPr>
        <w:t>2</w:t>
      </w:r>
      <w:r w:rsidRPr="0093698D">
        <w:rPr>
          <w:rFonts w:ascii="仿宋_GB2312" w:eastAsia="仿宋_GB2312" w:hAnsi="仿宋" w:cs="Times New Roman" w:hint="eastAsia"/>
          <w:sz w:val="32"/>
          <w:szCs w:val="32"/>
        </w:rPr>
        <w:t>个专业绿化队、</w:t>
      </w:r>
      <w:r w:rsidRPr="0093698D">
        <w:rPr>
          <w:rFonts w:ascii="仿宋_GB2312" w:eastAsia="仿宋_GB2312" w:hAnsi="仿宋" w:cs="Times New Roman"/>
          <w:sz w:val="32"/>
          <w:szCs w:val="32"/>
        </w:rPr>
        <w:t>8</w:t>
      </w:r>
      <w:r w:rsidRPr="0093698D">
        <w:rPr>
          <w:rFonts w:ascii="仿宋_GB2312" w:eastAsia="仿宋_GB2312" w:hAnsi="仿宋" w:cs="Times New Roman" w:hint="eastAsia"/>
          <w:sz w:val="32"/>
          <w:szCs w:val="32"/>
        </w:rPr>
        <w:t>个区属公园和其他</w:t>
      </w:r>
      <w:r w:rsidRPr="0093698D">
        <w:rPr>
          <w:rFonts w:ascii="仿宋_GB2312" w:eastAsia="仿宋_GB2312" w:hAnsi="仿宋" w:cs="Times New Roman"/>
          <w:sz w:val="32"/>
          <w:szCs w:val="32"/>
        </w:rPr>
        <w:t>11</w:t>
      </w:r>
      <w:r w:rsidRPr="0093698D">
        <w:rPr>
          <w:rFonts w:ascii="仿宋_GB2312" w:eastAsia="仿宋_GB2312" w:hAnsi="仿宋" w:cs="Times New Roman" w:hint="eastAsia"/>
          <w:sz w:val="32"/>
          <w:szCs w:val="32"/>
        </w:rPr>
        <w:t>个街道办事处管护的行道树裸露树坑、绿化裸露地进行治理，裸露树坑总面积为</w:t>
      </w:r>
      <w:r w:rsidRPr="0093698D">
        <w:rPr>
          <w:rFonts w:ascii="仿宋_GB2312" w:eastAsia="仿宋_GB2312" w:hAnsi="仿宋" w:cs="Times New Roman"/>
          <w:sz w:val="32"/>
          <w:szCs w:val="32"/>
        </w:rPr>
        <w:t>28103.43</w:t>
      </w:r>
      <w:r w:rsidRPr="0093698D">
        <w:rPr>
          <w:rFonts w:ascii="宋体" w:hAnsi="宋体" w:cs="宋体" w:hint="eastAsia"/>
          <w:sz w:val="32"/>
          <w:szCs w:val="32"/>
        </w:rPr>
        <w:t>㎡</w:t>
      </w:r>
      <w:r w:rsidRPr="0093698D">
        <w:rPr>
          <w:rFonts w:ascii="仿宋_GB2312" w:eastAsia="仿宋_GB2312" w:hAnsi="仿宋_GB2312" w:cs="仿宋_GB2312" w:hint="eastAsia"/>
          <w:sz w:val="32"/>
          <w:szCs w:val="32"/>
        </w:rPr>
        <w:t>，绿裸露绿地总面积为</w:t>
      </w:r>
      <w:r w:rsidRPr="0093698D">
        <w:rPr>
          <w:rFonts w:ascii="仿宋_GB2312" w:eastAsia="仿宋_GB2312" w:hAnsi="仿宋" w:cs="Times New Roman"/>
          <w:sz w:val="32"/>
          <w:szCs w:val="32"/>
        </w:rPr>
        <w:t>111413.56</w:t>
      </w:r>
      <w:r w:rsidRPr="0093698D">
        <w:rPr>
          <w:rFonts w:ascii="宋体" w:hAnsi="宋体" w:cs="宋体" w:hint="eastAsia"/>
          <w:sz w:val="32"/>
          <w:szCs w:val="32"/>
        </w:rPr>
        <w:t>㎡</w:t>
      </w:r>
      <w:r w:rsidRPr="0093698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通过科学应用地被植物与覆盖物，包括安装树池篦子、苗木补植、覆盖生态环保材料、冬季苫盖无纺布材料等，于</w:t>
      </w:r>
      <w:r>
        <w:rPr>
          <w:rFonts w:ascii="仿宋_GB2312" w:eastAsia="仿宋_GB2312" w:hAnsi="仿宋" w:cs="Times New Roman"/>
          <w:sz w:val="32"/>
          <w:szCs w:val="32"/>
        </w:rPr>
        <w:t>2019</w:t>
      </w:r>
      <w:r>
        <w:rPr>
          <w:rFonts w:ascii="仿宋_GB2312" w:eastAsia="仿宋_GB2312" w:hAnsi="仿宋" w:cs="Times New Roman" w:hint="eastAsia"/>
          <w:sz w:val="32"/>
          <w:szCs w:val="32"/>
        </w:rPr>
        <w:t>年底基本解决东城区园林绿化土地裸露问题，结合绿地日常精细化养护管理，使人行步道没有高差变化，行走更加舒适。园林裸露地得到有效控制，有效降低裸露地扬尘，提升我区辖区空气质量。</w:t>
      </w:r>
    </w:p>
    <w:p w:rsidR="00BA6CC8" w:rsidRDefault="00BA6CC8">
      <w:pPr>
        <w:adjustRightInd w:val="0"/>
        <w:spacing w:line="48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具体绩效目标为：</w:t>
      </w:r>
      <w:r>
        <w:rPr>
          <w:rFonts w:ascii="仿宋_GB2312" w:eastAsia="仿宋_GB2312" w:hAnsi="仿宋" w:cs="Times New Roman"/>
          <w:sz w:val="32"/>
          <w:szCs w:val="32"/>
        </w:rPr>
        <w:tab/>
      </w:r>
    </w:p>
    <w:tbl>
      <w:tblPr>
        <w:tblW w:w="8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5"/>
        <w:gridCol w:w="2707"/>
        <w:gridCol w:w="1036"/>
        <w:gridCol w:w="3788"/>
      </w:tblGrid>
      <w:tr w:rsidR="00BA6CC8">
        <w:trPr>
          <w:trHeight w:hRule="exact" w:val="794"/>
        </w:trPr>
        <w:tc>
          <w:tcPr>
            <w:tcW w:w="1245"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项目名称</w:t>
            </w:r>
          </w:p>
        </w:tc>
        <w:tc>
          <w:tcPr>
            <w:tcW w:w="2707"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全区园林绿化裸露地生态治理工程</w:t>
            </w:r>
          </w:p>
        </w:tc>
        <w:tc>
          <w:tcPr>
            <w:tcW w:w="1036" w:type="dxa"/>
            <w:vAlign w:val="center"/>
          </w:tcPr>
          <w:p w:rsidR="00BA6CC8" w:rsidRDefault="00BA6CC8">
            <w:pPr>
              <w:widowControl/>
              <w:rPr>
                <w:rFonts w:ascii="仿宋_GB2312" w:eastAsia="仿宋_GB2312" w:hAnsi="仿宋" w:cs="宋体"/>
                <w:kern w:val="0"/>
                <w:sz w:val="24"/>
                <w:szCs w:val="24"/>
              </w:rPr>
            </w:pPr>
            <w:r>
              <w:rPr>
                <w:rFonts w:ascii="仿宋_GB2312" w:eastAsia="仿宋_GB2312" w:hAnsi="仿宋" w:cs="宋体" w:hint="eastAsia"/>
                <w:kern w:val="0"/>
                <w:sz w:val="24"/>
                <w:szCs w:val="24"/>
              </w:rPr>
              <w:t>申请数合</w:t>
            </w: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计</w:t>
            </w:r>
          </w:p>
        </w:tc>
        <w:tc>
          <w:tcPr>
            <w:tcW w:w="3788"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3178.74</w:t>
            </w:r>
            <w:r>
              <w:rPr>
                <w:rFonts w:ascii="仿宋_GB2312" w:eastAsia="仿宋_GB2312" w:hAnsi="仿宋" w:cs="宋体"/>
                <w:kern w:val="0"/>
                <w:sz w:val="24"/>
                <w:szCs w:val="24"/>
              </w:rPr>
              <w:tab/>
            </w:r>
            <w:r>
              <w:rPr>
                <w:rFonts w:ascii="仿宋_GB2312" w:eastAsia="仿宋_GB2312" w:hAnsi="仿宋" w:cs="宋体" w:hint="eastAsia"/>
                <w:kern w:val="0"/>
                <w:sz w:val="24"/>
                <w:szCs w:val="24"/>
              </w:rPr>
              <w:t>万元</w:t>
            </w:r>
          </w:p>
        </w:tc>
      </w:tr>
      <w:tr w:rsidR="00BA6CC8">
        <w:trPr>
          <w:trHeight w:hRule="exact" w:val="574"/>
        </w:trPr>
        <w:tc>
          <w:tcPr>
            <w:tcW w:w="1245" w:type="dxa"/>
            <w:vMerge w:val="restart"/>
            <w:vAlign w:val="center"/>
          </w:tcPr>
          <w:p w:rsidR="00BA6CC8" w:rsidRDefault="00BA6CC8">
            <w:pPr>
              <w:widowControl/>
              <w:ind w:leftChars="-51" w:left="23" w:hangingChars="54" w:hanging="13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绩效指标</w:t>
            </w:r>
          </w:p>
        </w:tc>
        <w:tc>
          <w:tcPr>
            <w:tcW w:w="2707"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一级指标</w:t>
            </w: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二级指标</w:t>
            </w:r>
          </w:p>
        </w:tc>
        <w:tc>
          <w:tcPr>
            <w:tcW w:w="3788"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具体指标（指标内容、指标值）</w:t>
            </w:r>
          </w:p>
        </w:tc>
      </w:tr>
      <w:tr w:rsidR="00BA6CC8">
        <w:trPr>
          <w:trHeight w:hRule="exact" w:val="1405"/>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restart"/>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产出指标</w:t>
            </w: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产出数量指标</w:t>
            </w:r>
          </w:p>
        </w:tc>
        <w:tc>
          <w:tcPr>
            <w:tcW w:w="3788" w:type="dxa"/>
            <w:vAlign w:val="center"/>
          </w:tcPr>
          <w:p w:rsidR="00BA6CC8" w:rsidRDefault="00BA6CC8">
            <w:pPr>
              <w:widowControl/>
              <w:jc w:val="left"/>
              <w:rPr>
                <w:rFonts w:ascii="仿宋_GB2312" w:eastAsia="仿宋_GB2312" w:hAnsi="仿宋" w:cs="宋体"/>
                <w:kern w:val="0"/>
                <w:sz w:val="24"/>
                <w:szCs w:val="24"/>
              </w:rPr>
            </w:pPr>
            <w:bookmarkStart w:id="4" w:name="_Hlk46236279"/>
            <w:r>
              <w:rPr>
                <w:rFonts w:ascii="仿宋_GB2312" w:eastAsia="仿宋_GB2312" w:hAnsi="仿宋" w:cs="宋体" w:hint="eastAsia"/>
                <w:kern w:val="0"/>
                <w:sz w:val="24"/>
                <w:szCs w:val="24"/>
              </w:rPr>
              <w:t>完成对裸露树坑总面积为</w:t>
            </w:r>
            <w:r>
              <w:rPr>
                <w:rFonts w:ascii="仿宋_GB2312" w:eastAsia="仿宋_GB2312" w:hAnsi="仿宋" w:cs="宋体"/>
                <w:kern w:val="0"/>
                <w:sz w:val="24"/>
                <w:szCs w:val="24"/>
              </w:rPr>
              <w:t>28103.43</w:t>
            </w:r>
            <w:r>
              <w:rPr>
                <w:rFonts w:ascii="宋体" w:hAnsi="宋体" w:cs="宋体" w:hint="eastAsia"/>
                <w:kern w:val="0"/>
                <w:sz w:val="24"/>
                <w:szCs w:val="24"/>
              </w:rPr>
              <w:t>㎡</w:t>
            </w:r>
            <w:r>
              <w:rPr>
                <w:rFonts w:ascii="仿宋_GB2312" w:eastAsia="仿宋_GB2312" w:hAnsi="仿宋_GB2312" w:cs="仿宋_GB2312" w:hint="eastAsia"/>
                <w:kern w:val="0"/>
                <w:sz w:val="24"/>
                <w:szCs w:val="24"/>
              </w:rPr>
              <w:t>，绿裸露绿地总面积</w:t>
            </w:r>
            <w:r>
              <w:rPr>
                <w:rFonts w:ascii="仿宋_GB2312" w:eastAsia="仿宋_GB2312" w:hAnsi="仿宋" w:cs="宋体"/>
                <w:kern w:val="0"/>
                <w:sz w:val="24"/>
                <w:szCs w:val="24"/>
              </w:rPr>
              <w:t>111413.56</w:t>
            </w:r>
            <w:r>
              <w:rPr>
                <w:rFonts w:ascii="宋体" w:hAnsi="宋体" w:cs="宋体" w:hint="eastAsia"/>
                <w:kern w:val="0"/>
                <w:sz w:val="24"/>
                <w:szCs w:val="24"/>
              </w:rPr>
              <w:t>㎡</w:t>
            </w:r>
            <w:r>
              <w:rPr>
                <w:rFonts w:ascii="仿宋_GB2312" w:eastAsia="仿宋_GB2312" w:hAnsi="仿宋_GB2312" w:cs="仿宋_GB2312" w:hint="eastAsia"/>
                <w:kern w:val="0"/>
                <w:sz w:val="24"/>
                <w:szCs w:val="24"/>
              </w:rPr>
              <w:t>的治理</w:t>
            </w:r>
            <w:bookmarkEnd w:id="4"/>
            <w:r>
              <w:rPr>
                <w:rFonts w:ascii="仿宋_GB2312" w:eastAsia="仿宋_GB2312" w:hAnsi="仿宋_GB2312" w:cs="仿宋_GB2312" w:hint="eastAsia"/>
                <w:kern w:val="0"/>
                <w:sz w:val="24"/>
                <w:szCs w:val="24"/>
              </w:rPr>
              <w:t>。</w:t>
            </w:r>
          </w:p>
        </w:tc>
      </w:tr>
      <w:tr w:rsidR="00BA6CC8">
        <w:trPr>
          <w:trHeight w:hRule="exact" w:val="1917"/>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ign w:val="center"/>
          </w:tcPr>
          <w:p w:rsidR="00BA6CC8" w:rsidRDefault="00BA6CC8">
            <w:pPr>
              <w:widowControl/>
              <w:jc w:val="center"/>
              <w:rPr>
                <w:rFonts w:ascii="仿宋_GB2312" w:eastAsia="仿宋_GB2312" w:hAnsi="仿宋" w:cs="宋体"/>
                <w:kern w:val="0"/>
                <w:sz w:val="24"/>
                <w:szCs w:val="24"/>
              </w:rPr>
            </w:pP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产出质量指标</w:t>
            </w:r>
          </w:p>
        </w:tc>
        <w:tc>
          <w:tcPr>
            <w:tcW w:w="3788" w:type="dxa"/>
            <w:vAlign w:val="center"/>
          </w:tcPr>
          <w:p w:rsidR="00BA6CC8" w:rsidRDefault="00BA6CC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项目建设质量达到《园林绿地工程建设规范（</w:t>
            </w:r>
            <w:r>
              <w:rPr>
                <w:rFonts w:ascii="仿宋_GB2312" w:eastAsia="仿宋_GB2312" w:hAnsi="仿宋" w:cs="宋体"/>
                <w:kern w:val="0"/>
                <w:sz w:val="24"/>
                <w:szCs w:val="24"/>
              </w:rPr>
              <w:t>DB11/T 1175-2015</w:t>
            </w:r>
            <w:r>
              <w:rPr>
                <w:rFonts w:ascii="仿宋_GB2312" w:eastAsia="仿宋_GB2312" w:hAnsi="仿宋" w:cs="宋体" w:hint="eastAsia"/>
                <w:kern w:val="0"/>
                <w:sz w:val="24"/>
                <w:szCs w:val="24"/>
              </w:rPr>
              <w:t>）》、《园林绿化施工及验收规范（</w:t>
            </w:r>
            <w:r>
              <w:rPr>
                <w:rFonts w:ascii="仿宋_GB2312" w:eastAsia="仿宋_GB2312" w:hAnsi="仿宋" w:cs="宋体"/>
                <w:kern w:val="0"/>
                <w:sz w:val="24"/>
                <w:szCs w:val="24"/>
              </w:rPr>
              <w:t>DB11/T212-2009</w:t>
            </w:r>
            <w:r>
              <w:rPr>
                <w:rFonts w:ascii="仿宋_GB2312" w:eastAsia="仿宋_GB2312" w:hAnsi="仿宋" w:cs="宋体" w:hint="eastAsia"/>
                <w:kern w:val="0"/>
                <w:sz w:val="24"/>
                <w:szCs w:val="24"/>
              </w:rPr>
              <w:t>）》、《北京市园林绿化局关于加强园林绿化裸露地生态治理工作的意见》、《北京市园林绿化局关于规范裸露树池治理工作的意见》等规范标准要求。</w:t>
            </w:r>
            <w:r>
              <w:rPr>
                <w:rFonts w:ascii="仿宋_GB2312" w:eastAsia="仿宋_GB2312" w:hAnsi="仿宋" w:cs="宋体"/>
                <w:kern w:val="0"/>
                <w:sz w:val="24"/>
                <w:szCs w:val="24"/>
              </w:rPr>
              <w:tab/>
            </w:r>
          </w:p>
        </w:tc>
      </w:tr>
      <w:tr w:rsidR="00BA6CC8">
        <w:trPr>
          <w:trHeight w:hRule="exact" w:val="1298"/>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ign w:val="center"/>
          </w:tcPr>
          <w:p w:rsidR="00BA6CC8" w:rsidRDefault="00BA6CC8">
            <w:pPr>
              <w:widowControl/>
              <w:jc w:val="center"/>
              <w:rPr>
                <w:rFonts w:ascii="仿宋_GB2312" w:eastAsia="仿宋_GB2312" w:hAnsi="仿宋" w:cs="宋体"/>
                <w:kern w:val="0"/>
                <w:sz w:val="24"/>
                <w:szCs w:val="24"/>
              </w:rPr>
            </w:pP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产出进度指标</w:t>
            </w:r>
          </w:p>
        </w:tc>
        <w:tc>
          <w:tcPr>
            <w:tcW w:w="3788" w:type="dxa"/>
            <w:vAlign w:val="center"/>
          </w:tcPr>
          <w:p w:rsidR="00BA6CC8" w:rsidRDefault="00BA6CC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在财政资金按时到位的情况下，项目计划于</w:t>
            </w:r>
            <w:r>
              <w:rPr>
                <w:rFonts w:ascii="仿宋_GB2312" w:eastAsia="仿宋_GB2312" w:hAnsi="仿宋" w:cs="宋体"/>
                <w:kern w:val="0"/>
                <w:sz w:val="24"/>
                <w:szCs w:val="24"/>
              </w:rPr>
              <w:t>2019</w:t>
            </w:r>
            <w:r>
              <w:rPr>
                <w:rFonts w:ascii="仿宋_GB2312" w:eastAsia="仿宋_GB2312" w:hAnsi="仿宋" w:cs="宋体" w:hint="eastAsia"/>
                <w:kern w:val="0"/>
                <w:sz w:val="24"/>
                <w:szCs w:val="24"/>
              </w:rPr>
              <w:t>年</w:t>
            </w:r>
            <w:r>
              <w:rPr>
                <w:rFonts w:ascii="仿宋_GB2312" w:eastAsia="仿宋_GB2312" w:hAnsi="仿宋" w:cs="宋体"/>
                <w:kern w:val="0"/>
                <w:sz w:val="24"/>
                <w:szCs w:val="24"/>
              </w:rPr>
              <w:t>6</w:t>
            </w:r>
            <w:r>
              <w:rPr>
                <w:rFonts w:ascii="仿宋_GB2312" w:eastAsia="仿宋_GB2312" w:hAnsi="仿宋" w:cs="宋体" w:hint="eastAsia"/>
                <w:kern w:val="0"/>
                <w:sz w:val="24"/>
                <w:szCs w:val="24"/>
              </w:rPr>
              <w:t>月底前，陆续完成设计、施工、监理单位招标工作，</w:t>
            </w:r>
            <w:r>
              <w:rPr>
                <w:rFonts w:ascii="仿宋_GB2312" w:eastAsia="仿宋_GB2312" w:hAnsi="仿宋" w:cs="宋体"/>
                <w:kern w:val="0"/>
                <w:sz w:val="24"/>
                <w:szCs w:val="24"/>
              </w:rPr>
              <w:t>7</w:t>
            </w:r>
            <w:r>
              <w:rPr>
                <w:rFonts w:ascii="仿宋_GB2312" w:eastAsia="仿宋_GB2312" w:hAnsi="仿宋" w:cs="宋体" w:hint="eastAsia"/>
                <w:kern w:val="0"/>
                <w:sz w:val="24"/>
                <w:szCs w:val="24"/>
              </w:rPr>
              <w:t>月进场施工，</w:t>
            </w:r>
            <w:r>
              <w:rPr>
                <w:rFonts w:ascii="仿宋_GB2312" w:eastAsia="仿宋_GB2312" w:hAnsi="仿宋" w:cs="宋体"/>
                <w:kern w:val="0"/>
                <w:sz w:val="24"/>
                <w:szCs w:val="24"/>
              </w:rPr>
              <w:t>12</w:t>
            </w:r>
            <w:r>
              <w:rPr>
                <w:rFonts w:ascii="仿宋_GB2312" w:eastAsia="仿宋_GB2312" w:hAnsi="仿宋" w:cs="宋体" w:hint="eastAsia"/>
                <w:kern w:val="0"/>
                <w:sz w:val="24"/>
                <w:szCs w:val="24"/>
              </w:rPr>
              <w:t>月底竣工。</w:t>
            </w:r>
          </w:p>
        </w:tc>
      </w:tr>
      <w:tr w:rsidR="00BA6CC8">
        <w:trPr>
          <w:trHeight w:hRule="exact" w:val="653"/>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ign w:val="center"/>
          </w:tcPr>
          <w:p w:rsidR="00BA6CC8" w:rsidRDefault="00BA6CC8">
            <w:pPr>
              <w:widowControl/>
              <w:jc w:val="center"/>
              <w:rPr>
                <w:rFonts w:ascii="仿宋_GB2312" w:eastAsia="仿宋_GB2312" w:hAnsi="仿宋" w:cs="宋体"/>
                <w:kern w:val="0"/>
                <w:sz w:val="24"/>
                <w:szCs w:val="24"/>
              </w:rPr>
            </w:pP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产出成本指标</w:t>
            </w:r>
          </w:p>
        </w:tc>
        <w:tc>
          <w:tcPr>
            <w:tcW w:w="3788" w:type="dxa"/>
            <w:vAlign w:val="center"/>
          </w:tcPr>
          <w:p w:rsidR="00BA6CC8" w:rsidRDefault="00BA6CC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控制项目资金不超财政批复。</w:t>
            </w:r>
          </w:p>
        </w:tc>
      </w:tr>
      <w:tr w:rsidR="00BA6CC8">
        <w:trPr>
          <w:trHeight w:hRule="exact" w:val="980"/>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restart"/>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效果指标</w:t>
            </w: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经济效益指标</w:t>
            </w:r>
          </w:p>
        </w:tc>
        <w:tc>
          <w:tcPr>
            <w:tcW w:w="3788" w:type="dxa"/>
            <w:vAlign w:val="center"/>
          </w:tcPr>
          <w:p w:rsidR="00BA6CC8" w:rsidRDefault="00BA6CC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裸露地治理效果显著，满足市民对空气质量改善的基本需求，提升群众幸福指数。</w:t>
            </w:r>
          </w:p>
        </w:tc>
      </w:tr>
      <w:tr w:rsidR="00BA6CC8">
        <w:trPr>
          <w:trHeight w:hRule="exact" w:val="1122"/>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ign w:val="center"/>
          </w:tcPr>
          <w:p w:rsidR="00BA6CC8" w:rsidRDefault="00BA6CC8">
            <w:pPr>
              <w:widowControl/>
              <w:jc w:val="center"/>
              <w:rPr>
                <w:rFonts w:ascii="仿宋_GB2312" w:eastAsia="仿宋_GB2312" w:hAnsi="仿宋" w:cs="宋体"/>
                <w:kern w:val="0"/>
                <w:sz w:val="24"/>
                <w:szCs w:val="24"/>
              </w:rPr>
            </w:pP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社会效益指标</w:t>
            </w:r>
          </w:p>
        </w:tc>
        <w:tc>
          <w:tcPr>
            <w:tcW w:w="3788" w:type="dxa"/>
            <w:vAlign w:val="center"/>
          </w:tcPr>
          <w:p w:rsidR="00BA6CC8" w:rsidRDefault="00BA6CC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通过对全区园林绿化裸露地生态治理，便利于人行步道通行，提高精细化管理水平，加强污染源治理。</w:t>
            </w:r>
          </w:p>
        </w:tc>
      </w:tr>
      <w:tr w:rsidR="00BA6CC8">
        <w:trPr>
          <w:trHeight w:hRule="exact" w:val="1564"/>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ign w:val="center"/>
          </w:tcPr>
          <w:p w:rsidR="00BA6CC8" w:rsidRDefault="00BA6CC8">
            <w:pPr>
              <w:widowControl/>
              <w:jc w:val="center"/>
              <w:rPr>
                <w:rFonts w:ascii="仿宋_GB2312" w:eastAsia="仿宋_GB2312" w:hAnsi="仿宋" w:cs="宋体"/>
                <w:kern w:val="0"/>
                <w:sz w:val="24"/>
                <w:szCs w:val="24"/>
              </w:rPr>
            </w:pP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生态效益指标</w:t>
            </w:r>
          </w:p>
        </w:tc>
        <w:tc>
          <w:tcPr>
            <w:tcW w:w="3788" w:type="dxa"/>
            <w:vAlign w:val="center"/>
          </w:tcPr>
          <w:p w:rsidR="00BA6CC8" w:rsidRDefault="00BA6CC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通过地被植物与覆盖物的科学应用，提升我区园林绿地的稳定性与生态承载力，使其在改善空气质量、滞留大气污染物方面发挥更好的生态效益。</w:t>
            </w:r>
          </w:p>
        </w:tc>
      </w:tr>
      <w:tr w:rsidR="00BA6CC8">
        <w:trPr>
          <w:trHeight w:hRule="exact" w:val="1557"/>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ign w:val="center"/>
          </w:tcPr>
          <w:p w:rsidR="00BA6CC8" w:rsidRDefault="00BA6CC8">
            <w:pPr>
              <w:widowControl/>
              <w:jc w:val="center"/>
              <w:rPr>
                <w:rFonts w:ascii="仿宋_GB2312" w:eastAsia="仿宋_GB2312" w:hAnsi="仿宋" w:cs="宋体"/>
                <w:kern w:val="0"/>
                <w:sz w:val="24"/>
                <w:szCs w:val="24"/>
              </w:rPr>
            </w:pP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可持续影响</w:t>
            </w:r>
          </w:p>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指标</w:t>
            </w:r>
          </w:p>
        </w:tc>
        <w:tc>
          <w:tcPr>
            <w:tcW w:w="3788" w:type="dxa"/>
            <w:vAlign w:val="center"/>
          </w:tcPr>
          <w:p w:rsidR="00BA6CC8" w:rsidRDefault="00BA6CC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到</w:t>
            </w:r>
            <w:r>
              <w:rPr>
                <w:rFonts w:ascii="仿宋_GB2312" w:eastAsia="仿宋_GB2312" w:hAnsi="仿宋" w:cs="宋体"/>
                <w:kern w:val="0"/>
                <w:sz w:val="24"/>
                <w:szCs w:val="24"/>
              </w:rPr>
              <w:t>2020</w:t>
            </w:r>
            <w:r>
              <w:rPr>
                <w:rFonts w:ascii="仿宋_GB2312" w:eastAsia="仿宋_GB2312" w:hAnsi="仿宋" w:cs="宋体" w:hint="eastAsia"/>
                <w:kern w:val="0"/>
                <w:sz w:val="24"/>
                <w:szCs w:val="24"/>
              </w:rPr>
              <w:t>年，基本解决园林绿化土地裸露问题。其他园林绿化裸露地得到有效控制，扬尘明显减少。对本地区空气质量、环境带来可持续影响。</w:t>
            </w:r>
          </w:p>
        </w:tc>
      </w:tr>
      <w:tr w:rsidR="00BA6CC8">
        <w:trPr>
          <w:trHeight w:hRule="exact" w:val="1126"/>
        </w:trPr>
        <w:tc>
          <w:tcPr>
            <w:tcW w:w="1245" w:type="dxa"/>
            <w:vMerge/>
            <w:vAlign w:val="center"/>
          </w:tcPr>
          <w:p w:rsidR="00BA6CC8" w:rsidRDefault="00BA6CC8">
            <w:pPr>
              <w:widowControl/>
              <w:jc w:val="center"/>
              <w:rPr>
                <w:rFonts w:ascii="仿宋_GB2312" w:eastAsia="仿宋_GB2312" w:hAnsi="仿宋" w:cs="宋体"/>
                <w:kern w:val="0"/>
                <w:sz w:val="24"/>
                <w:szCs w:val="24"/>
              </w:rPr>
            </w:pPr>
          </w:p>
        </w:tc>
        <w:tc>
          <w:tcPr>
            <w:tcW w:w="2707" w:type="dxa"/>
            <w:vMerge/>
            <w:vAlign w:val="center"/>
          </w:tcPr>
          <w:p w:rsidR="00BA6CC8" w:rsidRDefault="00BA6CC8">
            <w:pPr>
              <w:widowControl/>
              <w:jc w:val="center"/>
              <w:rPr>
                <w:rFonts w:ascii="仿宋_GB2312" w:eastAsia="仿宋_GB2312" w:hAnsi="仿宋" w:cs="宋体"/>
                <w:kern w:val="0"/>
                <w:sz w:val="24"/>
                <w:szCs w:val="24"/>
              </w:rPr>
            </w:pPr>
          </w:p>
        </w:tc>
        <w:tc>
          <w:tcPr>
            <w:tcW w:w="1036" w:type="dxa"/>
            <w:vAlign w:val="center"/>
          </w:tcPr>
          <w:p w:rsidR="00BA6CC8" w:rsidRDefault="00BA6CC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服务对象满意度指标</w:t>
            </w:r>
          </w:p>
        </w:tc>
        <w:tc>
          <w:tcPr>
            <w:tcW w:w="3788" w:type="dxa"/>
            <w:vAlign w:val="center"/>
          </w:tcPr>
          <w:p w:rsidR="00BA6CC8" w:rsidRDefault="00BA6CC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项目完成后，环保部门等相关部门、区域内居民满意度不低于</w:t>
            </w:r>
            <w:r>
              <w:rPr>
                <w:rFonts w:ascii="仿宋_GB2312" w:eastAsia="仿宋_GB2312" w:hAnsi="仿宋" w:cs="宋体"/>
                <w:kern w:val="0"/>
                <w:sz w:val="24"/>
                <w:szCs w:val="24"/>
              </w:rPr>
              <w:t>95%</w:t>
            </w:r>
            <w:r>
              <w:rPr>
                <w:rFonts w:ascii="仿宋_GB2312" w:eastAsia="仿宋_GB2312" w:hAnsi="仿宋" w:cs="宋体" w:hint="eastAsia"/>
                <w:kern w:val="0"/>
                <w:sz w:val="24"/>
                <w:szCs w:val="24"/>
              </w:rPr>
              <w:t>。</w:t>
            </w:r>
          </w:p>
        </w:tc>
      </w:tr>
    </w:tbl>
    <w:p w:rsidR="00BA6CC8" w:rsidRDefault="00BA6CC8">
      <w:pPr>
        <w:keepNext/>
        <w:keepLines/>
        <w:spacing w:line="480" w:lineRule="auto"/>
        <w:ind w:firstLineChars="200" w:firstLine="643"/>
        <w:outlineLvl w:val="0"/>
        <w:rPr>
          <w:rFonts w:ascii="仿宋_GB2312" w:eastAsia="仿宋_GB2312" w:hAnsi="仿宋" w:cs="Times New Roman"/>
          <w:b/>
          <w:sz w:val="32"/>
          <w:szCs w:val="32"/>
        </w:rPr>
      </w:pPr>
      <w:bookmarkStart w:id="5" w:name="_Toc450915844"/>
      <w:r>
        <w:rPr>
          <w:rFonts w:ascii="仿宋_GB2312" w:eastAsia="仿宋_GB2312" w:hAnsi="仿宋" w:cs="Times New Roman" w:hint="eastAsia"/>
          <w:b/>
          <w:sz w:val="32"/>
          <w:szCs w:val="32"/>
        </w:rPr>
        <w:t>二、评价工作简述</w:t>
      </w:r>
      <w:bookmarkEnd w:id="5"/>
    </w:p>
    <w:p w:rsidR="00BA6CC8" w:rsidRDefault="00BA6CC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项目评价工作遵循“标准统一、程序规范、客观公正、廉洁奉公”的原则，结合项目的特点，按照文件规定的评价方法，依据项目单位提供的资料，制定了东城区园林局“</w:t>
      </w:r>
      <w:bookmarkStart w:id="6" w:name="_Hlk45881203"/>
      <w:r>
        <w:rPr>
          <w:rFonts w:ascii="仿宋_GB2312" w:eastAsia="仿宋_GB2312" w:hAnsi="仿宋" w:cs="Times New Roman" w:hint="eastAsia"/>
          <w:sz w:val="32"/>
          <w:szCs w:val="32"/>
        </w:rPr>
        <w:t>全区园林绿化裸露地生态治理工程</w:t>
      </w:r>
      <w:bookmarkEnd w:id="6"/>
      <w:r>
        <w:rPr>
          <w:rFonts w:ascii="仿宋_GB2312" w:eastAsia="仿宋_GB2312" w:hAnsi="仿宋" w:cs="Times New Roman" w:hint="eastAsia"/>
          <w:sz w:val="32"/>
          <w:szCs w:val="32"/>
        </w:rPr>
        <w:t>”项目绩效的指标体系，遴选管理专家、业务专家和财务专家组成专家评价组，通过召开专家评价会，分别对项目决策、管理、绩效方面进行打分，形成专家评价意见，在汇总专家评价意见的基础上出具绩效评价报告，使评价工作得以顺利进行。</w:t>
      </w:r>
    </w:p>
    <w:p w:rsidR="00BA6CC8" w:rsidRDefault="00BA6CC8">
      <w:pPr>
        <w:spacing w:line="480" w:lineRule="auto"/>
        <w:ind w:firstLine="630"/>
        <w:rPr>
          <w:rFonts w:ascii="仿宋_GB2312" w:eastAsia="仿宋_GB2312" w:hAnsi="仿宋" w:cs="Times New Roman"/>
          <w:b/>
          <w:bCs/>
          <w:kern w:val="44"/>
          <w:sz w:val="32"/>
          <w:szCs w:val="32"/>
        </w:rPr>
      </w:pPr>
      <w:r>
        <w:rPr>
          <w:rFonts w:ascii="仿宋_GB2312" w:eastAsia="仿宋_GB2312" w:cs="Times New Roman"/>
          <w:b/>
          <w:bCs/>
          <w:kern w:val="44"/>
          <w:sz w:val="32"/>
          <w:szCs w:val="32"/>
        </w:rPr>
        <w:t xml:space="preserve"> </w:t>
      </w:r>
      <w:bookmarkStart w:id="7" w:name="_Toc450915851"/>
      <w:r>
        <w:rPr>
          <w:rFonts w:ascii="仿宋_GB2312" w:eastAsia="仿宋_GB2312" w:hAnsi="仿宋" w:cs="Times New Roman" w:hint="eastAsia"/>
          <w:b/>
          <w:bCs/>
          <w:kern w:val="44"/>
          <w:sz w:val="32"/>
          <w:szCs w:val="32"/>
        </w:rPr>
        <w:t>三、评价结论</w:t>
      </w:r>
      <w:bookmarkEnd w:id="7"/>
    </w:p>
    <w:p w:rsidR="00BA6CC8" w:rsidRDefault="00BA6CC8">
      <w:pPr>
        <w:widowControl/>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经评议，该项目最终综合评价得分为</w:t>
      </w:r>
      <w:r>
        <w:rPr>
          <w:rFonts w:ascii="仿宋_GB2312" w:eastAsia="仿宋_GB2312" w:hAnsi="仿宋" w:cs="Times New Roman"/>
          <w:color w:val="000000"/>
          <w:sz w:val="32"/>
          <w:szCs w:val="32"/>
        </w:rPr>
        <w:t>86.99</w:t>
      </w:r>
      <w:r>
        <w:rPr>
          <w:rFonts w:ascii="仿宋_GB2312" w:eastAsia="仿宋_GB2312" w:hAnsi="仿宋" w:cs="Times New Roman" w:hint="eastAsia"/>
          <w:color w:val="000000"/>
          <w:sz w:val="32"/>
          <w:szCs w:val="32"/>
        </w:rPr>
        <w:t>分，评价绩效级别评定为“良好”。</w:t>
      </w:r>
    </w:p>
    <w:p w:rsidR="00BA6CC8" w:rsidRDefault="00BA6CC8">
      <w:pPr>
        <w:keepNext/>
        <w:keepLines/>
        <w:spacing w:line="480" w:lineRule="auto"/>
        <w:ind w:firstLineChars="196" w:firstLine="630"/>
        <w:outlineLvl w:val="0"/>
        <w:rPr>
          <w:rFonts w:ascii="仿宋_GB2312" w:eastAsia="仿宋_GB2312" w:hAnsi="仿宋" w:cs="Times New Roman"/>
          <w:b/>
          <w:bCs/>
          <w:kern w:val="44"/>
          <w:sz w:val="32"/>
          <w:szCs w:val="32"/>
        </w:rPr>
      </w:pPr>
      <w:bookmarkStart w:id="8" w:name="_Toc450915852"/>
      <w:r>
        <w:rPr>
          <w:rFonts w:ascii="仿宋_GB2312" w:eastAsia="仿宋_GB2312" w:hAnsi="仿宋" w:cs="Times New Roman" w:hint="eastAsia"/>
          <w:b/>
          <w:bCs/>
          <w:kern w:val="44"/>
          <w:sz w:val="32"/>
          <w:szCs w:val="32"/>
        </w:rPr>
        <w:t>四、存在</w:t>
      </w:r>
      <w:bookmarkStart w:id="9" w:name="_GoBack"/>
      <w:bookmarkEnd w:id="9"/>
      <w:r>
        <w:rPr>
          <w:rFonts w:ascii="仿宋_GB2312" w:eastAsia="仿宋_GB2312" w:hAnsi="仿宋" w:cs="Times New Roman" w:hint="eastAsia"/>
          <w:b/>
          <w:bCs/>
          <w:kern w:val="44"/>
          <w:sz w:val="32"/>
          <w:szCs w:val="32"/>
        </w:rPr>
        <w:t>问题</w:t>
      </w:r>
      <w:bookmarkEnd w:id="8"/>
    </w:p>
    <w:p w:rsidR="00BA6CC8" w:rsidRPr="0093698D" w:rsidRDefault="00BA6CC8">
      <w:pPr>
        <w:spacing w:line="48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（一）项目预算编制不够科学，事前可行性研究不够充分。</w:t>
      </w:r>
      <w:r w:rsidRPr="0093698D">
        <w:rPr>
          <w:rFonts w:ascii="仿宋_GB2312" w:eastAsia="仿宋_GB2312" w:hAnsi="仿宋" w:cs="Times New Roman" w:hint="eastAsia"/>
          <w:color w:val="000000"/>
          <w:sz w:val="32"/>
          <w:szCs w:val="32"/>
        </w:rPr>
        <w:t>项目申报书和绩效目标描述的任务量</w:t>
      </w:r>
      <w:r>
        <w:rPr>
          <w:rFonts w:ascii="仿宋_GB2312" w:eastAsia="仿宋_GB2312" w:hAnsi="仿宋" w:cs="Times New Roman" w:hint="eastAsia"/>
          <w:color w:val="000000"/>
          <w:sz w:val="32"/>
          <w:szCs w:val="32"/>
        </w:rPr>
        <w:t>与实际完成存在差异</w:t>
      </w:r>
      <w:r w:rsidRPr="0093698D">
        <w:rPr>
          <w:rFonts w:ascii="仿宋_GB2312" w:eastAsia="仿宋_GB2312" w:hAnsi="仿宋_GB2312" w:cs="仿宋_GB2312" w:hint="eastAsia"/>
          <w:color w:val="000000"/>
          <w:sz w:val="32"/>
          <w:szCs w:val="32"/>
        </w:rPr>
        <w:t>，</w:t>
      </w:r>
      <w:r w:rsidRPr="0093698D">
        <w:rPr>
          <w:rFonts w:ascii="仿宋_GB2312" w:eastAsia="仿宋_GB2312" w:hAnsi="仿宋" w:cs="Times New Roman" w:hint="eastAsia"/>
          <w:color w:val="000000"/>
          <w:sz w:val="32"/>
          <w:szCs w:val="32"/>
        </w:rPr>
        <w:t>未能完全实现绩效目标。</w:t>
      </w:r>
    </w:p>
    <w:p w:rsidR="00BA6CC8" w:rsidRDefault="00BA6CC8">
      <w:pPr>
        <w:spacing w:line="48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（二）项目单位对事前评估提出的问题重视程度不足，对事前绩效报告提出的问题未得到有效整改。</w:t>
      </w:r>
    </w:p>
    <w:p w:rsidR="00BA6CC8" w:rsidRDefault="00BA6CC8">
      <w:pPr>
        <w:spacing w:line="48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事前评估报告提出数量指标细化程度不足、进度指标缺少验收环节、效益指标缺少量化指标，此次提供的绩效目标仍然存在同样问题；事前评估报告提出技术方案可行性论证不够充分。</w:t>
      </w:r>
    </w:p>
    <w:p w:rsidR="00BA6CC8" w:rsidRDefault="00BA6CC8">
      <w:pPr>
        <w:spacing w:line="48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（三）本次治理工作尤其强调冬春季节的裸露地治理，而施工时间在</w:t>
      </w:r>
      <w:r>
        <w:rPr>
          <w:rFonts w:ascii="仿宋_GB2312" w:eastAsia="仿宋_GB2312" w:hAnsi="仿宋" w:cs="Times New Roman"/>
          <w:color w:val="000000"/>
          <w:sz w:val="32"/>
          <w:szCs w:val="32"/>
        </w:rPr>
        <w:t>6-9</w:t>
      </w:r>
      <w:r>
        <w:rPr>
          <w:rFonts w:ascii="仿宋_GB2312" w:eastAsia="仿宋_GB2312" w:hAnsi="仿宋" w:cs="Times New Roman" w:hint="eastAsia"/>
          <w:color w:val="000000"/>
          <w:sz w:val="32"/>
          <w:szCs w:val="32"/>
        </w:rPr>
        <w:t>月，正是草木茂盛的季节，很多冬春季节可能裸露的绿地还没有显现。项目申报书中提及项目主要内容之一冬季苫盖无纺布材料工作也未执行。</w:t>
      </w:r>
    </w:p>
    <w:p w:rsidR="00BA6CC8" w:rsidRDefault="00BA6CC8">
      <w:pPr>
        <w:spacing w:line="48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四）服务对象满意度调查存在一定的问题。首先，问卷设计比较简单，不能完全呈现项目实施的效果，缺少量化的可衡量性；其次，采集的样本较少，覆盖面不够全面，对满意度指标实现程度的评估资料支撑不足。</w:t>
      </w:r>
      <w:r>
        <w:rPr>
          <w:rFonts w:ascii="仿宋_GB2312" w:eastAsia="仿宋_GB2312" w:hAnsi="仿宋" w:cs="Times New Roman"/>
          <w:color w:val="000000"/>
          <w:sz w:val="32"/>
          <w:szCs w:val="32"/>
        </w:rPr>
        <w:t xml:space="preserve"> </w:t>
      </w:r>
    </w:p>
    <w:p w:rsidR="00BA6CC8" w:rsidRDefault="00BA6CC8">
      <w:pPr>
        <w:keepNext/>
        <w:keepLines/>
        <w:spacing w:line="480" w:lineRule="auto"/>
        <w:ind w:firstLineChars="196" w:firstLine="630"/>
        <w:outlineLvl w:val="0"/>
        <w:rPr>
          <w:rFonts w:ascii="仿宋_GB2312" w:eastAsia="仿宋_GB2312" w:hAnsi="仿宋" w:cs="Times New Roman"/>
          <w:b/>
          <w:bCs/>
          <w:kern w:val="44"/>
          <w:sz w:val="32"/>
          <w:szCs w:val="32"/>
        </w:rPr>
      </w:pPr>
      <w:bookmarkStart w:id="10" w:name="_Toc450915853"/>
      <w:r>
        <w:rPr>
          <w:rFonts w:ascii="仿宋_GB2312" w:eastAsia="仿宋_GB2312" w:hAnsi="仿宋" w:cs="Times New Roman" w:hint="eastAsia"/>
          <w:b/>
          <w:bCs/>
          <w:kern w:val="44"/>
          <w:sz w:val="32"/>
          <w:szCs w:val="32"/>
        </w:rPr>
        <w:t>五、建议</w:t>
      </w:r>
      <w:bookmarkEnd w:id="10"/>
    </w:p>
    <w:p w:rsidR="00BA6CC8" w:rsidRDefault="00BA6CC8">
      <w:pPr>
        <w:spacing w:line="480" w:lineRule="auto"/>
        <w:ind w:firstLineChars="250" w:firstLine="800"/>
        <w:rPr>
          <w:rFonts w:ascii="仿宋_GB2312" w:eastAsia="仿宋_GB2312" w:hAnsi="仿宋" w:cs="Times New Roman"/>
          <w:bCs/>
          <w:sz w:val="32"/>
          <w:szCs w:val="32"/>
          <w:highlight w:val="yellow"/>
        </w:rPr>
      </w:pPr>
      <w:r>
        <w:rPr>
          <w:rFonts w:ascii="仿宋_GB2312" w:eastAsia="仿宋_GB2312" w:hAnsi="仿宋" w:cs="Times New Roman" w:hint="eastAsia"/>
          <w:bCs/>
          <w:sz w:val="32"/>
          <w:szCs w:val="32"/>
        </w:rPr>
        <w:t>（一）加强决策过程的制度和管理建设工作，进一步强化预算管理，在项目立项前期做好充分的可行性研究分析，对工作量进行实地勘察和科学预判，提升预算编制的精准度。</w:t>
      </w:r>
    </w:p>
    <w:p w:rsidR="00BA6CC8" w:rsidRDefault="00BA6CC8">
      <w:pPr>
        <w:spacing w:line="480" w:lineRule="auto"/>
        <w:ind w:firstLineChars="250" w:firstLine="800"/>
        <w:rPr>
          <w:rFonts w:ascii="仿宋_GB2312" w:eastAsia="仿宋_GB2312" w:hAnsi="仿宋" w:cs="Times New Roman"/>
          <w:bCs/>
          <w:sz w:val="32"/>
          <w:szCs w:val="32"/>
        </w:rPr>
      </w:pPr>
      <w:r>
        <w:rPr>
          <w:rFonts w:ascii="仿宋_GB2312" w:eastAsia="仿宋_GB2312" w:hAnsi="仿宋" w:cs="Times New Roman" w:hint="eastAsia"/>
          <w:bCs/>
          <w:sz w:val="32"/>
          <w:szCs w:val="32"/>
        </w:rPr>
        <w:t>（二）加强项目绩效目标制定的科学性、合理性，遵循预算编制原则，科学设定绩效目标，完善具体目标的制定，细化</w:t>
      </w:r>
      <w:r>
        <w:rPr>
          <w:rFonts w:ascii="仿宋_GB2312" w:eastAsia="仿宋_GB2312" w:hAnsi="仿宋" w:cs="Times New Roman" w:hint="eastAsia"/>
          <w:color w:val="000000"/>
          <w:sz w:val="32"/>
          <w:szCs w:val="32"/>
        </w:rPr>
        <w:t>产数量、产出成本、效益指标等</w:t>
      </w:r>
      <w:r>
        <w:rPr>
          <w:rFonts w:ascii="仿宋_GB2312" w:eastAsia="仿宋_GB2312" w:hAnsi="仿宋" w:cs="Times New Roman" w:hint="eastAsia"/>
          <w:bCs/>
          <w:sz w:val="32"/>
          <w:szCs w:val="32"/>
        </w:rPr>
        <w:t>评价指标，以适应公共财政支出绩效管理要求。</w:t>
      </w:r>
    </w:p>
    <w:p w:rsidR="00BA6CC8" w:rsidRDefault="00BA6CC8">
      <w:pPr>
        <w:spacing w:line="480" w:lineRule="auto"/>
        <w:ind w:firstLineChars="250" w:firstLine="800"/>
        <w:rPr>
          <w:rFonts w:ascii="仿宋_GB2312" w:eastAsia="仿宋_GB2312" w:hAnsi="仿宋" w:cs="Times New Roman"/>
          <w:bCs/>
          <w:sz w:val="32"/>
          <w:szCs w:val="32"/>
        </w:rPr>
      </w:pPr>
      <w:r>
        <w:rPr>
          <w:rFonts w:ascii="仿宋_GB2312" w:eastAsia="仿宋_GB2312" w:hAnsi="仿宋" w:cs="Times New Roman" w:hint="eastAsia"/>
          <w:bCs/>
          <w:sz w:val="32"/>
          <w:szCs w:val="32"/>
        </w:rPr>
        <w:t>（三）加强研究，增加园林绿化废弃物的使用，合理把握施工时机。设计阶段与实施阶段加强结合，减少浪费，优化设计，达到控制成本节约资金的目的。</w:t>
      </w:r>
    </w:p>
    <w:p w:rsidR="00BA6CC8" w:rsidRDefault="00BA6CC8">
      <w:pPr>
        <w:spacing w:line="480" w:lineRule="auto"/>
        <w:ind w:firstLineChars="200" w:firstLine="640"/>
        <w:rPr>
          <w:rFonts w:ascii="仿宋_GB2312" w:eastAsia="仿宋_GB2312" w:hAnsi="仿宋" w:cs="Times New Roman"/>
          <w:sz w:val="32"/>
          <w:szCs w:val="32"/>
          <w:highlight w:val="yellow"/>
        </w:rPr>
      </w:pPr>
      <w:r>
        <w:rPr>
          <w:rFonts w:ascii="仿宋_GB2312" w:eastAsia="仿宋_GB2312" w:hAnsi="仿宋" w:cs="Times New Roman" w:hint="eastAsia"/>
          <w:bCs/>
          <w:sz w:val="32"/>
          <w:szCs w:val="32"/>
        </w:rPr>
        <w:t>（四）注重满意度调查的研究，注重收集的调研数据的分析，制定有效的可行性方案，以充分满足服务对象的实际需求。</w:t>
      </w:r>
    </w:p>
    <w:p w:rsidR="00BA6CC8" w:rsidRDefault="00BA6CC8">
      <w:pPr>
        <w:spacing w:line="480" w:lineRule="auto"/>
        <w:ind w:firstLineChars="250" w:firstLine="800"/>
        <w:rPr>
          <w:rFonts w:ascii="仿宋_GB2312" w:eastAsia="仿宋_GB2312" w:hAnsi="仿宋" w:cs="Times New Roman"/>
          <w:bCs/>
          <w:sz w:val="32"/>
          <w:szCs w:val="32"/>
        </w:rPr>
      </w:pPr>
      <w:r>
        <w:rPr>
          <w:rFonts w:ascii="仿宋_GB2312" w:eastAsia="仿宋_GB2312" w:hAnsi="仿宋" w:cs="Times New Roman" w:hint="eastAsia"/>
          <w:bCs/>
          <w:sz w:val="32"/>
          <w:szCs w:val="32"/>
        </w:rPr>
        <w:t>（五）项目管理方面要进一步强化职责意识，完善后期管理的跟进和措施建设工作。加强对第三方承诺的质保期限内的监管，以确保财政资金投入效益的充分性和可持续性。</w:t>
      </w:r>
    </w:p>
    <w:sectPr w:rsidR="00BA6CC8" w:rsidSect="002F3F5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C0B"/>
    <w:rsid w:val="001C66B4"/>
    <w:rsid w:val="002F3F51"/>
    <w:rsid w:val="0054201D"/>
    <w:rsid w:val="00664015"/>
    <w:rsid w:val="00811C0B"/>
    <w:rsid w:val="0093698D"/>
    <w:rsid w:val="00A8001E"/>
    <w:rsid w:val="00BA6CC8"/>
    <w:rsid w:val="00CF6E8C"/>
    <w:rsid w:val="00D76F66"/>
    <w:rsid w:val="00EA6FC9"/>
    <w:rsid w:val="12066452"/>
    <w:rsid w:val="380D6386"/>
    <w:rsid w:val="4CC041EB"/>
    <w:rsid w:val="57F25238"/>
    <w:rsid w:val="5FAD4A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F3F51"/>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F3F51"/>
    <w:rPr>
      <w:sz w:val="18"/>
      <w:szCs w:val="18"/>
    </w:rPr>
  </w:style>
  <w:style w:type="character" w:customStyle="1" w:styleId="BalloonTextChar">
    <w:name w:val="Balloon Text Char"/>
    <w:basedOn w:val="DefaultParagraphFont"/>
    <w:link w:val="BalloonText"/>
    <w:uiPriority w:val="99"/>
    <w:semiHidden/>
    <w:locked/>
    <w:rsid w:val="002F3F5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410</Words>
  <Characters>2343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北京市东城区园林绿化局</dc:title>
  <dc:subject/>
  <dc:creator>LENOVO</dc:creator>
  <cp:keywords/>
  <dc:description/>
  <cp:lastModifiedBy>刘丽姝</cp:lastModifiedBy>
  <cp:revision>5</cp:revision>
  <dcterms:created xsi:type="dcterms:W3CDTF">2020-10-29T01:42:00Z</dcterms:created>
  <dcterms:modified xsi:type="dcterms:W3CDTF">2020-10-29T03:09:00Z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