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D2" w:rsidRDefault="001C67D2" w:rsidP="00CD39C7">
      <w:pPr>
        <w:adjustRightInd w:val="0"/>
        <w:snapToGrid w:val="0"/>
        <w:spacing w:line="360" w:lineRule="auto"/>
        <w:ind w:firstLine="900"/>
        <w:jc w:val="center"/>
        <w:rPr>
          <w:rFonts w:ascii="华文中宋" w:eastAsia="华文中宋" w:hAnsi="华文中宋" w:cs="黑体"/>
          <w:sz w:val="36"/>
          <w:szCs w:val="32"/>
        </w:rPr>
      </w:pPr>
      <w:r w:rsidRPr="00EB17CD">
        <w:rPr>
          <w:rFonts w:ascii="华文中宋" w:eastAsia="华文中宋" w:hAnsi="华文中宋" w:cs="黑体" w:hint="eastAsia"/>
          <w:sz w:val="36"/>
          <w:szCs w:val="32"/>
        </w:rPr>
        <w:t>北京市东城区城市管理委员会</w:t>
      </w:r>
    </w:p>
    <w:p w:rsidR="001C67D2" w:rsidRDefault="001C67D2" w:rsidP="00CD39C7">
      <w:pPr>
        <w:adjustRightInd w:val="0"/>
        <w:snapToGrid w:val="0"/>
        <w:spacing w:line="360" w:lineRule="auto"/>
        <w:ind w:firstLine="900"/>
        <w:jc w:val="center"/>
        <w:rPr>
          <w:rFonts w:ascii="华文中宋" w:eastAsia="华文中宋" w:hAnsi="华文中宋" w:cs="黑体"/>
          <w:sz w:val="36"/>
          <w:szCs w:val="32"/>
        </w:rPr>
      </w:pPr>
      <w:r w:rsidRPr="00EB17CD">
        <w:rPr>
          <w:rFonts w:ascii="华文中宋" w:eastAsia="华文中宋" w:hAnsi="华文中宋" w:cs="黑体" w:hint="eastAsia"/>
          <w:sz w:val="36"/>
          <w:szCs w:val="32"/>
        </w:rPr>
        <w:t>路侧停车电子收费政府购买服务项目</w:t>
      </w:r>
    </w:p>
    <w:p w:rsidR="001C67D2" w:rsidRPr="00EB17CD" w:rsidRDefault="001C67D2" w:rsidP="00CD39C7">
      <w:pPr>
        <w:adjustRightInd w:val="0"/>
        <w:snapToGrid w:val="0"/>
        <w:spacing w:line="360" w:lineRule="auto"/>
        <w:ind w:firstLine="900"/>
        <w:jc w:val="center"/>
        <w:rPr>
          <w:rFonts w:ascii="华文中宋" w:eastAsia="华文中宋" w:hAnsi="华文中宋" w:cs="黑体"/>
          <w:sz w:val="36"/>
          <w:szCs w:val="32"/>
        </w:rPr>
      </w:pPr>
      <w:r w:rsidRPr="00EB17CD">
        <w:rPr>
          <w:rFonts w:ascii="华文中宋" w:eastAsia="华文中宋" w:hAnsi="华文中宋" w:cs="黑体" w:hint="eastAsia"/>
          <w:sz w:val="36"/>
          <w:szCs w:val="32"/>
        </w:rPr>
        <w:t>绩效评价报告</w:t>
      </w:r>
    </w:p>
    <w:p w:rsidR="001C67D2" w:rsidRDefault="001C67D2">
      <w:pPr>
        <w:adjustRightInd w:val="0"/>
        <w:spacing w:line="480" w:lineRule="auto"/>
        <w:ind w:firstLineChars="200" w:firstLine="640"/>
        <w:rPr>
          <w:rFonts w:ascii="仿宋_GB2312" w:eastAsia="仿宋_GB2312"/>
          <w:sz w:val="32"/>
          <w:szCs w:val="32"/>
        </w:rPr>
      </w:pPr>
    </w:p>
    <w:p w:rsidR="001C67D2" w:rsidRDefault="001C67D2">
      <w:pPr>
        <w:adjustRightInd w:val="0"/>
        <w:spacing w:line="480" w:lineRule="auto"/>
        <w:ind w:firstLineChars="200" w:firstLine="640"/>
        <w:rPr>
          <w:rFonts w:ascii="仿宋_GB2312" w:eastAsia="仿宋_GB2312"/>
          <w:sz w:val="32"/>
          <w:szCs w:val="32"/>
        </w:rPr>
      </w:pPr>
      <w:r>
        <w:rPr>
          <w:rFonts w:ascii="仿宋_GB2312" w:eastAsia="仿宋_GB2312" w:hint="eastAsia"/>
          <w:sz w:val="32"/>
          <w:szCs w:val="32"/>
        </w:rPr>
        <w:t>为进一步推进政府绩效管理和财政科学化精细化管理，合理配置资源，优化支出结构，规范预算资金分配，提高财政资金的使用效益，《北京市东城区区级预算部门组织财政项目支出绩效评价规范》（东财发〔</w:t>
      </w:r>
      <w:r>
        <w:rPr>
          <w:rFonts w:ascii="仿宋_GB2312" w:eastAsia="仿宋_GB2312"/>
          <w:sz w:val="32"/>
          <w:szCs w:val="32"/>
        </w:rPr>
        <w:t>2013</w:t>
      </w:r>
      <w:r>
        <w:rPr>
          <w:rFonts w:ascii="仿宋_GB2312" w:eastAsia="仿宋_GB2312" w:hint="eastAsia"/>
          <w:sz w:val="32"/>
          <w:szCs w:val="32"/>
        </w:rPr>
        <w:t>〕</w:t>
      </w:r>
      <w:r>
        <w:rPr>
          <w:rFonts w:ascii="仿宋_GB2312" w:eastAsia="仿宋_GB2312"/>
          <w:sz w:val="32"/>
          <w:szCs w:val="32"/>
        </w:rPr>
        <w:t>304</w:t>
      </w:r>
      <w:r>
        <w:rPr>
          <w:rFonts w:ascii="仿宋_GB2312" w:eastAsia="仿宋_GB2312" w:hint="eastAsia"/>
          <w:sz w:val="32"/>
          <w:szCs w:val="32"/>
        </w:rPr>
        <w:t>号）、《关于开展</w:t>
      </w:r>
      <w:r>
        <w:rPr>
          <w:rFonts w:ascii="仿宋_GB2312" w:eastAsia="仿宋_GB2312"/>
          <w:sz w:val="32"/>
          <w:szCs w:val="32"/>
        </w:rPr>
        <w:t>2020</w:t>
      </w:r>
      <w:r>
        <w:rPr>
          <w:rFonts w:ascii="仿宋_GB2312" w:eastAsia="仿宋_GB2312" w:hint="eastAsia"/>
          <w:sz w:val="32"/>
          <w:szCs w:val="32"/>
        </w:rPr>
        <w:t>年东城区财政支出绩效评价工作的通知》（东财发</w:t>
      </w:r>
      <w:r>
        <w:rPr>
          <w:rFonts w:ascii="仿宋_GB2312" w:eastAsia="仿宋_GB2312"/>
          <w:sz w:val="32"/>
          <w:szCs w:val="32"/>
        </w:rPr>
        <w:t>[2020]200</w:t>
      </w:r>
      <w:r>
        <w:rPr>
          <w:rFonts w:ascii="仿宋_GB2312" w:eastAsia="仿宋_GB2312" w:hint="eastAsia"/>
          <w:sz w:val="32"/>
          <w:szCs w:val="32"/>
        </w:rPr>
        <w:t>号）文件规定，北京市东城区财政局绩效评价科成立了项目绩效考评工作组，对北京市东城区城市管理委员会（以下简称“东城区城管委”）路侧停车电子收费政府购买服务项目进行绩效评价，形成本绩效评价报告。</w:t>
      </w:r>
    </w:p>
    <w:p w:rsidR="001C67D2" w:rsidRDefault="001C67D2">
      <w:pPr>
        <w:pStyle w:val="Heading1"/>
        <w:spacing w:before="0" w:after="0" w:line="480" w:lineRule="auto"/>
        <w:ind w:firstLineChars="196" w:firstLine="630"/>
        <w:rPr>
          <w:sz w:val="32"/>
          <w:szCs w:val="32"/>
        </w:rPr>
      </w:pPr>
      <w:bookmarkStart w:id="0" w:name="_Toc450915840"/>
      <w:r>
        <w:rPr>
          <w:rFonts w:hint="eastAsia"/>
          <w:sz w:val="32"/>
          <w:szCs w:val="32"/>
        </w:rPr>
        <w:t>一、项目概况</w:t>
      </w:r>
      <w:bookmarkEnd w:id="0"/>
    </w:p>
    <w:p w:rsidR="001C67D2" w:rsidRDefault="001C67D2">
      <w:pPr>
        <w:pStyle w:val="Heading2"/>
        <w:spacing w:before="0" w:after="0" w:line="480" w:lineRule="auto"/>
        <w:rPr>
          <w:rFonts w:ascii="仿宋_GB2312" w:eastAsia="仿宋_GB2312"/>
        </w:rPr>
      </w:pPr>
      <w:bookmarkStart w:id="1" w:name="_Toc450915841"/>
      <w:r>
        <w:rPr>
          <w:rFonts w:ascii="仿宋_GB2312" w:eastAsia="仿宋_GB2312"/>
          <w:b w:val="0"/>
        </w:rPr>
        <w:t xml:space="preserve">   </w:t>
      </w:r>
      <w:r>
        <w:rPr>
          <w:rFonts w:ascii="仿宋_GB2312" w:eastAsia="仿宋_GB2312" w:hint="eastAsia"/>
          <w:b w:val="0"/>
        </w:rPr>
        <w:t>（一）项目概况</w:t>
      </w:r>
      <w:bookmarkEnd w:id="1"/>
    </w:p>
    <w:p w:rsidR="001C67D2" w:rsidRDefault="001C67D2">
      <w:pPr>
        <w:adjustRightInd w:val="0"/>
        <w:spacing w:line="480" w:lineRule="auto"/>
        <w:ind w:firstLineChars="200" w:firstLine="640"/>
        <w:rPr>
          <w:rFonts w:ascii="仿宋_GB2312" w:eastAsia="仿宋_GB2312"/>
          <w:sz w:val="32"/>
          <w:szCs w:val="32"/>
        </w:rPr>
      </w:pPr>
      <w:r>
        <w:rPr>
          <w:rFonts w:ascii="仿宋_GB2312" w:eastAsia="仿宋_GB2312" w:hint="eastAsia"/>
          <w:sz w:val="32"/>
          <w:szCs w:val="32"/>
        </w:rPr>
        <w:t>为贯彻落实《北京市“十三五”时期交通发展建设规划》，加强停车综合治理，提升管理服务水平，根据《北京市机动车停车条例》的规定和北京市人民政府办公厅关于印发《北京市路侧停车管理改革方案》的通知（京政办字</w:t>
      </w:r>
      <w:r>
        <w:rPr>
          <w:rFonts w:ascii="仿宋_GB2312" w:eastAsia="仿宋_GB2312"/>
          <w:sz w:val="32"/>
          <w:szCs w:val="32"/>
        </w:rPr>
        <w:t>[2017]20</w:t>
      </w:r>
      <w:r>
        <w:rPr>
          <w:rFonts w:ascii="仿宋_GB2312" w:eastAsia="仿宋_GB2312" w:hint="eastAsia"/>
          <w:sz w:val="32"/>
          <w:szCs w:val="32"/>
        </w:rPr>
        <w:t>号）中提出的“改革路侧停车管理模式”要求，经东城区政府专题会审议通过，自</w:t>
      </w:r>
      <w:r>
        <w:rPr>
          <w:rFonts w:ascii="仿宋_GB2312" w:eastAsia="仿宋_GB2312"/>
          <w:sz w:val="32"/>
          <w:szCs w:val="32"/>
        </w:rPr>
        <w:t>2019</w:t>
      </w:r>
      <w:r>
        <w:rPr>
          <w:rFonts w:ascii="仿宋_GB2312" w:eastAsia="仿宋_GB2312" w:hint="eastAsia"/>
          <w:sz w:val="32"/>
          <w:szCs w:val="32"/>
        </w:rPr>
        <w:t>年起设立路侧停车电子收费政府购买服务专项资金，由东城区城管委通过招投标购买服务的方式，委托有规模、有实力、规范经营的专业化停车管理企业，负责本行政区域内路侧停车管理工作改革路侧停车管理模式，取消路侧停车管理特许经营。</w:t>
      </w:r>
    </w:p>
    <w:p w:rsidR="001C67D2" w:rsidRDefault="001C67D2">
      <w:pPr>
        <w:pStyle w:val="Heading2"/>
        <w:spacing w:before="0" w:after="0" w:line="480" w:lineRule="auto"/>
        <w:rPr>
          <w:rFonts w:ascii="仿宋_GB2312" w:eastAsia="仿宋_GB2312"/>
          <w:b w:val="0"/>
        </w:rPr>
      </w:pPr>
      <w:bookmarkStart w:id="2" w:name="_Toc450915842"/>
      <w:r>
        <w:rPr>
          <w:rFonts w:ascii="仿宋_GB2312" w:eastAsia="仿宋_GB2312"/>
          <w:b w:val="0"/>
        </w:rPr>
        <w:t xml:space="preserve">   </w:t>
      </w:r>
      <w:r>
        <w:rPr>
          <w:rFonts w:ascii="仿宋_GB2312" w:eastAsia="仿宋_GB2312" w:hint="eastAsia"/>
          <w:b w:val="0"/>
        </w:rPr>
        <w:t>（二）项目资金情况</w:t>
      </w:r>
      <w:bookmarkEnd w:id="2"/>
    </w:p>
    <w:p w:rsidR="001C67D2" w:rsidRDefault="001C67D2">
      <w:pPr>
        <w:adjustRightInd w:val="0"/>
        <w:spacing w:line="480" w:lineRule="auto"/>
        <w:ind w:firstLineChars="200" w:firstLine="640"/>
        <w:rPr>
          <w:rFonts w:ascii="仿宋_GB2312" w:eastAsia="仿宋_GB2312"/>
          <w:sz w:val="32"/>
          <w:szCs w:val="32"/>
        </w:rPr>
      </w:pPr>
      <w:r>
        <w:rPr>
          <w:rFonts w:ascii="仿宋_GB2312" w:eastAsia="仿宋_GB2312" w:hint="eastAsia"/>
          <w:sz w:val="32"/>
          <w:szCs w:val="32"/>
        </w:rPr>
        <w:t>东城区城管委路侧停车电子收费政府购买服务项目资金纳入</w:t>
      </w:r>
      <w:r>
        <w:rPr>
          <w:rFonts w:ascii="仿宋_GB2312" w:eastAsia="仿宋_GB2312"/>
          <w:sz w:val="32"/>
          <w:szCs w:val="32"/>
        </w:rPr>
        <w:t>2019</w:t>
      </w:r>
      <w:r>
        <w:rPr>
          <w:rFonts w:ascii="仿宋_GB2312" w:eastAsia="仿宋_GB2312" w:hint="eastAsia"/>
          <w:sz w:val="32"/>
          <w:szCs w:val="32"/>
        </w:rPr>
        <w:t>年部门预算，预算总额</w:t>
      </w:r>
      <w:r>
        <w:rPr>
          <w:rFonts w:ascii="仿宋_GB2312" w:eastAsia="仿宋_GB2312"/>
          <w:sz w:val="32"/>
          <w:szCs w:val="32"/>
        </w:rPr>
        <w:t>1,500.00</w:t>
      </w:r>
      <w:r>
        <w:rPr>
          <w:rFonts w:ascii="仿宋_GB2312" w:eastAsia="仿宋_GB2312" w:hint="eastAsia"/>
          <w:sz w:val="32"/>
          <w:szCs w:val="32"/>
        </w:rPr>
        <w:t>万元。</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月区财政追加东城区城管委城</w:t>
      </w:r>
      <w:r>
        <w:rPr>
          <w:rFonts w:ascii="仿宋_GB2312" w:eastAsia="仿宋_GB2312"/>
          <w:sz w:val="32"/>
          <w:szCs w:val="32"/>
        </w:rPr>
        <w:t>1,863.33</w:t>
      </w:r>
      <w:r>
        <w:rPr>
          <w:rFonts w:ascii="仿宋_GB2312" w:eastAsia="仿宋_GB2312" w:hint="eastAsia"/>
          <w:sz w:val="32"/>
          <w:szCs w:val="32"/>
        </w:rPr>
        <w:t>万元，该项目资金合计</w:t>
      </w:r>
      <w:r>
        <w:rPr>
          <w:rFonts w:ascii="仿宋_GB2312" w:eastAsia="仿宋_GB2312"/>
          <w:sz w:val="32"/>
          <w:szCs w:val="32"/>
        </w:rPr>
        <w:t>3,363.33</w:t>
      </w:r>
      <w:r>
        <w:rPr>
          <w:rFonts w:ascii="仿宋_GB2312" w:eastAsia="仿宋_GB2312" w:hint="eastAsia"/>
          <w:sz w:val="32"/>
          <w:szCs w:val="32"/>
        </w:rPr>
        <w:t>万元。</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月，东城区城管委支付静态公司</w:t>
      </w:r>
      <w:r>
        <w:rPr>
          <w:rFonts w:ascii="仿宋_GB2312" w:eastAsia="仿宋_GB2312"/>
          <w:sz w:val="32"/>
          <w:szCs w:val="32"/>
        </w:rPr>
        <w:t>3,363.33</w:t>
      </w:r>
      <w:r>
        <w:rPr>
          <w:rFonts w:ascii="仿宋_GB2312" w:eastAsia="仿宋_GB2312" w:hint="eastAsia"/>
          <w:sz w:val="32"/>
          <w:szCs w:val="32"/>
        </w:rPr>
        <w:t>万元，预算执行率为</w:t>
      </w:r>
      <w:r>
        <w:rPr>
          <w:rFonts w:ascii="仿宋_GB2312" w:eastAsia="仿宋_GB2312"/>
          <w:sz w:val="32"/>
          <w:szCs w:val="32"/>
        </w:rPr>
        <w:t>100.00%</w:t>
      </w:r>
      <w:r>
        <w:rPr>
          <w:rFonts w:ascii="仿宋_GB2312" w:eastAsia="仿宋_GB2312" w:hint="eastAsia"/>
          <w:sz w:val="32"/>
          <w:szCs w:val="32"/>
        </w:rPr>
        <w:t>。</w:t>
      </w:r>
    </w:p>
    <w:p w:rsidR="001C67D2" w:rsidRDefault="001C67D2">
      <w:pPr>
        <w:pStyle w:val="Heading2"/>
        <w:spacing w:before="0" w:after="0" w:line="480" w:lineRule="auto"/>
        <w:rPr>
          <w:rFonts w:ascii="仿宋_GB2312" w:eastAsia="仿宋_GB2312"/>
          <w:b w:val="0"/>
        </w:rPr>
      </w:pPr>
      <w:bookmarkStart w:id="3" w:name="_Toc450915843"/>
      <w:r>
        <w:rPr>
          <w:rFonts w:ascii="仿宋_GB2312" w:eastAsia="仿宋_GB2312"/>
          <w:b w:val="0"/>
        </w:rPr>
        <w:t xml:space="preserve">   </w:t>
      </w:r>
      <w:r>
        <w:rPr>
          <w:rFonts w:ascii="仿宋_GB2312" w:eastAsia="仿宋_GB2312" w:hint="eastAsia"/>
          <w:b w:val="0"/>
        </w:rPr>
        <w:t>（三）绩效目标</w:t>
      </w:r>
      <w:bookmarkEnd w:id="3"/>
    </w:p>
    <w:p w:rsidR="001C67D2" w:rsidRDefault="001C67D2">
      <w:pPr>
        <w:adjustRightInd w:val="0"/>
        <w:spacing w:line="480" w:lineRule="auto"/>
        <w:ind w:firstLineChars="200" w:firstLine="640"/>
        <w:rPr>
          <w:rFonts w:ascii="仿宋_GB2312" w:eastAsia="仿宋_GB2312"/>
          <w:sz w:val="32"/>
          <w:szCs w:val="32"/>
        </w:rPr>
      </w:pPr>
      <w:r>
        <w:rPr>
          <w:rFonts w:ascii="仿宋_GB2312" w:eastAsia="仿宋_GB2312" w:hint="eastAsia"/>
          <w:sz w:val="32"/>
          <w:szCs w:val="32"/>
        </w:rPr>
        <w:t>东城区城管委</w:t>
      </w:r>
      <w:r>
        <w:rPr>
          <w:rFonts w:ascii="仿宋_GB2312" w:eastAsia="仿宋_GB2312"/>
          <w:sz w:val="32"/>
          <w:szCs w:val="32"/>
        </w:rPr>
        <w:t>2019</w:t>
      </w:r>
      <w:r>
        <w:rPr>
          <w:rFonts w:ascii="仿宋_GB2312" w:eastAsia="仿宋_GB2312" w:hint="eastAsia"/>
          <w:sz w:val="32"/>
          <w:szCs w:val="32"/>
        </w:rPr>
        <w:t>年“路侧停车电子收费政府购买服务”项目绩效总体目标为：贯彻落实北京市路侧停车改革，宣传引导停车人形成“停车入位，停车付费，违停受罚”的意识，改善道路停车秩序，提升市容市貌环境，降低交通拥堵，增加财政可持续收益，提高市民道路停车满意度。</w:t>
      </w:r>
    </w:p>
    <w:p w:rsidR="001C67D2" w:rsidRDefault="001C67D2">
      <w:pPr>
        <w:pStyle w:val="Heading1"/>
        <w:spacing w:before="0" w:after="0" w:line="480" w:lineRule="auto"/>
        <w:ind w:firstLineChars="200" w:firstLine="643"/>
        <w:rPr>
          <w:rFonts w:ascii="宋体"/>
          <w:bCs w:val="0"/>
          <w:kern w:val="2"/>
          <w:sz w:val="32"/>
          <w:szCs w:val="32"/>
        </w:rPr>
      </w:pPr>
      <w:bookmarkStart w:id="4" w:name="_Toc450915844"/>
      <w:r>
        <w:rPr>
          <w:rFonts w:ascii="宋体" w:hAnsi="宋体" w:hint="eastAsia"/>
          <w:bCs w:val="0"/>
          <w:kern w:val="2"/>
          <w:sz w:val="32"/>
          <w:szCs w:val="32"/>
        </w:rPr>
        <w:t>二、评价工作简述</w:t>
      </w:r>
      <w:bookmarkEnd w:id="4"/>
    </w:p>
    <w:p w:rsidR="001C67D2" w:rsidRDefault="001C67D2">
      <w:pPr>
        <w:adjustRightInd w:val="0"/>
        <w:spacing w:line="480" w:lineRule="auto"/>
        <w:ind w:firstLineChars="200" w:firstLine="640"/>
        <w:rPr>
          <w:rFonts w:ascii="仿宋_GB2312" w:eastAsia="仿宋_GB2312" w:hAnsi="仿宋"/>
          <w:sz w:val="32"/>
          <w:szCs w:val="32"/>
        </w:rPr>
      </w:pPr>
      <w:bookmarkStart w:id="5" w:name="_Toc362852909"/>
      <w:bookmarkStart w:id="6" w:name="_Toc450915846"/>
      <w:r>
        <w:rPr>
          <w:rFonts w:ascii="仿宋_GB2312" w:eastAsia="仿宋_GB2312" w:hint="eastAsia"/>
          <w:sz w:val="32"/>
          <w:szCs w:val="32"/>
        </w:rPr>
        <w:t>项目评价工作遵循“标准统一、程序规范、客观公正、廉洁奉公”的原则，结合项目的特点，按照文件规定的评价方法，依据项目单位提供的资料，制定了东城区城管委路侧停车电子收费政府购买服务项目绩效的指标体系，遴选管理专家、业务专家和财务专家组成专家评价组，通过召开专家评价会，分别对项目决策、管理、绩效方面进行打分，形成专家评价意见，在汇总专家评价意见的基础上出具绩效评价报告，使评价工作得以顺利进行。</w:t>
      </w:r>
      <w:bookmarkStart w:id="7" w:name="_Toc450915847"/>
      <w:bookmarkEnd w:id="5"/>
      <w:bookmarkEnd w:id="6"/>
      <w:r>
        <w:rPr>
          <w:sz w:val="32"/>
          <w:szCs w:val="32"/>
        </w:rPr>
        <w:t xml:space="preserve"> </w:t>
      </w:r>
      <w:bookmarkEnd w:id="7"/>
    </w:p>
    <w:p w:rsidR="001C67D2" w:rsidRDefault="001C67D2">
      <w:pPr>
        <w:pStyle w:val="Heading1"/>
        <w:spacing w:before="0" w:after="0" w:line="480" w:lineRule="auto"/>
        <w:ind w:firstLineChars="196" w:firstLine="630"/>
        <w:rPr>
          <w:rFonts w:ascii="仿宋_GB2312" w:eastAsia="仿宋_GB2312" w:hAnsi="宋体"/>
          <w:sz w:val="32"/>
          <w:szCs w:val="32"/>
        </w:rPr>
      </w:pPr>
      <w:bookmarkStart w:id="8" w:name="_Toc450915851"/>
      <w:r>
        <w:rPr>
          <w:rFonts w:hint="eastAsia"/>
          <w:sz w:val="32"/>
          <w:szCs w:val="32"/>
        </w:rPr>
        <w:t>三、评价结论</w:t>
      </w:r>
      <w:bookmarkEnd w:id="8"/>
    </w:p>
    <w:p w:rsidR="001C67D2" w:rsidRDefault="001C67D2">
      <w:pPr>
        <w:widowControl/>
        <w:tabs>
          <w:tab w:val="left" w:pos="1843"/>
        </w:tabs>
        <w:ind w:firstLineChars="200" w:firstLine="640"/>
        <w:rPr>
          <w:rFonts w:ascii="仿宋_GB2312" w:eastAsia="仿宋_GB2312" w:hAnsi="宋体"/>
          <w:sz w:val="32"/>
          <w:szCs w:val="32"/>
        </w:rPr>
      </w:pPr>
      <w:r>
        <w:rPr>
          <w:rFonts w:ascii="仿宋_GB2312" w:eastAsia="仿宋_GB2312" w:hAnsi="宋体" w:hint="eastAsia"/>
          <w:sz w:val="32"/>
          <w:szCs w:val="32"/>
        </w:rPr>
        <w:t>经评议，该项目最终综合评价得分为</w:t>
      </w:r>
      <w:r>
        <w:rPr>
          <w:rFonts w:ascii="仿宋_GB2312" w:eastAsia="仿宋_GB2312" w:hAnsi="宋体"/>
          <w:sz w:val="32"/>
          <w:szCs w:val="32"/>
        </w:rPr>
        <w:t>83.82</w:t>
      </w:r>
      <w:r>
        <w:rPr>
          <w:rFonts w:ascii="仿宋_GB2312" w:eastAsia="仿宋_GB2312" w:hAnsi="宋体" w:hint="eastAsia"/>
          <w:sz w:val="32"/>
          <w:szCs w:val="32"/>
        </w:rPr>
        <w:t>分，评价绩效级别评定为“良好”。</w:t>
      </w:r>
    </w:p>
    <w:p w:rsidR="001C67D2" w:rsidRDefault="001C67D2">
      <w:pPr>
        <w:pStyle w:val="Heading1"/>
        <w:spacing w:before="0" w:after="0" w:line="480" w:lineRule="auto"/>
        <w:ind w:firstLineChars="196" w:firstLine="630"/>
        <w:rPr>
          <w:sz w:val="32"/>
          <w:szCs w:val="32"/>
        </w:rPr>
      </w:pPr>
      <w:bookmarkStart w:id="9" w:name="_Toc450915852"/>
      <w:r>
        <w:rPr>
          <w:rFonts w:hint="eastAsia"/>
          <w:sz w:val="32"/>
          <w:szCs w:val="32"/>
        </w:rPr>
        <w:t>四、存在问题</w:t>
      </w:r>
      <w:bookmarkEnd w:id="9"/>
    </w:p>
    <w:p w:rsidR="001C67D2" w:rsidRDefault="001C67D2">
      <w:pPr>
        <w:spacing w:line="480" w:lineRule="auto"/>
        <w:ind w:firstLineChars="200" w:firstLine="640"/>
        <w:rPr>
          <w:rFonts w:ascii="仿宋_GB2312" w:eastAsia="仿宋_GB2312" w:hAnsi="宋体"/>
          <w:sz w:val="32"/>
          <w:szCs w:val="32"/>
        </w:rPr>
      </w:pPr>
      <w:r>
        <w:rPr>
          <w:rFonts w:ascii="仿宋_GB2312" w:eastAsia="仿宋_GB2312" w:hAnsi="宋体" w:hint="eastAsia"/>
          <w:sz w:val="32"/>
          <w:szCs w:val="32"/>
        </w:rPr>
        <w:t>（一）项目前期可行性研究的科学性和合理性不够全面，对购买社会服务的理解和运行还需进一步加强研究。</w:t>
      </w:r>
      <w:r>
        <w:rPr>
          <w:rFonts w:ascii="仿宋_GB2312" w:eastAsia="仿宋_GB2312" w:hAnsi="仿宋" w:hint="eastAsia"/>
          <w:sz w:val="32"/>
          <w:szCs w:val="32"/>
        </w:rPr>
        <w:t>东城区城管委</w:t>
      </w:r>
      <w:r>
        <w:rPr>
          <w:rFonts w:ascii="仿宋_GB2312" w:eastAsia="仿宋_GB2312" w:hAnsi="宋体" w:hint="eastAsia"/>
          <w:sz w:val="32"/>
          <w:szCs w:val="32"/>
        </w:rPr>
        <w:t>对项目缺乏广泛的需求调研，未制订整体规划及整体实施方案。</w:t>
      </w:r>
    </w:p>
    <w:p w:rsidR="001C67D2" w:rsidRDefault="001C67D2">
      <w:pPr>
        <w:spacing w:line="480" w:lineRule="auto"/>
        <w:ind w:firstLineChars="200" w:firstLine="640"/>
        <w:rPr>
          <w:rFonts w:ascii="仿宋_GB2312" w:eastAsia="仿宋_GB2312" w:hAnsi="宋体"/>
          <w:sz w:val="32"/>
          <w:szCs w:val="32"/>
        </w:rPr>
      </w:pPr>
      <w:r>
        <w:rPr>
          <w:rFonts w:ascii="仿宋_GB2312" w:eastAsia="仿宋_GB2312" w:hAnsi="宋体" w:hint="eastAsia"/>
          <w:sz w:val="32"/>
          <w:szCs w:val="32"/>
        </w:rPr>
        <w:t>（二）该项目绩效目标申报表填报的数量指标及质量指标等均按项目实施单位口径填列，目标设置不合理。</w:t>
      </w:r>
    </w:p>
    <w:p w:rsidR="001C67D2" w:rsidRDefault="001C67D2">
      <w:pPr>
        <w:spacing w:line="480" w:lineRule="auto"/>
        <w:ind w:firstLineChars="200" w:firstLine="640"/>
        <w:rPr>
          <w:rFonts w:ascii="仿宋_GB2312" w:eastAsia="仿宋_GB2312" w:hAnsi="宋体"/>
          <w:sz w:val="32"/>
          <w:szCs w:val="32"/>
        </w:rPr>
      </w:pPr>
      <w:r>
        <w:rPr>
          <w:rFonts w:ascii="仿宋_GB2312" w:eastAsia="仿宋_GB2312" w:hAnsi="宋体" w:hint="eastAsia"/>
          <w:sz w:val="32"/>
          <w:szCs w:val="32"/>
        </w:rPr>
        <w:t>（三）项目管理机制不够完善，由于收支两条线和缺乏竞争，项目实施单位缺乏提升收费效率和收费服务质量的内在动力、停车位利用率考虑还不够全面，不利于调动服务企业的积极性。</w:t>
      </w:r>
    </w:p>
    <w:p w:rsidR="001C67D2" w:rsidRDefault="001C67D2">
      <w:pPr>
        <w:spacing w:line="480" w:lineRule="auto"/>
        <w:ind w:firstLineChars="200" w:firstLine="640"/>
        <w:rPr>
          <w:rFonts w:ascii="仿宋_GB2312" w:eastAsia="仿宋_GB2312" w:hAnsi="宋体"/>
          <w:sz w:val="32"/>
          <w:szCs w:val="32"/>
        </w:rPr>
      </w:pPr>
      <w:r>
        <w:rPr>
          <w:rFonts w:ascii="仿宋_GB2312" w:eastAsia="仿宋_GB2312" w:hAnsi="宋体" w:hint="eastAsia"/>
          <w:sz w:val="32"/>
          <w:szCs w:val="32"/>
        </w:rPr>
        <w:t>（四）项目过程管理的规范性不严谨，项目监管制度缺失，对项目实施单位缺乏过程监督管理，没有按目标要求对在年度内对中标企业实行持续监管、考核及按周、月形成报告。</w:t>
      </w:r>
    </w:p>
    <w:p w:rsidR="001C67D2" w:rsidRDefault="001C67D2">
      <w:pPr>
        <w:pStyle w:val="Heading1"/>
        <w:spacing w:before="0" w:after="0" w:line="480" w:lineRule="auto"/>
        <w:ind w:firstLineChars="196" w:firstLine="630"/>
        <w:rPr>
          <w:sz w:val="32"/>
          <w:szCs w:val="32"/>
        </w:rPr>
      </w:pPr>
      <w:bookmarkStart w:id="10" w:name="_Toc450915853"/>
      <w:r>
        <w:rPr>
          <w:rFonts w:hint="eastAsia"/>
          <w:sz w:val="32"/>
          <w:szCs w:val="32"/>
        </w:rPr>
        <w:t>五、建议</w:t>
      </w:r>
      <w:bookmarkEnd w:id="10"/>
    </w:p>
    <w:p w:rsidR="001C67D2" w:rsidRDefault="001C67D2">
      <w:pPr>
        <w:spacing w:line="360" w:lineRule="auto"/>
        <w:ind w:firstLineChars="200" w:firstLine="640"/>
        <w:rPr>
          <w:rFonts w:eastAsia="仿宋_GB2312"/>
          <w:bCs/>
          <w:sz w:val="32"/>
          <w:szCs w:val="32"/>
        </w:rPr>
      </w:pPr>
      <w:r>
        <w:rPr>
          <w:rFonts w:eastAsia="仿宋_GB2312" w:hint="eastAsia"/>
          <w:bCs/>
          <w:sz w:val="32"/>
          <w:szCs w:val="32"/>
        </w:rPr>
        <w:t>（一）在预算编制中强化前期的调研工作，注重项目可行性研究报告的严谨性和完整性，科学地制定预算；加强预算编制的前瞻性的研究，尽量避免不必要的追款项的发生；进一步强化项目绩效目标制定的科学性和完整性，提高预算制定的准确度。</w:t>
      </w:r>
    </w:p>
    <w:p w:rsidR="001C67D2" w:rsidRDefault="001C67D2">
      <w:pPr>
        <w:spacing w:line="480" w:lineRule="auto"/>
        <w:rPr>
          <w:rFonts w:eastAsia="仿宋_GB2312"/>
          <w:bCs/>
          <w:sz w:val="32"/>
          <w:szCs w:val="32"/>
        </w:rPr>
      </w:pPr>
      <w:r>
        <w:rPr>
          <w:rFonts w:eastAsia="仿宋_GB2312"/>
          <w:bCs/>
          <w:sz w:val="32"/>
          <w:szCs w:val="32"/>
        </w:rPr>
        <w:t xml:space="preserve">    </w:t>
      </w:r>
      <w:r>
        <w:rPr>
          <w:rFonts w:eastAsia="仿宋_GB2312" w:hint="eastAsia"/>
          <w:bCs/>
          <w:sz w:val="32"/>
          <w:szCs w:val="32"/>
        </w:rPr>
        <w:t>（二）进一步探索从使用要效益向从管理要效益转变，强化职责意识，加强管理机制的建设工作，强化过程管理的控制，积极落实对项目和人员考核制度，充分调动各级人员的积极性和主动性，发挥资金的使用效率。</w:t>
      </w:r>
    </w:p>
    <w:p w:rsidR="001C67D2" w:rsidRDefault="001C67D2">
      <w:pPr>
        <w:spacing w:line="480" w:lineRule="auto"/>
        <w:rPr>
          <w:rFonts w:eastAsia="仿宋_GB2312"/>
          <w:bCs/>
          <w:sz w:val="32"/>
          <w:szCs w:val="32"/>
        </w:rPr>
      </w:pPr>
      <w:r>
        <w:rPr>
          <w:rFonts w:eastAsia="仿宋_GB2312"/>
          <w:bCs/>
          <w:sz w:val="32"/>
          <w:szCs w:val="32"/>
        </w:rPr>
        <w:t xml:space="preserve">    </w:t>
      </w:r>
      <w:r>
        <w:rPr>
          <w:rFonts w:eastAsia="仿宋_GB2312" w:hint="eastAsia"/>
          <w:bCs/>
          <w:sz w:val="32"/>
          <w:szCs w:val="32"/>
        </w:rPr>
        <w:t>（三）加强项目成本控制管理意识，进一步健全项目监督管理制度，加强合同签订的规范性，严谨性。</w:t>
      </w:r>
    </w:p>
    <w:p w:rsidR="001C67D2" w:rsidRDefault="001C67D2">
      <w:pPr>
        <w:spacing w:line="480" w:lineRule="auto"/>
        <w:ind w:firstLineChars="250" w:firstLine="800"/>
        <w:rPr>
          <w:rFonts w:eastAsia="仿宋_GB2312"/>
          <w:bCs/>
          <w:sz w:val="32"/>
          <w:szCs w:val="32"/>
        </w:rPr>
      </w:pPr>
      <w:r>
        <w:rPr>
          <w:rFonts w:eastAsia="仿宋_GB2312" w:hint="eastAsia"/>
          <w:bCs/>
          <w:sz w:val="32"/>
          <w:szCs w:val="32"/>
        </w:rPr>
        <w:t>（四）进一步健全和完善相关制度建设工作，加强风险控制意识，在项目管理上加强合同执行的管理力度，降低资金使用风险。</w:t>
      </w:r>
    </w:p>
    <w:p w:rsidR="001C67D2" w:rsidRDefault="001C67D2">
      <w:pPr>
        <w:spacing w:line="480" w:lineRule="auto"/>
        <w:ind w:firstLineChars="250" w:firstLine="800"/>
        <w:rPr>
          <w:rFonts w:eastAsia="仿宋_GB2312"/>
          <w:bCs/>
          <w:sz w:val="32"/>
          <w:szCs w:val="32"/>
        </w:rPr>
      </w:pPr>
      <w:r>
        <w:rPr>
          <w:rFonts w:eastAsia="仿宋_GB2312" w:hint="eastAsia"/>
          <w:bCs/>
          <w:sz w:val="32"/>
          <w:szCs w:val="32"/>
        </w:rPr>
        <w:t>（五）进一步总结和提炼项目实施后的成果及经验，扩大宣传，希望能提供路侧停车电子收费政府购买服务标准，为政府采购工作提供依据支撑。</w:t>
      </w:r>
    </w:p>
    <w:p w:rsidR="001C67D2" w:rsidRDefault="001C67D2">
      <w:pPr>
        <w:spacing w:line="480" w:lineRule="auto"/>
        <w:ind w:firstLineChars="250" w:firstLine="800"/>
        <w:rPr>
          <w:rFonts w:eastAsia="仿宋_GB2312"/>
          <w:bCs/>
          <w:sz w:val="32"/>
          <w:szCs w:val="32"/>
        </w:rPr>
      </w:pPr>
      <w:r>
        <w:rPr>
          <w:rFonts w:eastAsia="仿宋_GB2312" w:hint="eastAsia"/>
          <w:bCs/>
          <w:sz w:val="32"/>
          <w:szCs w:val="32"/>
        </w:rPr>
        <w:t>（六）加强满意度调查的研究，制定可行的方案，加强对服务公司服务质量的考核，不断提高管理质量。</w:t>
      </w:r>
    </w:p>
    <w:sectPr w:rsidR="001C67D2" w:rsidSect="007C2382">
      <w:headerReference w:type="even" r:id="rId6"/>
      <w:headerReference w:type="default" r:id="rId7"/>
      <w:footerReference w:type="even" r:id="rId8"/>
      <w:headerReference w:type="first" r:id="rId9"/>
      <w:footerReference w:type="first" r:id="rId10"/>
      <w:pgSz w:w="11906" w:h="16838"/>
      <w:pgMar w:top="1440" w:right="1701"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D2" w:rsidRDefault="001C67D2" w:rsidP="007C2382">
      <w:r>
        <w:separator/>
      </w:r>
    </w:p>
  </w:endnote>
  <w:endnote w:type="continuationSeparator" w:id="0">
    <w:p w:rsidR="001C67D2" w:rsidRDefault="001C67D2" w:rsidP="007C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仿宋_GB2312"/>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2" w:rsidRDefault="001C6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2" w:rsidRDefault="001C6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D2" w:rsidRDefault="001C67D2" w:rsidP="007C2382">
      <w:r>
        <w:separator/>
      </w:r>
    </w:p>
  </w:footnote>
  <w:footnote w:type="continuationSeparator" w:id="0">
    <w:p w:rsidR="001C67D2" w:rsidRDefault="001C67D2" w:rsidP="007C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2" w:rsidRDefault="001C67D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2" w:rsidRDefault="001C67D2">
    <w:pPr>
      <w:pStyle w:val="Header"/>
      <w:pBdr>
        <w:bottom w:val="none" w:sz="0" w:space="0" w:color="auto"/>
      </w:pBdr>
    </w:pPr>
  </w:p>
  <w:p w:rsidR="001C67D2" w:rsidRDefault="001C67D2">
    <w:pPr>
      <w:pStyle w:val="Header"/>
      <w:pBdr>
        <w:bottom w:val="none" w:sz="0" w:space="0" w:color="auto"/>
      </w:pBdr>
    </w:pPr>
  </w:p>
  <w:p w:rsidR="001C67D2" w:rsidRDefault="001C67D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2" w:rsidRDefault="001C67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580"/>
    <w:rsid w:val="0000242D"/>
    <w:rsid w:val="0001676F"/>
    <w:rsid w:val="00017CAB"/>
    <w:rsid w:val="00021E23"/>
    <w:rsid w:val="00027BD2"/>
    <w:rsid w:val="0004220B"/>
    <w:rsid w:val="00046ED0"/>
    <w:rsid w:val="000560D3"/>
    <w:rsid w:val="00061AC7"/>
    <w:rsid w:val="00063FC2"/>
    <w:rsid w:val="00064943"/>
    <w:rsid w:val="000656E1"/>
    <w:rsid w:val="000720E3"/>
    <w:rsid w:val="00072DE0"/>
    <w:rsid w:val="000A1543"/>
    <w:rsid w:val="000B5D5F"/>
    <w:rsid w:val="000D20D2"/>
    <w:rsid w:val="000F3F54"/>
    <w:rsid w:val="000F529E"/>
    <w:rsid w:val="000F5F40"/>
    <w:rsid w:val="0010176F"/>
    <w:rsid w:val="00114176"/>
    <w:rsid w:val="00115CB3"/>
    <w:rsid w:val="00116227"/>
    <w:rsid w:val="00121BA3"/>
    <w:rsid w:val="00127346"/>
    <w:rsid w:val="001740F9"/>
    <w:rsid w:val="00177B59"/>
    <w:rsid w:val="00195F9B"/>
    <w:rsid w:val="001A1367"/>
    <w:rsid w:val="001B0AB8"/>
    <w:rsid w:val="001B7589"/>
    <w:rsid w:val="001C49CD"/>
    <w:rsid w:val="001C57A6"/>
    <w:rsid w:val="001C67D2"/>
    <w:rsid w:val="001E632C"/>
    <w:rsid w:val="001F54F2"/>
    <w:rsid w:val="001F7A73"/>
    <w:rsid w:val="00207B25"/>
    <w:rsid w:val="00210785"/>
    <w:rsid w:val="0023364D"/>
    <w:rsid w:val="00235F4D"/>
    <w:rsid w:val="00242B76"/>
    <w:rsid w:val="00256601"/>
    <w:rsid w:val="00256823"/>
    <w:rsid w:val="0026656A"/>
    <w:rsid w:val="002665DE"/>
    <w:rsid w:val="00272B47"/>
    <w:rsid w:val="00275C8F"/>
    <w:rsid w:val="0028474F"/>
    <w:rsid w:val="00286639"/>
    <w:rsid w:val="00292643"/>
    <w:rsid w:val="0029511F"/>
    <w:rsid w:val="002A56DF"/>
    <w:rsid w:val="002B5DEF"/>
    <w:rsid w:val="002C587D"/>
    <w:rsid w:val="002E7DAE"/>
    <w:rsid w:val="00306961"/>
    <w:rsid w:val="00316BB7"/>
    <w:rsid w:val="003207F6"/>
    <w:rsid w:val="00322221"/>
    <w:rsid w:val="00322BDE"/>
    <w:rsid w:val="003520E0"/>
    <w:rsid w:val="00362135"/>
    <w:rsid w:val="00363BEB"/>
    <w:rsid w:val="00364841"/>
    <w:rsid w:val="00387625"/>
    <w:rsid w:val="003915B1"/>
    <w:rsid w:val="0039589C"/>
    <w:rsid w:val="003C0AEF"/>
    <w:rsid w:val="003D6F4F"/>
    <w:rsid w:val="003F56B4"/>
    <w:rsid w:val="003F6EEA"/>
    <w:rsid w:val="004078EB"/>
    <w:rsid w:val="00410A31"/>
    <w:rsid w:val="00416BB5"/>
    <w:rsid w:val="00417A1B"/>
    <w:rsid w:val="004224DF"/>
    <w:rsid w:val="00423086"/>
    <w:rsid w:val="00426588"/>
    <w:rsid w:val="00433A5F"/>
    <w:rsid w:val="00434205"/>
    <w:rsid w:val="00442982"/>
    <w:rsid w:val="00450B11"/>
    <w:rsid w:val="00456171"/>
    <w:rsid w:val="0046763F"/>
    <w:rsid w:val="004923CD"/>
    <w:rsid w:val="00495275"/>
    <w:rsid w:val="00495EE4"/>
    <w:rsid w:val="00496C5E"/>
    <w:rsid w:val="004B5BBD"/>
    <w:rsid w:val="004B5FCE"/>
    <w:rsid w:val="004C0D60"/>
    <w:rsid w:val="004C10FB"/>
    <w:rsid w:val="004D6D35"/>
    <w:rsid w:val="004E0148"/>
    <w:rsid w:val="004E33FE"/>
    <w:rsid w:val="004E537A"/>
    <w:rsid w:val="004E6DF0"/>
    <w:rsid w:val="004F227C"/>
    <w:rsid w:val="004F4C67"/>
    <w:rsid w:val="004F4F59"/>
    <w:rsid w:val="005035D5"/>
    <w:rsid w:val="0050426E"/>
    <w:rsid w:val="005136BA"/>
    <w:rsid w:val="00524E01"/>
    <w:rsid w:val="00527505"/>
    <w:rsid w:val="00527F6F"/>
    <w:rsid w:val="0053511E"/>
    <w:rsid w:val="00540EF8"/>
    <w:rsid w:val="00547176"/>
    <w:rsid w:val="005525B7"/>
    <w:rsid w:val="005530D2"/>
    <w:rsid w:val="005531A4"/>
    <w:rsid w:val="0056223E"/>
    <w:rsid w:val="00562A08"/>
    <w:rsid w:val="005739C6"/>
    <w:rsid w:val="00577024"/>
    <w:rsid w:val="00585281"/>
    <w:rsid w:val="0058580E"/>
    <w:rsid w:val="00591CDA"/>
    <w:rsid w:val="00592D5F"/>
    <w:rsid w:val="00597C10"/>
    <w:rsid w:val="005A263B"/>
    <w:rsid w:val="005A4B1D"/>
    <w:rsid w:val="005B4343"/>
    <w:rsid w:val="005B5F20"/>
    <w:rsid w:val="005C1F6B"/>
    <w:rsid w:val="005C26BA"/>
    <w:rsid w:val="005C4908"/>
    <w:rsid w:val="005E164F"/>
    <w:rsid w:val="005E35FE"/>
    <w:rsid w:val="005F0026"/>
    <w:rsid w:val="005F7F33"/>
    <w:rsid w:val="00615969"/>
    <w:rsid w:val="00621E7F"/>
    <w:rsid w:val="00624C58"/>
    <w:rsid w:val="00624F10"/>
    <w:rsid w:val="0062763B"/>
    <w:rsid w:val="00632868"/>
    <w:rsid w:val="00634D3A"/>
    <w:rsid w:val="00643B4D"/>
    <w:rsid w:val="00653FF9"/>
    <w:rsid w:val="00664A82"/>
    <w:rsid w:val="00666AD2"/>
    <w:rsid w:val="006936BA"/>
    <w:rsid w:val="00695B40"/>
    <w:rsid w:val="006A222A"/>
    <w:rsid w:val="006B2E22"/>
    <w:rsid w:val="006B7678"/>
    <w:rsid w:val="006C70E4"/>
    <w:rsid w:val="006D778F"/>
    <w:rsid w:val="006E0689"/>
    <w:rsid w:val="006E600A"/>
    <w:rsid w:val="006F3C45"/>
    <w:rsid w:val="00702951"/>
    <w:rsid w:val="0072076C"/>
    <w:rsid w:val="00724F4D"/>
    <w:rsid w:val="0073062D"/>
    <w:rsid w:val="00741447"/>
    <w:rsid w:val="00752AA8"/>
    <w:rsid w:val="00754E8E"/>
    <w:rsid w:val="0075635E"/>
    <w:rsid w:val="00764678"/>
    <w:rsid w:val="00764F96"/>
    <w:rsid w:val="00773429"/>
    <w:rsid w:val="00774ABA"/>
    <w:rsid w:val="00777FB0"/>
    <w:rsid w:val="00784DC5"/>
    <w:rsid w:val="007901AA"/>
    <w:rsid w:val="007A1084"/>
    <w:rsid w:val="007B2BB5"/>
    <w:rsid w:val="007B51DB"/>
    <w:rsid w:val="007C2382"/>
    <w:rsid w:val="007E4A4F"/>
    <w:rsid w:val="0081015F"/>
    <w:rsid w:val="00831261"/>
    <w:rsid w:val="008472EC"/>
    <w:rsid w:val="008732CA"/>
    <w:rsid w:val="00874A59"/>
    <w:rsid w:val="00896E76"/>
    <w:rsid w:val="008A5EDB"/>
    <w:rsid w:val="008D018B"/>
    <w:rsid w:val="008D043E"/>
    <w:rsid w:val="00901605"/>
    <w:rsid w:val="00914A17"/>
    <w:rsid w:val="00921060"/>
    <w:rsid w:val="009215F0"/>
    <w:rsid w:val="00924BDD"/>
    <w:rsid w:val="0094267A"/>
    <w:rsid w:val="0095156F"/>
    <w:rsid w:val="00952228"/>
    <w:rsid w:val="00955D3E"/>
    <w:rsid w:val="00972888"/>
    <w:rsid w:val="00993D60"/>
    <w:rsid w:val="00995658"/>
    <w:rsid w:val="009A1947"/>
    <w:rsid w:val="009A20EC"/>
    <w:rsid w:val="009A242A"/>
    <w:rsid w:val="009B328A"/>
    <w:rsid w:val="009D15F0"/>
    <w:rsid w:val="009E0FC5"/>
    <w:rsid w:val="009E4338"/>
    <w:rsid w:val="009E6D6E"/>
    <w:rsid w:val="009F0065"/>
    <w:rsid w:val="009F0EA5"/>
    <w:rsid w:val="009F378D"/>
    <w:rsid w:val="009F393E"/>
    <w:rsid w:val="00A06F76"/>
    <w:rsid w:val="00A20428"/>
    <w:rsid w:val="00A2218F"/>
    <w:rsid w:val="00A366FB"/>
    <w:rsid w:val="00A46488"/>
    <w:rsid w:val="00A467ED"/>
    <w:rsid w:val="00A66B93"/>
    <w:rsid w:val="00A67FAA"/>
    <w:rsid w:val="00A75F85"/>
    <w:rsid w:val="00A76850"/>
    <w:rsid w:val="00A808DF"/>
    <w:rsid w:val="00A83347"/>
    <w:rsid w:val="00A945B2"/>
    <w:rsid w:val="00A95009"/>
    <w:rsid w:val="00AB19B3"/>
    <w:rsid w:val="00AB3E1F"/>
    <w:rsid w:val="00AC5444"/>
    <w:rsid w:val="00AD0D9F"/>
    <w:rsid w:val="00AD6800"/>
    <w:rsid w:val="00AE5F8D"/>
    <w:rsid w:val="00AE682A"/>
    <w:rsid w:val="00AF4950"/>
    <w:rsid w:val="00B0095F"/>
    <w:rsid w:val="00B11DEF"/>
    <w:rsid w:val="00B27FDB"/>
    <w:rsid w:val="00B504EA"/>
    <w:rsid w:val="00B62DAB"/>
    <w:rsid w:val="00B67177"/>
    <w:rsid w:val="00B74630"/>
    <w:rsid w:val="00B756D3"/>
    <w:rsid w:val="00B80AFF"/>
    <w:rsid w:val="00B81E20"/>
    <w:rsid w:val="00B96019"/>
    <w:rsid w:val="00BA0B2F"/>
    <w:rsid w:val="00BA2028"/>
    <w:rsid w:val="00BA699F"/>
    <w:rsid w:val="00BC6372"/>
    <w:rsid w:val="00BE01D3"/>
    <w:rsid w:val="00BF590B"/>
    <w:rsid w:val="00BF6525"/>
    <w:rsid w:val="00C02580"/>
    <w:rsid w:val="00C10D56"/>
    <w:rsid w:val="00C246CB"/>
    <w:rsid w:val="00C301B7"/>
    <w:rsid w:val="00C47B17"/>
    <w:rsid w:val="00C53F1F"/>
    <w:rsid w:val="00C65863"/>
    <w:rsid w:val="00C70520"/>
    <w:rsid w:val="00C73EB4"/>
    <w:rsid w:val="00C73EF7"/>
    <w:rsid w:val="00C82B8F"/>
    <w:rsid w:val="00CA489A"/>
    <w:rsid w:val="00CA4F14"/>
    <w:rsid w:val="00CC4736"/>
    <w:rsid w:val="00CD39C7"/>
    <w:rsid w:val="00CD7D36"/>
    <w:rsid w:val="00CE7028"/>
    <w:rsid w:val="00CF24F2"/>
    <w:rsid w:val="00D10E73"/>
    <w:rsid w:val="00D137FC"/>
    <w:rsid w:val="00D25DFF"/>
    <w:rsid w:val="00D72787"/>
    <w:rsid w:val="00D73963"/>
    <w:rsid w:val="00D90280"/>
    <w:rsid w:val="00D90AC2"/>
    <w:rsid w:val="00D9207C"/>
    <w:rsid w:val="00DA3380"/>
    <w:rsid w:val="00DA3BEA"/>
    <w:rsid w:val="00DA77E3"/>
    <w:rsid w:val="00DC0EB1"/>
    <w:rsid w:val="00DC15ED"/>
    <w:rsid w:val="00DC260A"/>
    <w:rsid w:val="00DE12D3"/>
    <w:rsid w:val="00DE39A3"/>
    <w:rsid w:val="00DF4CFE"/>
    <w:rsid w:val="00E15750"/>
    <w:rsid w:val="00E15E7B"/>
    <w:rsid w:val="00E16E9B"/>
    <w:rsid w:val="00E17747"/>
    <w:rsid w:val="00E43234"/>
    <w:rsid w:val="00E5281F"/>
    <w:rsid w:val="00E57753"/>
    <w:rsid w:val="00E61701"/>
    <w:rsid w:val="00E6382B"/>
    <w:rsid w:val="00E65410"/>
    <w:rsid w:val="00E6758F"/>
    <w:rsid w:val="00E757AC"/>
    <w:rsid w:val="00E76E2E"/>
    <w:rsid w:val="00E80960"/>
    <w:rsid w:val="00E826DA"/>
    <w:rsid w:val="00E83856"/>
    <w:rsid w:val="00E8716D"/>
    <w:rsid w:val="00E90C98"/>
    <w:rsid w:val="00E93265"/>
    <w:rsid w:val="00E93954"/>
    <w:rsid w:val="00EA4C4C"/>
    <w:rsid w:val="00EB17CD"/>
    <w:rsid w:val="00EC6B1C"/>
    <w:rsid w:val="00ED444A"/>
    <w:rsid w:val="00ED4AA2"/>
    <w:rsid w:val="00F03B28"/>
    <w:rsid w:val="00F165F9"/>
    <w:rsid w:val="00F47B6F"/>
    <w:rsid w:val="00F67812"/>
    <w:rsid w:val="00F724A8"/>
    <w:rsid w:val="00F77167"/>
    <w:rsid w:val="00F851C6"/>
    <w:rsid w:val="00F8716B"/>
    <w:rsid w:val="00FC32D5"/>
    <w:rsid w:val="00FC777D"/>
    <w:rsid w:val="00FF1D75"/>
    <w:rsid w:val="04AD4D5A"/>
    <w:rsid w:val="169A03A1"/>
    <w:rsid w:val="6C5E65D3"/>
    <w:rsid w:val="7A7F57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382"/>
    <w:pPr>
      <w:widowControl w:val="0"/>
      <w:jc w:val="both"/>
    </w:pPr>
    <w:rPr>
      <w:rFonts w:ascii="Calibri" w:hAnsi="Calibri"/>
    </w:rPr>
  </w:style>
  <w:style w:type="paragraph" w:styleId="Heading1">
    <w:name w:val="heading 1"/>
    <w:basedOn w:val="Normal"/>
    <w:next w:val="Normal"/>
    <w:link w:val="Heading1Char"/>
    <w:uiPriority w:val="99"/>
    <w:qFormat/>
    <w:rsid w:val="007C238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C2382"/>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C2382"/>
    <w:pPr>
      <w:keepNext/>
      <w:keepLines/>
      <w:spacing w:before="260" w:after="260" w:line="416" w:lineRule="auto"/>
      <w:outlineLvl w:val="2"/>
    </w:pPr>
    <w:rPr>
      <w:rFonts w:eastAsia="仿宋_GB2312"/>
      <w:b/>
      <w:bCs/>
      <w:sz w:val="32"/>
      <w:szCs w:val="32"/>
    </w:rPr>
  </w:style>
  <w:style w:type="paragraph" w:styleId="Heading4">
    <w:name w:val="heading 4"/>
    <w:basedOn w:val="Normal"/>
    <w:next w:val="Normal"/>
    <w:link w:val="Heading4Char"/>
    <w:uiPriority w:val="99"/>
    <w:qFormat/>
    <w:rsid w:val="007C2382"/>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382"/>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7C2382"/>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C2382"/>
    <w:rPr>
      <w:rFonts w:ascii="Calibri" w:eastAsia="仿宋_GB2312" w:hAnsi="Calibri" w:cs="Times New Roman"/>
      <w:b/>
      <w:bCs/>
      <w:sz w:val="32"/>
      <w:szCs w:val="32"/>
    </w:rPr>
  </w:style>
  <w:style w:type="character" w:customStyle="1" w:styleId="Heading4Char">
    <w:name w:val="Heading 4 Char"/>
    <w:basedOn w:val="DefaultParagraphFont"/>
    <w:link w:val="Heading4"/>
    <w:uiPriority w:val="99"/>
    <w:locked/>
    <w:rsid w:val="007C2382"/>
    <w:rPr>
      <w:rFonts w:ascii="Cambria" w:eastAsia="宋体" w:hAnsi="Cambria" w:cs="Times New Roman"/>
      <w:b/>
      <w:bCs/>
      <w:sz w:val="28"/>
      <w:szCs w:val="28"/>
    </w:rPr>
  </w:style>
  <w:style w:type="paragraph" w:styleId="BalloonText">
    <w:name w:val="Balloon Text"/>
    <w:basedOn w:val="Normal"/>
    <w:link w:val="BalloonTextChar"/>
    <w:uiPriority w:val="99"/>
    <w:rsid w:val="007C2382"/>
    <w:rPr>
      <w:sz w:val="18"/>
      <w:szCs w:val="18"/>
    </w:rPr>
  </w:style>
  <w:style w:type="character" w:customStyle="1" w:styleId="BalloonTextChar">
    <w:name w:val="Balloon Text Char"/>
    <w:basedOn w:val="DefaultParagraphFont"/>
    <w:link w:val="BalloonText"/>
    <w:uiPriority w:val="99"/>
    <w:semiHidden/>
    <w:locked/>
    <w:rsid w:val="007C2382"/>
    <w:rPr>
      <w:rFonts w:ascii="Calibri" w:eastAsia="宋体" w:hAnsi="Calibri" w:cs="Times New Roman"/>
      <w:sz w:val="18"/>
      <w:szCs w:val="18"/>
    </w:rPr>
  </w:style>
  <w:style w:type="paragraph" w:styleId="Footer">
    <w:name w:val="footer"/>
    <w:basedOn w:val="Normal"/>
    <w:link w:val="FooterChar"/>
    <w:uiPriority w:val="99"/>
    <w:rsid w:val="007C2382"/>
    <w:pPr>
      <w:tabs>
        <w:tab w:val="center" w:pos="4153"/>
        <w:tab w:val="right" w:pos="8306"/>
      </w:tabs>
      <w:snapToGrid w:val="0"/>
      <w:jc w:val="left"/>
    </w:pPr>
    <w:rPr>
      <w:rFonts w:cs="黑体"/>
      <w:sz w:val="18"/>
      <w:szCs w:val="18"/>
    </w:rPr>
  </w:style>
  <w:style w:type="character" w:customStyle="1" w:styleId="FooterChar">
    <w:name w:val="Footer Char"/>
    <w:basedOn w:val="DefaultParagraphFont"/>
    <w:link w:val="Footer"/>
    <w:uiPriority w:val="99"/>
    <w:locked/>
    <w:rsid w:val="007C2382"/>
    <w:rPr>
      <w:rFonts w:cs="Times New Roman"/>
      <w:sz w:val="18"/>
      <w:szCs w:val="18"/>
    </w:rPr>
  </w:style>
  <w:style w:type="paragraph" w:styleId="Header">
    <w:name w:val="header"/>
    <w:basedOn w:val="Normal"/>
    <w:link w:val="HeaderChar"/>
    <w:uiPriority w:val="99"/>
    <w:rsid w:val="007C2382"/>
    <w:pPr>
      <w:pBdr>
        <w:bottom w:val="single" w:sz="6" w:space="1" w:color="auto"/>
      </w:pBdr>
      <w:tabs>
        <w:tab w:val="center" w:pos="4153"/>
        <w:tab w:val="right" w:pos="8306"/>
      </w:tabs>
      <w:snapToGrid w:val="0"/>
      <w:jc w:val="center"/>
    </w:pPr>
    <w:rPr>
      <w:rFonts w:cs="黑体"/>
      <w:sz w:val="18"/>
      <w:szCs w:val="18"/>
    </w:rPr>
  </w:style>
  <w:style w:type="character" w:customStyle="1" w:styleId="HeaderChar">
    <w:name w:val="Header Char"/>
    <w:basedOn w:val="DefaultParagraphFont"/>
    <w:link w:val="Header"/>
    <w:uiPriority w:val="99"/>
    <w:locked/>
    <w:rsid w:val="007C2382"/>
    <w:rPr>
      <w:rFonts w:cs="Times New Roman"/>
      <w:sz w:val="18"/>
      <w:szCs w:val="18"/>
    </w:rPr>
  </w:style>
  <w:style w:type="paragraph" w:styleId="TOC1">
    <w:name w:val="toc 1"/>
    <w:basedOn w:val="Normal"/>
    <w:next w:val="Normal"/>
    <w:uiPriority w:val="99"/>
    <w:rsid w:val="007C2382"/>
    <w:pPr>
      <w:tabs>
        <w:tab w:val="right" w:leader="dot" w:pos="8302"/>
      </w:tabs>
    </w:pPr>
    <w:rPr>
      <w:rFonts w:ascii="宋体" w:hAnsi="宋体"/>
      <w:b/>
      <w:sz w:val="32"/>
      <w:szCs w:val="32"/>
    </w:rPr>
  </w:style>
  <w:style w:type="paragraph" w:styleId="TOC2">
    <w:name w:val="toc 2"/>
    <w:basedOn w:val="Normal"/>
    <w:next w:val="Normal"/>
    <w:uiPriority w:val="99"/>
    <w:rsid w:val="007C2382"/>
    <w:pPr>
      <w:ind w:leftChars="200" w:left="420"/>
    </w:pPr>
    <w:rPr>
      <w:rFonts w:eastAsia="仿宋_GB2312"/>
      <w:sz w:val="32"/>
    </w:rPr>
  </w:style>
  <w:style w:type="character" w:styleId="FollowedHyperlink">
    <w:name w:val="FollowedHyperlink"/>
    <w:basedOn w:val="DefaultParagraphFont"/>
    <w:uiPriority w:val="99"/>
    <w:rsid w:val="007C2382"/>
    <w:rPr>
      <w:rFonts w:cs="Times New Roman"/>
      <w:color w:val="800080"/>
      <w:u w:val="single"/>
    </w:rPr>
  </w:style>
  <w:style w:type="character" w:styleId="Hyperlink">
    <w:name w:val="Hyperlink"/>
    <w:basedOn w:val="DefaultParagraphFont"/>
    <w:uiPriority w:val="99"/>
    <w:rsid w:val="007C238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274</Words>
  <Characters>1562</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北京市东城区城市管理委员会</dc:title>
  <dc:subject/>
  <dc:creator>ylmfeng</dc:creator>
  <cp:keywords/>
  <dc:description/>
  <cp:lastModifiedBy>刘丽姝</cp:lastModifiedBy>
  <cp:revision>3</cp:revision>
  <cp:lastPrinted>2020-08-21T07:55:00Z</cp:lastPrinted>
  <dcterms:created xsi:type="dcterms:W3CDTF">2018-08-27T07:16:00Z</dcterms:created>
  <dcterms:modified xsi:type="dcterms:W3CDTF">2020-10-29T03:14:00Z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