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0" w:afterLines="0" w:line="560" w:lineRule="exact"/>
        <w:ind w:left="0" w:leftChars="0" w:right="0" w:rightChars="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关于</w:t>
      </w:r>
      <w:r>
        <w:rPr>
          <w:rFonts w:hint="eastAsia" w:ascii="Times New Roman" w:hAnsi="Times New Roman" w:eastAsia="方正小标宋简体" w:cs="Times New Roman"/>
          <w:sz w:val="40"/>
          <w:szCs w:val="40"/>
          <w:lang w:eastAsia="zh-CN"/>
        </w:rPr>
        <w:t>《</w:t>
      </w:r>
      <w:r>
        <w:rPr>
          <w:rFonts w:hint="default" w:ascii="Times New Roman" w:hAnsi="Times New Roman" w:eastAsia="方正小标宋简体" w:cs="Times New Roman"/>
          <w:b w:val="0"/>
          <w:bCs w:val="0"/>
          <w:sz w:val="44"/>
          <w:szCs w:val="44"/>
        </w:rPr>
        <w:t>关于</w:t>
      </w:r>
      <w:r>
        <w:rPr>
          <w:rFonts w:hint="default" w:ascii="Times New Roman" w:hAnsi="Times New Roman" w:eastAsia="方正小标宋简体" w:cs="Times New Roman"/>
          <w:b w:val="0"/>
          <w:bCs w:val="0"/>
          <w:sz w:val="44"/>
          <w:szCs w:val="44"/>
          <w:lang w:eastAsia="zh-CN"/>
        </w:rPr>
        <w:t>加速</w:t>
      </w:r>
      <w:r>
        <w:rPr>
          <w:rFonts w:hint="default" w:ascii="Times New Roman" w:hAnsi="Times New Roman" w:eastAsia="方正小标宋简体" w:cs="Times New Roman"/>
          <w:b w:val="0"/>
          <w:bCs w:val="0"/>
          <w:sz w:val="44"/>
          <w:szCs w:val="44"/>
        </w:rPr>
        <w:t>东城区国家文化与金融合作示范区</w:t>
      </w:r>
      <w:r>
        <w:rPr>
          <w:rFonts w:hint="eastAsia"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eastAsia="zh-CN"/>
        </w:rPr>
        <w:t>金融助力文化企业高质量发展</w:t>
      </w:r>
      <w:r>
        <w:rPr>
          <w:rFonts w:hint="default" w:ascii="Times New Roman" w:hAnsi="Times New Roman" w:eastAsia="方正小标宋简体" w:cs="Times New Roman"/>
          <w:b w:val="0"/>
          <w:bCs w:val="0"/>
          <w:sz w:val="44"/>
          <w:szCs w:val="44"/>
        </w:rPr>
        <w:t>的若干措施</w:t>
      </w:r>
      <w:r>
        <w:rPr>
          <w:rFonts w:hint="eastAsia" w:ascii="Times New Roman" w:hAnsi="Times New Roman" w:eastAsia="方正小标宋简体" w:cs="Times New Roman"/>
          <w:sz w:val="40"/>
          <w:szCs w:val="40"/>
          <w:lang w:eastAsia="zh-CN"/>
        </w:rPr>
        <w:t>》的</w:t>
      </w:r>
      <w:r>
        <w:rPr>
          <w:rFonts w:hint="eastAsia" w:ascii="Times New Roman" w:hAnsi="Times New Roman" w:eastAsia="方正小标宋简体" w:cs="Times New Roman"/>
          <w:sz w:val="44"/>
          <w:szCs w:val="44"/>
          <w:lang w:eastAsia="zh-CN"/>
        </w:rPr>
        <w:t>起草说明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全速推进“崇文争先”，全力做实“六字文章”，</w:t>
      </w:r>
      <w:r>
        <w:rPr>
          <w:rFonts w:hint="default" w:ascii="Times New Roman" w:hAnsi="Times New Roman" w:eastAsia="仿宋_GB2312" w:cs="Times New Roman"/>
          <w:sz w:val="32"/>
          <w:szCs w:val="32"/>
        </w:rPr>
        <w:t>按照市委和区委主要领导的工作要求，</w:t>
      </w:r>
      <w:r>
        <w:rPr>
          <w:rFonts w:hint="eastAsia" w:ascii="Times New Roman" w:hAnsi="Times New Roman" w:eastAsia="仿宋_GB2312" w:cs="Times New Roman"/>
          <w:sz w:val="32"/>
          <w:szCs w:val="32"/>
          <w:lang w:eastAsia="zh-CN"/>
        </w:rPr>
        <w:t>高水平</w:t>
      </w:r>
      <w:r>
        <w:rPr>
          <w:rFonts w:hint="default" w:ascii="Times New Roman" w:hAnsi="Times New Roman" w:eastAsia="仿宋_GB2312" w:cs="Times New Roman"/>
          <w:sz w:val="32"/>
          <w:szCs w:val="32"/>
        </w:rPr>
        <w:t>推进国家文化与金融合作示范区创建工作，区文促中心牵头起草了《关于加速东城区国家文化与金融合作示范区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金融助力文化企业高质量发展的若干措施》（以下简称《</w:t>
      </w:r>
      <w:r>
        <w:rPr>
          <w:rFonts w:hint="eastAsia" w:ascii="Times New Roman" w:hAnsi="Times New Roman" w:eastAsia="仿宋_GB2312" w:cs="Times New Roman"/>
          <w:sz w:val="32"/>
          <w:szCs w:val="32"/>
          <w:lang w:eastAsia="zh-CN"/>
        </w:rPr>
        <w:t>若干措施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22"/>
        </w:rPr>
        <w:t>现将</w:t>
      </w:r>
      <w:r>
        <w:rPr>
          <w:rFonts w:hint="eastAsia" w:ascii="Times New Roman" w:hAnsi="Times New Roman" w:eastAsia="仿宋_GB2312" w:cs="Times New Roman"/>
          <w:sz w:val="32"/>
          <w:szCs w:val="22"/>
          <w:lang w:eastAsia="zh-CN"/>
        </w:rPr>
        <w:t>起草</w:t>
      </w:r>
      <w:r>
        <w:rPr>
          <w:rFonts w:hint="default" w:ascii="Times New Roman" w:hAnsi="Times New Roman" w:eastAsia="仿宋_GB2312" w:cs="Times New Roman"/>
          <w:sz w:val="32"/>
          <w:szCs w:val="22"/>
        </w:rPr>
        <w:t>有关情况汇报如下</w:t>
      </w:r>
      <w:r>
        <w:rPr>
          <w:rFonts w:hint="eastAsia" w:ascii="Times New Roman" w:hAnsi="Times New Roman" w:eastAsia="仿宋_GB2312" w:cs="Times New Roman"/>
          <w:sz w:val="32"/>
          <w:szCs w:val="2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eastAsia="zh-CN"/>
        </w:rPr>
        <w:t>背景情况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2019年12月6日，文化和旅游部、中国人民银行、财政部正式批准我区获得首批示范区的创建资格。在此期间，我区聚焦构建文化企业信用评级、文化信贷风险分担、文化创业投资扶持引导、文化资产定价流转“四个体系”，重点探索文化金融产品和服务、文化与金融合作模式“两个创新”，从工作机制建设、政策体系完善、服务力度强化等方面大力推进。推动北京市出台《关于加快推进国家文化与金融合作示范区发展的若干措施》</w:t>
      </w:r>
      <w:r>
        <w:rPr>
          <w:rFonts w:hint="eastAsia" w:ascii="Times New Roman" w:hAnsi="Times New Roman" w:eastAsia="仿宋_GB2312" w:cs="Times New Roman"/>
          <w:sz w:val="32"/>
          <w:lang w:eastAsia="zh-CN"/>
        </w:rPr>
        <w:t>，制定</w:t>
      </w:r>
      <w:r>
        <w:rPr>
          <w:rFonts w:hint="default" w:ascii="Times New Roman" w:hAnsi="Times New Roman" w:eastAsia="仿宋_GB2312" w:cs="Times New Roman"/>
          <w:sz w:val="32"/>
        </w:rPr>
        <w:t>《东城区国家文化与金融合作示范区建设规划》《东城区创建国家文化与金融合作示范区行动计划》</w:t>
      </w:r>
      <w:r>
        <w:rPr>
          <w:rFonts w:hint="eastAsia" w:ascii="Times New Roman" w:hAnsi="Times New Roman" w:eastAsia="仿宋_GB2312" w:cs="Times New Roman"/>
          <w:sz w:val="32"/>
          <w:lang w:eastAsia="zh-CN"/>
        </w:rPr>
        <w:t>；挂牌</w:t>
      </w:r>
      <w:r>
        <w:rPr>
          <w:rFonts w:hint="eastAsia" w:ascii="Times New Roman" w:hAnsi="Times New Roman" w:eastAsia="仿宋_GB2312" w:cs="Times New Roman"/>
          <w:sz w:val="32"/>
          <w:lang w:val="en-US" w:eastAsia="zh-CN"/>
        </w:rPr>
        <w:t>3家国家文化与金融合作示范区支行；</w:t>
      </w:r>
      <w:r>
        <w:rPr>
          <w:rFonts w:hint="eastAsia" w:ascii="Times New Roman" w:hAnsi="Times New Roman" w:eastAsia="仿宋_GB2312" w:cs="Times New Roman"/>
          <w:sz w:val="32"/>
          <w:lang w:eastAsia="zh-CN"/>
        </w:rPr>
        <w:t>会同</w:t>
      </w:r>
      <w:r>
        <w:rPr>
          <w:rFonts w:hint="default" w:ascii="Times New Roman" w:hAnsi="Times New Roman" w:eastAsia="仿宋_GB2312" w:cs="Times New Roman"/>
          <w:sz w:val="32"/>
        </w:rPr>
        <w:t>中国人民银行营业管理部、市委宣传部、银保监会北京监管局、市地方金融监管局等七部门出台《国家文化与金融合作示范区文创专营组织机构认定与评估方案》，认定东城区8家金融机构为国家文化与金融合作示范区文创专营组织机构，为示范区文创专营、特色支行认定标准进行了探索性界定</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构建了活力充沛、竞争充分、内生动力强劲的文化金融促进体系。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黑体" w:cs="Times New Roman"/>
          <w:sz w:val="32"/>
          <w:szCs w:val="22"/>
          <w:lang w:eastAsia="zh-CN"/>
        </w:rPr>
      </w:pPr>
      <w:r>
        <w:rPr>
          <w:rFonts w:hint="eastAsia" w:ascii="Times New Roman" w:hAnsi="Times New Roman" w:eastAsia="黑体" w:cs="Times New Roman"/>
          <w:sz w:val="32"/>
          <w:szCs w:val="22"/>
          <w:lang w:eastAsia="zh-CN"/>
        </w:rPr>
        <w:t>编制过程及意义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32"/>
        </w:rPr>
        <w:t>2021年5月6日</w:t>
      </w:r>
      <w:r>
        <w:rPr>
          <w:rFonts w:hint="eastAsia" w:ascii="Times New Roman" w:hAnsi="Times New Roman" w:eastAsia="仿宋_GB2312" w:cs="Times New Roman"/>
          <w:sz w:val="32"/>
          <w:szCs w:val="32"/>
          <w:lang w:eastAsia="zh-CN"/>
        </w:rPr>
        <w:t>，文化和旅游部印发</w:t>
      </w:r>
      <w:r>
        <w:rPr>
          <w:rFonts w:hint="eastAsia" w:ascii="Times New Roman" w:hAnsi="Times New Roman" w:eastAsia="仿宋_GB2312" w:cs="Times New Roman"/>
          <w:sz w:val="32"/>
          <w:szCs w:val="32"/>
        </w:rPr>
        <w:t>《“十四五”文化产业发展规划》</w:t>
      </w:r>
      <w:r>
        <w:rPr>
          <w:rFonts w:hint="eastAsia" w:ascii="Times New Roman" w:hAnsi="Times New Roman" w:eastAsia="仿宋_GB2312" w:cs="Times New Roman"/>
          <w:sz w:val="32"/>
          <w:szCs w:val="32"/>
          <w:lang w:eastAsia="zh-CN"/>
        </w:rPr>
        <w:t>，明确提出</w:t>
      </w:r>
      <w:r>
        <w:rPr>
          <w:rFonts w:hint="eastAsia" w:ascii="Times New Roman" w:hAnsi="Times New Roman" w:eastAsia="仿宋_GB2312" w:cs="Times New Roman"/>
          <w:sz w:val="32"/>
          <w:szCs w:val="32"/>
        </w:rPr>
        <w:t>“推动文化与金融合作不断深化，鼓励和引导金融资本、社会资本与文化资源相结合，健全多层次、多渠道、多元化的文化产业投融资体系，切实提高文化企业金融服务的覆盖面、可得性和便利性”</w:t>
      </w:r>
      <w:r>
        <w:rPr>
          <w:rFonts w:hint="eastAsia" w:ascii="Times New Roman" w:hAnsi="Times New Roman" w:eastAsia="仿宋_GB2312" w:cs="Times New Roman"/>
          <w:sz w:val="32"/>
          <w:szCs w:val="32"/>
          <w:lang w:eastAsia="zh-CN"/>
        </w:rPr>
        <w:t>。2021年10月，《北京市“十四五”时期文化和旅游发展规划》也提出“支持企业拓宽融资渠道，鼓励金融机构加大信贷支持。引导预期收益好、品牌认可度高的企业积极探索利用权利质押等担保方式获得融资。”</w:t>
      </w:r>
      <w:r>
        <w:rPr>
          <w:rFonts w:ascii="Times New Roman" w:hAnsi="Times New Roman" w:eastAsia="仿宋_GB2312" w:cs="Times New Roman"/>
          <w:sz w:val="32"/>
          <w:szCs w:val="32"/>
        </w:rPr>
        <w:t>我区立足当前国家、北京市文化</w:t>
      </w:r>
      <w:r>
        <w:rPr>
          <w:rFonts w:hint="eastAsia" w:ascii="Times New Roman" w:hAnsi="Times New Roman" w:eastAsia="仿宋_GB2312" w:cs="Times New Roman"/>
          <w:sz w:val="32"/>
          <w:szCs w:val="32"/>
          <w:lang w:eastAsia="zh-CN"/>
        </w:rPr>
        <w:t>金融</w:t>
      </w:r>
      <w:r>
        <w:rPr>
          <w:rFonts w:ascii="Times New Roman" w:hAnsi="Times New Roman" w:eastAsia="仿宋_GB2312" w:cs="Times New Roman"/>
          <w:sz w:val="32"/>
          <w:szCs w:val="32"/>
        </w:rPr>
        <w:t>发展新趋势、新变化和新要求，结合区域文化产业</w:t>
      </w:r>
      <w:r>
        <w:rPr>
          <w:rFonts w:hint="eastAsia" w:ascii="Times New Roman" w:hAnsi="Times New Roman" w:eastAsia="仿宋_GB2312" w:cs="Times New Roman"/>
          <w:sz w:val="32"/>
          <w:szCs w:val="32"/>
          <w:lang w:eastAsia="zh-CN"/>
        </w:rPr>
        <w:t>高质量</w:t>
      </w:r>
      <w:r>
        <w:rPr>
          <w:rFonts w:ascii="Times New Roman" w:hAnsi="Times New Roman" w:eastAsia="仿宋_GB2312" w:cs="Times New Roman"/>
          <w:sz w:val="32"/>
          <w:szCs w:val="32"/>
        </w:rPr>
        <w:t>发展要求，</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北京</w:t>
      </w:r>
      <w:bookmarkStart w:id="0" w:name="_GoBack"/>
      <w:bookmarkEnd w:id="0"/>
      <w:r>
        <w:rPr>
          <w:rFonts w:hint="eastAsia" w:ascii="Times New Roman" w:hAnsi="Times New Roman" w:eastAsia="仿宋_GB2312" w:cs="Times New Roman"/>
          <w:sz w:val="32"/>
          <w:szCs w:val="32"/>
        </w:rPr>
        <w:t>银保监局</w:t>
      </w:r>
      <w:r>
        <w:rPr>
          <w:rFonts w:hint="eastAsia" w:ascii="Times New Roman" w:hAnsi="Times New Roman" w:eastAsia="仿宋_GB2312" w:cs="Times New Roman"/>
          <w:sz w:val="32"/>
          <w:szCs w:val="32"/>
          <w:lang w:eastAsia="zh-CN"/>
        </w:rPr>
        <w:t>共同</w:t>
      </w:r>
      <w:r>
        <w:rPr>
          <w:rFonts w:hint="eastAsia" w:ascii="Times New Roman" w:hAnsi="Times New Roman" w:eastAsia="仿宋_GB2312" w:cs="Times New Roman"/>
          <w:sz w:val="32"/>
          <w:szCs w:val="32"/>
        </w:rPr>
        <w:t>编制出台此项《</w:t>
      </w:r>
      <w:r>
        <w:rPr>
          <w:rFonts w:hint="eastAsia" w:ascii="Times New Roman" w:hAnsi="Times New Roman" w:eastAsia="仿宋_GB2312" w:cs="Times New Roman"/>
          <w:sz w:val="32"/>
          <w:szCs w:val="32"/>
          <w:lang w:eastAsia="zh-CN"/>
        </w:rPr>
        <w:t>若干措施</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主要围绕</w:t>
      </w:r>
      <w:r>
        <w:rPr>
          <w:rFonts w:hint="eastAsia" w:ascii="Times New Roman" w:hAnsi="Times New Roman" w:eastAsia="仿宋_GB2312" w:cs="Times New Roman"/>
          <w:sz w:val="32"/>
          <w:szCs w:val="32"/>
        </w:rPr>
        <w:t>建立“白名单”双向推送机制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创新文化金融特色服务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发挥出口信用保险作用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支持文化企业发展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完善政策服务体系</w:t>
      </w:r>
      <w:r>
        <w:rPr>
          <w:rFonts w:hint="eastAsia" w:ascii="Times New Roman" w:hAnsi="Times New Roman" w:eastAsia="仿宋_GB2312" w:cs="Times New Roman"/>
          <w:sz w:val="32"/>
          <w:szCs w:val="32"/>
          <w:lang w:eastAsia="zh-CN"/>
        </w:rPr>
        <w:t>等方面，促进文化产业与金融产业深层次融合，强化顶层设计和统筹协调，市区政策共同发力，将我区建设成为全国文化金融合作发展示范高地。</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黑体" w:cs="Times New Roman"/>
          <w:sz w:val="32"/>
          <w:szCs w:val="22"/>
          <w:lang w:eastAsia="zh-CN"/>
        </w:rPr>
      </w:pPr>
      <w:r>
        <w:rPr>
          <w:rFonts w:hint="eastAsia" w:ascii="Times New Roman" w:hAnsi="Times New Roman" w:eastAsia="黑体" w:cs="Times New Roman"/>
          <w:sz w:val="32"/>
          <w:szCs w:val="22"/>
          <w:lang w:eastAsia="zh-CN"/>
        </w:rPr>
        <w:t>主要内容</w:t>
      </w:r>
    </w:p>
    <w:p>
      <w:pPr>
        <w:widowControl w:val="0"/>
        <w:spacing w:line="560" w:lineRule="exact"/>
        <w:ind w:firstLine="641"/>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若干措施</w:t>
      </w:r>
      <w:r>
        <w:rPr>
          <w:rFonts w:ascii="Times New Roman" w:hAnsi="Times New Roman" w:eastAsia="仿宋_GB2312" w:cs="Times New Roman"/>
          <w:sz w:val="32"/>
          <w:szCs w:val="32"/>
          <w:lang w:val="zh-CN"/>
        </w:rPr>
        <w:t>》共分为</w:t>
      </w:r>
      <w:r>
        <w:rPr>
          <w:rFonts w:hint="eastAsia" w:ascii="Times New Roman" w:hAnsi="Times New Roman" w:eastAsia="仿宋_GB2312" w:cs="Times New Roman"/>
          <w:sz w:val="32"/>
          <w:szCs w:val="32"/>
          <w:lang w:val="zh-CN"/>
        </w:rPr>
        <w:t>三</w:t>
      </w:r>
      <w:r>
        <w:rPr>
          <w:rFonts w:ascii="Times New Roman" w:hAnsi="Times New Roman" w:eastAsia="仿宋_GB2312" w:cs="Times New Roman"/>
          <w:sz w:val="32"/>
          <w:szCs w:val="32"/>
          <w:lang w:val="zh-CN"/>
        </w:rPr>
        <w:t>个部分，包含</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b/>
          <w:sz w:val="32"/>
          <w:szCs w:val="32"/>
        </w:rPr>
        <w:t>6条</w:t>
      </w:r>
      <w:r>
        <w:rPr>
          <w:rFonts w:hint="eastAsia" w:ascii="Times New Roman" w:hAnsi="Times New Roman" w:eastAsia="仿宋_GB2312" w:cs="Times New Roman"/>
          <w:b w:val="0"/>
          <w:bCs/>
          <w:sz w:val="32"/>
          <w:szCs w:val="32"/>
          <w:lang w:eastAsia="zh-CN"/>
        </w:rPr>
        <w:t>主要举措</w:t>
      </w:r>
      <w:r>
        <w:rPr>
          <w:rFonts w:ascii="Times New Roman" w:hAnsi="Times New Roman" w:eastAsia="仿宋_GB2312" w:cs="Times New Roman"/>
          <w:sz w:val="32"/>
          <w:szCs w:val="32"/>
          <w:lang w:val="zh-CN"/>
        </w:rPr>
        <w:t>。</w:t>
      </w:r>
    </w:p>
    <w:p>
      <w:pPr>
        <w:widowControl w:val="0"/>
        <w:tabs>
          <w:tab w:val="left" w:pos="880"/>
          <w:tab w:val="right" w:leader="dot" w:pos="8833"/>
        </w:tabs>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第一部分为</w:t>
      </w:r>
      <w:r>
        <w:rPr>
          <w:rFonts w:hint="eastAsia" w:ascii="Times New Roman" w:hAnsi="Times New Roman" w:eastAsia="仿宋_GB2312" w:cs="Times New Roman"/>
          <w:sz w:val="32"/>
          <w:szCs w:val="32"/>
          <w:lang w:eastAsia="zh-CN"/>
        </w:rPr>
        <w:t>总体要求，</w:t>
      </w:r>
      <w:r>
        <w:rPr>
          <w:rFonts w:ascii="Times New Roman" w:hAnsi="Times New Roman" w:eastAsia="仿宋_GB2312" w:cs="Times New Roman"/>
          <w:sz w:val="32"/>
          <w:szCs w:val="32"/>
        </w:rPr>
        <w:t>明确了指导思想</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基本原则。</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kern w:val="0"/>
          <w:sz w:val="32"/>
          <w:shd w:val="clear" w:color="auto" w:fill="FFFFFF"/>
          <w:lang w:eastAsia="zh-CN"/>
        </w:rPr>
      </w:pPr>
      <w:r>
        <w:rPr>
          <w:rFonts w:hint="eastAsia" w:ascii="Times New Roman" w:hAnsi="Times New Roman" w:eastAsia="仿宋_GB2312" w:cs="Times New Roman"/>
          <w:kern w:val="2"/>
          <w:sz w:val="32"/>
          <w:szCs w:val="32"/>
          <w:lang w:val="en-US" w:eastAsia="zh-CN" w:bidi="ar-SA"/>
        </w:rPr>
        <w:t>第二部分为主要举措，</w:t>
      </w:r>
      <w:r>
        <w:rPr>
          <w:rFonts w:ascii="Times New Roman" w:hAnsi="Times New Roman" w:eastAsia="仿宋_GB2312" w:cs="Times New Roman"/>
          <w:sz w:val="32"/>
          <w:szCs w:val="32"/>
        </w:rPr>
        <w:t>聚焦</w:t>
      </w:r>
      <w:r>
        <w:rPr>
          <w:rFonts w:hint="eastAsia" w:ascii="Times New Roman" w:hAnsi="Times New Roman" w:eastAsia="仿宋_GB2312" w:cs="Times New Roman"/>
          <w:sz w:val="32"/>
          <w:szCs w:val="32"/>
          <w:lang w:eastAsia="zh-CN"/>
        </w:rPr>
        <w:t>推动</w:t>
      </w:r>
      <w:r>
        <w:rPr>
          <w:rFonts w:ascii="Times New Roman" w:hAnsi="Times New Roman" w:eastAsia="仿宋_GB2312" w:cs="Times New Roman"/>
          <w:bCs/>
          <w:sz w:val="32"/>
          <w:szCs w:val="32"/>
        </w:rPr>
        <w:t>文化</w:t>
      </w:r>
      <w:r>
        <w:rPr>
          <w:rFonts w:hint="eastAsia" w:ascii="Times New Roman" w:hAnsi="Times New Roman" w:eastAsia="仿宋_GB2312" w:cs="Times New Roman"/>
          <w:bCs/>
          <w:sz w:val="32"/>
          <w:szCs w:val="32"/>
          <w:lang w:eastAsia="zh-CN"/>
        </w:rPr>
        <w:t>金融深度融合</w:t>
      </w:r>
      <w:r>
        <w:rPr>
          <w:rFonts w:ascii="Times New Roman" w:hAnsi="Times New Roman" w:eastAsia="仿宋_GB2312" w:cs="Times New Roman"/>
          <w:bCs/>
          <w:sz w:val="32"/>
          <w:szCs w:val="32"/>
        </w:rPr>
        <w:t>发展的</w:t>
      </w:r>
      <w:r>
        <w:rPr>
          <w:rFonts w:hint="eastAsia" w:ascii="Times New Roman" w:hAnsi="Times New Roman" w:eastAsia="仿宋_GB2312" w:cs="Times New Roman"/>
          <w:bCs/>
          <w:sz w:val="32"/>
          <w:szCs w:val="32"/>
          <w:lang w:val="en-US" w:eastAsia="zh-CN"/>
        </w:rPr>
        <w:t>5</w:t>
      </w:r>
      <w:r>
        <w:rPr>
          <w:rFonts w:ascii="Times New Roman" w:hAnsi="Times New Roman" w:eastAsia="仿宋_GB2312" w:cs="Times New Roman"/>
          <w:bCs/>
          <w:sz w:val="32"/>
          <w:szCs w:val="32"/>
        </w:rPr>
        <w:t>个</w:t>
      </w:r>
      <w:r>
        <w:rPr>
          <w:rFonts w:hint="eastAsia" w:ascii="Times New Roman" w:hAnsi="Times New Roman" w:eastAsia="仿宋_GB2312" w:cs="Times New Roman"/>
          <w:bCs/>
          <w:sz w:val="32"/>
          <w:szCs w:val="32"/>
          <w:lang w:eastAsia="zh-CN"/>
        </w:rPr>
        <w:t>重要领域</w:t>
      </w:r>
      <w:r>
        <w:rPr>
          <w:rFonts w:ascii="Times New Roman" w:hAnsi="Times New Roman" w:eastAsia="仿宋_GB2312" w:cs="Times New Roman"/>
          <w:bCs/>
          <w:sz w:val="32"/>
          <w:szCs w:val="32"/>
        </w:rPr>
        <w:t>。</w:t>
      </w:r>
      <w:r>
        <w:rPr>
          <w:rFonts w:hint="eastAsia" w:ascii="Times New Roman" w:hAnsi="Times New Roman" w:eastAsia="仿宋_GB2312" w:cs="Times New Roman"/>
          <w:b/>
          <w:bCs w:val="0"/>
          <w:sz w:val="32"/>
          <w:szCs w:val="32"/>
          <w:lang w:eastAsia="zh-CN"/>
        </w:rPr>
        <w:t>一是</w:t>
      </w:r>
      <w:r>
        <w:rPr>
          <w:rFonts w:hint="eastAsia" w:ascii="Times New Roman" w:hAnsi="Times New Roman" w:eastAsia="仿宋_GB2312" w:cs="Times New Roman"/>
          <w:b w:val="0"/>
          <w:bCs/>
          <w:kern w:val="0"/>
          <w:sz w:val="32"/>
          <w:shd w:val="clear" w:color="auto" w:fill="FFFFFF"/>
          <w:lang w:eastAsia="zh-CN"/>
        </w:rPr>
        <w:t>建立“白名单”双向推送机制。</w:t>
      </w:r>
      <w:r>
        <w:rPr>
          <w:rFonts w:hint="eastAsia" w:ascii="Times New Roman" w:hAnsi="Times New Roman" w:eastAsia="仿宋_GB2312" w:cs="Times New Roman"/>
          <w:kern w:val="0"/>
          <w:sz w:val="32"/>
          <w:shd w:val="clear" w:color="auto" w:fill="FFFFFF"/>
          <w:lang w:eastAsia="zh-CN"/>
        </w:rPr>
        <w:t>鼓励商业银行、保险等金融机构建立对接东城区国家文化与金融合作示范区“白名单”机制，实施专业化、差异化管理，实现“银企”精准对接。同时推动各商业银行、保险等金融机构将本机构服务的东城区优质文化企业推送至东城区进行“白名单”备案评估，以“双向推送”为基础建立东城区文化金融“白名单”共享机制。</w:t>
      </w:r>
      <w:r>
        <w:rPr>
          <w:rFonts w:hint="eastAsia" w:ascii="Times New Roman" w:hAnsi="Times New Roman" w:eastAsia="仿宋_GB2312" w:cs="Times New Roman"/>
          <w:b/>
          <w:bCs/>
          <w:kern w:val="0"/>
          <w:sz w:val="32"/>
          <w:shd w:val="clear" w:color="auto" w:fill="FFFFFF"/>
          <w:lang w:eastAsia="zh-CN"/>
        </w:rPr>
        <w:t>二是</w:t>
      </w:r>
      <w:r>
        <w:rPr>
          <w:rFonts w:hint="eastAsia" w:ascii="Times New Roman" w:hAnsi="Times New Roman" w:eastAsia="仿宋_GB2312" w:cs="Times New Roman"/>
          <w:b w:val="0"/>
          <w:bCs w:val="0"/>
          <w:kern w:val="0"/>
          <w:sz w:val="32"/>
          <w:shd w:val="clear" w:color="auto" w:fill="FFFFFF"/>
          <w:lang w:eastAsia="zh-CN"/>
        </w:rPr>
        <w:t>创新文化金融特色服务。</w:t>
      </w:r>
      <w:r>
        <w:rPr>
          <w:rFonts w:hint="eastAsia" w:ascii="Times New Roman" w:hAnsi="Times New Roman" w:eastAsia="仿宋_GB2312" w:cs="Times New Roman"/>
          <w:kern w:val="0"/>
          <w:sz w:val="32"/>
          <w:shd w:val="clear" w:color="auto" w:fill="FFFFFF"/>
          <w:lang w:eastAsia="zh-CN"/>
        </w:rPr>
        <w:t>对于经认定的“白名单”文化企业，通过提升“银担合作”效率，开展投贷联动试点，鼓励金融机构拓展知识产权质押融资范围，加大对文化企业的信贷资金支持力度。</w:t>
      </w:r>
      <w:r>
        <w:rPr>
          <w:rFonts w:hint="eastAsia" w:ascii="Times New Roman" w:hAnsi="Times New Roman" w:eastAsia="仿宋_GB2312" w:cs="Times New Roman"/>
          <w:b/>
          <w:bCs/>
          <w:kern w:val="0"/>
          <w:sz w:val="32"/>
          <w:shd w:val="clear" w:color="auto" w:fill="FFFFFF"/>
          <w:lang w:eastAsia="zh-CN"/>
        </w:rPr>
        <w:t>三是</w:t>
      </w:r>
      <w:r>
        <w:rPr>
          <w:rFonts w:hint="eastAsia" w:ascii="Times New Roman" w:hAnsi="Times New Roman" w:eastAsia="仿宋_GB2312" w:cs="Times New Roman"/>
          <w:b w:val="0"/>
          <w:bCs w:val="0"/>
          <w:kern w:val="0"/>
          <w:sz w:val="32"/>
          <w:shd w:val="clear" w:color="auto" w:fill="FFFFFF"/>
          <w:lang w:eastAsia="zh-CN"/>
        </w:rPr>
        <w:t>发挥出口信用保险作用。</w:t>
      </w:r>
      <w:r>
        <w:rPr>
          <w:rFonts w:hint="eastAsia" w:ascii="Times New Roman" w:hAnsi="Times New Roman" w:eastAsia="仿宋_GB2312" w:cs="Times New Roman"/>
          <w:kern w:val="0"/>
          <w:sz w:val="32"/>
          <w:shd w:val="clear" w:color="auto" w:fill="FFFFFF"/>
          <w:lang w:eastAsia="zh-CN"/>
        </w:rPr>
        <w:t>为“白名单”文化企业投保的不同需求制定差异化保险方案，提供投保相关费率下浮，开通“绿色理赔通道”等信用保险特色专属服务，保障“白名单”文化企业收汇安全。</w:t>
      </w:r>
      <w:r>
        <w:rPr>
          <w:rFonts w:hint="eastAsia" w:ascii="Times New Roman" w:hAnsi="Times New Roman" w:eastAsia="仿宋_GB2312" w:cs="Times New Roman"/>
          <w:b/>
          <w:bCs/>
          <w:kern w:val="0"/>
          <w:sz w:val="32"/>
          <w:shd w:val="clear" w:color="auto" w:fill="FFFFFF"/>
          <w:lang w:eastAsia="zh-CN"/>
        </w:rPr>
        <w:t>四是</w:t>
      </w:r>
      <w:r>
        <w:rPr>
          <w:rFonts w:hint="eastAsia" w:ascii="Times New Roman" w:hAnsi="Times New Roman" w:eastAsia="仿宋_GB2312" w:cs="Times New Roman"/>
          <w:b w:val="0"/>
          <w:bCs w:val="0"/>
          <w:kern w:val="0"/>
          <w:sz w:val="32"/>
          <w:shd w:val="clear" w:color="auto" w:fill="FFFFFF"/>
          <w:lang w:eastAsia="zh-CN"/>
        </w:rPr>
        <w:t>支持文化企业发展。依托东城区“文菁计划”，支持“白名单”文化企业快速成长，依托东城区文化资源打造重大项目，支持文化企业开展债权融资。</w:t>
      </w:r>
      <w:r>
        <w:rPr>
          <w:rFonts w:hint="eastAsia" w:ascii="Times New Roman" w:hAnsi="Times New Roman" w:eastAsia="仿宋_GB2312" w:cs="Times New Roman"/>
          <w:b/>
          <w:bCs/>
          <w:kern w:val="0"/>
          <w:sz w:val="32"/>
          <w:shd w:val="clear" w:color="auto" w:fill="FFFFFF"/>
          <w:lang w:eastAsia="zh-CN"/>
        </w:rPr>
        <w:t>五是</w:t>
      </w:r>
      <w:r>
        <w:rPr>
          <w:rFonts w:hint="eastAsia" w:ascii="Times New Roman" w:hAnsi="Times New Roman" w:eastAsia="仿宋_GB2312" w:cs="Times New Roman"/>
          <w:b w:val="0"/>
          <w:bCs w:val="0"/>
          <w:kern w:val="0"/>
          <w:sz w:val="32"/>
          <w:shd w:val="clear" w:color="auto" w:fill="FFFFFF"/>
          <w:lang w:eastAsia="zh-CN"/>
        </w:rPr>
        <w:t>完善政策服务体系。设立汇率风险服务中心，支持“白名单”文化企业提升外汇风险管理能力，降低文化企业“走出去”风险。鼓励文化专营组织机构扩大信贷服务规模，发挥风险补偿联动机制，为“白名单”文化企业融资业务进行风险保障。</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kern w:val="0"/>
          <w:sz w:val="32"/>
          <w:shd w:val="clear" w:color="auto" w:fill="FFFFFF"/>
          <w:lang w:eastAsia="zh-CN"/>
        </w:rPr>
      </w:pPr>
      <w:r>
        <w:rPr>
          <w:rFonts w:hint="eastAsia" w:ascii="Times New Roman" w:hAnsi="Times New Roman" w:eastAsia="仿宋_GB2312" w:cs="Times New Roman"/>
          <w:kern w:val="2"/>
          <w:sz w:val="32"/>
          <w:szCs w:val="32"/>
          <w:lang w:val="en-US" w:eastAsia="zh-CN" w:bidi="ar-SA"/>
        </w:rPr>
        <w:t>第三部分为组织保障，主要包括：加强组织领导、建立市区两级会商制度，加强政策支撑、政策做到应出尽出，加强智库建设、引导高端智库、国际咨询机构参与文化金融示范区建设，加强舆论宣传、切实营造良好的舆论氛围。</w:t>
      </w:r>
    </w:p>
    <w:p>
      <w:pPr>
        <w:pStyle w:val="2"/>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b w:val="0"/>
          <w:bCs w:val="0"/>
          <w:i w:val="0"/>
          <w:iCs w:val="0"/>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i w:val="0"/>
          <w:iCs w:val="0"/>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1260" w:rightChars="600" w:firstLine="0" w:firstLineChars="0"/>
        <w:jc w:val="right"/>
        <w:textAlignment w:val="auto"/>
        <w:outlineLvl w:val="9"/>
        <w:rPr>
          <w:rFonts w:hint="eastAsia" w:ascii="Times New Roman" w:hAnsi="Times New Roman" w:eastAsia="仿宋_GB2312" w:cs="Times New Roman"/>
          <w:b w:val="0"/>
          <w:bCs w:val="0"/>
          <w:i w:val="0"/>
          <w:iCs w:val="0"/>
          <w:color w:val="000000"/>
          <w:sz w:val="32"/>
          <w:szCs w:val="32"/>
          <w:lang w:val="en-US" w:eastAsia="zh-CN"/>
        </w:rPr>
      </w:pPr>
      <w:r>
        <w:rPr>
          <w:rFonts w:hint="eastAsia" w:ascii="Times New Roman" w:hAnsi="Times New Roman" w:eastAsia="仿宋_GB2312" w:cs="Times New Roman"/>
          <w:b w:val="0"/>
          <w:bCs w:val="0"/>
          <w:i w:val="0"/>
          <w:iCs w:val="0"/>
          <w:color w:val="000000"/>
          <w:sz w:val="32"/>
          <w:szCs w:val="32"/>
          <w:lang w:val="en-US" w:eastAsia="zh-CN"/>
        </w:rPr>
        <w:t>区文促中心</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840" w:rightChars="400" w:firstLine="0" w:firstLineChars="0"/>
        <w:jc w:val="right"/>
        <w:textAlignment w:val="auto"/>
        <w:outlineLvl w:val="9"/>
        <w:rPr>
          <w:rFonts w:hint="default" w:ascii="Times New Roman" w:hAnsi="Times New Roman" w:eastAsia="仿宋_GB2312" w:cs="Times New Roman"/>
          <w:b w:val="0"/>
          <w:bCs w:val="0"/>
          <w:i w:val="0"/>
          <w:iCs w:val="0"/>
          <w:color w:val="000000"/>
          <w:sz w:val="32"/>
          <w:szCs w:val="32"/>
          <w:lang w:val="en-US" w:eastAsia="zh-CN"/>
        </w:rPr>
      </w:pPr>
      <w:r>
        <w:rPr>
          <w:rFonts w:hint="eastAsia" w:ascii="Times New Roman" w:hAnsi="Times New Roman" w:eastAsia="仿宋_GB2312" w:cs="Times New Roman"/>
          <w:b w:val="0"/>
          <w:bCs w:val="0"/>
          <w:i w:val="0"/>
          <w:iCs w:val="0"/>
          <w:color w:val="000000"/>
          <w:sz w:val="32"/>
          <w:szCs w:val="32"/>
          <w:lang w:val="en-US" w:eastAsia="zh-CN"/>
        </w:rPr>
        <w:t>2023年3月28日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5368"/>
    <w:multiLevelType w:val="singleLevel"/>
    <w:tmpl w:val="5F11536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50026"/>
    <w:rsid w:val="008E79EB"/>
    <w:rsid w:val="009867A9"/>
    <w:rsid w:val="00A3400C"/>
    <w:rsid w:val="012E4B86"/>
    <w:rsid w:val="05746799"/>
    <w:rsid w:val="07410E53"/>
    <w:rsid w:val="078B64B0"/>
    <w:rsid w:val="092C25DC"/>
    <w:rsid w:val="09B67FB8"/>
    <w:rsid w:val="0A22650E"/>
    <w:rsid w:val="0A3D17D7"/>
    <w:rsid w:val="0BEE371C"/>
    <w:rsid w:val="0C150026"/>
    <w:rsid w:val="11727683"/>
    <w:rsid w:val="13750E7E"/>
    <w:rsid w:val="145408A9"/>
    <w:rsid w:val="187A4ED4"/>
    <w:rsid w:val="1B1470F3"/>
    <w:rsid w:val="1FA21C2E"/>
    <w:rsid w:val="22147ED6"/>
    <w:rsid w:val="24276952"/>
    <w:rsid w:val="2531590F"/>
    <w:rsid w:val="25D83443"/>
    <w:rsid w:val="28063132"/>
    <w:rsid w:val="2FCD43D2"/>
    <w:rsid w:val="328C43C1"/>
    <w:rsid w:val="32CA2268"/>
    <w:rsid w:val="33D86C20"/>
    <w:rsid w:val="355747C2"/>
    <w:rsid w:val="36035F8C"/>
    <w:rsid w:val="39360812"/>
    <w:rsid w:val="3AB27A3E"/>
    <w:rsid w:val="3B487DB5"/>
    <w:rsid w:val="3E7910C9"/>
    <w:rsid w:val="41A76807"/>
    <w:rsid w:val="41F965AC"/>
    <w:rsid w:val="44C5270F"/>
    <w:rsid w:val="45F137D6"/>
    <w:rsid w:val="465951B9"/>
    <w:rsid w:val="46C73215"/>
    <w:rsid w:val="482D7FEB"/>
    <w:rsid w:val="4A0443E1"/>
    <w:rsid w:val="4DAB753B"/>
    <w:rsid w:val="4E283B34"/>
    <w:rsid w:val="582F7FB5"/>
    <w:rsid w:val="602E0DF0"/>
    <w:rsid w:val="613249BC"/>
    <w:rsid w:val="62B45009"/>
    <w:rsid w:val="65986A2F"/>
    <w:rsid w:val="66B96A51"/>
    <w:rsid w:val="67BA38EB"/>
    <w:rsid w:val="67D7138D"/>
    <w:rsid w:val="6A832B61"/>
    <w:rsid w:val="6AA6639D"/>
    <w:rsid w:val="6B950082"/>
    <w:rsid w:val="6EC03521"/>
    <w:rsid w:val="711B225E"/>
    <w:rsid w:val="72CD632C"/>
    <w:rsid w:val="73C0017E"/>
    <w:rsid w:val="751351D8"/>
    <w:rsid w:val="7ADD3BF3"/>
    <w:rsid w:val="7C8A5680"/>
    <w:rsid w:val="7D3A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jc w:val="both"/>
    </w:pPr>
    <w:rPr>
      <w:rFonts w:ascii="宋体" w:hAnsi="宋体" w:cs="宋体" w:eastAsiaTheme="minorEastAsia"/>
      <w:color w:val="000000"/>
      <w:kern w:val="2"/>
      <w:sz w:val="28"/>
      <w:szCs w:val="28"/>
      <w:u w:val="none" w:color="000000"/>
      <w:lang w:val="en-US" w:eastAsia="zh-CN" w:bidi="ar-SA"/>
    </w:rPr>
  </w:style>
  <w:style w:type="paragraph" w:styleId="3">
    <w:name w:val="Body Text"/>
    <w:basedOn w:val="1"/>
    <w:qFormat/>
    <w:uiPriority w:val="0"/>
    <w:pPr>
      <w:adjustRightInd/>
      <w:spacing w:after="120" w:line="240" w:lineRule="auto"/>
      <w:jc w:val="both"/>
      <w:textAlignment w:val="auto"/>
    </w:pPr>
    <w:rPr>
      <w:kern w:val="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pPr>
    <w:rPr>
      <w:rFonts w:eastAsia="仿宋_GB2312"/>
      <w:szCs w:val="22"/>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2023-01-12T07:05:00Z</dcterms:created>
  <dc:creator>王馨</dc:creator>
  <cp:lastModifiedBy>王馨</cp:lastModifiedBy>
  <dcterms:modified xsi:type="dcterms:W3CDTF">2023-03-28T06:38:28Z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