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val="0"/>
        <w:snapToGrid w:val="0"/>
        <w:spacing w:line="360" w:lineRule="auto"/>
        <w:jc w:val="both"/>
        <w:rPr>
          <w:rFonts w:hint="eastAsia" w:ascii="黑体" w:hAnsi="黑体" w:eastAsia="黑体" w:cs="黑体"/>
          <w:b w:val="0"/>
          <w:bCs/>
          <w:kern w:val="2"/>
          <w:sz w:val="28"/>
          <w:szCs w:val="28"/>
          <w:lang w:eastAsia="zh-CN"/>
        </w:rPr>
      </w:pPr>
      <w:r>
        <w:rPr>
          <w:rFonts w:hint="eastAsia" w:ascii="黑体" w:hAnsi="黑体" w:eastAsia="黑体" w:cs="黑体"/>
          <w:b w:val="0"/>
          <w:bCs/>
          <w:kern w:val="2"/>
          <w:sz w:val="28"/>
          <w:szCs w:val="28"/>
          <w:lang w:eastAsia="zh-CN"/>
        </w:rPr>
        <w:t>附件</w:t>
      </w:r>
    </w:p>
    <w:p>
      <w:pPr>
        <w:widowControl w:val="0"/>
        <w:adjustRightInd w:val="0"/>
        <w:snapToGrid w:val="0"/>
        <w:spacing w:line="360" w:lineRule="auto"/>
        <w:jc w:val="center"/>
        <w:rPr>
          <w:rFonts w:cs="Times New Roman"/>
          <w:b/>
          <w:kern w:val="2"/>
          <w:sz w:val="52"/>
          <w:szCs w:val="32"/>
        </w:rPr>
      </w:pPr>
    </w:p>
    <w:p>
      <w:pPr>
        <w:widowControl w:val="0"/>
        <w:adjustRightInd w:val="0"/>
        <w:snapToGrid w:val="0"/>
        <w:spacing w:line="360" w:lineRule="auto"/>
        <w:jc w:val="center"/>
        <w:rPr>
          <w:rFonts w:cs="Times New Roman"/>
          <w:b/>
          <w:kern w:val="2"/>
          <w:sz w:val="52"/>
          <w:szCs w:val="32"/>
        </w:rPr>
      </w:pPr>
    </w:p>
    <w:p>
      <w:pPr>
        <w:widowControl w:val="0"/>
        <w:adjustRightInd w:val="0"/>
        <w:snapToGrid w:val="0"/>
        <w:spacing w:line="360" w:lineRule="auto"/>
        <w:jc w:val="center"/>
        <w:rPr>
          <w:rFonts w:eastAsia="黑体" w:cs="Times New Roman"/>
          <w:b/>
          <w:kern w:val="2"/>
          <w:sz w:val="44"/>
          <w:szCs w:val="44"/>
        </w:rPr>
      </w:pPr>
      <w:r>
        <w:rPr>
          <w:rFonts w:eastAsia="黑体" w:cs="Times New Roman"/>
          <w:b/>
          <w:kern w:val="2"/>
          <w:sz w:val="44"/>
          <w:szCs w:val="44"/>
        </w:rPr>
        <w:t>“十四五”时期东城区产业发展规划</w:t>
      </w:r>
    </w:p>
    <w:p>
      <w:pPr>
        <w:widowControl w:val="0"/>
        <w:adjustRightInd w:val="0"/>
        <w:snapToGrid w:val="0"/>
        <w:spacing w:line="360" w:lineRule="auto"/>
        <w:rPr>
          <w:rFonts w:cs="Times New Roman"/>
          <w:kern w:val="2"/>
          <w:sz w:val="32"/>
          <w:szCs w:val="32"/>
        </w:rPr>
      </w:pPr>
    </w:p>
    <w:p>
      <w:pPr>
        <w:widowControl w:val="0"/>
        <w:adjustRightInd w:val="0"/>
        <w:snapToGrid w:val="0"/>
        <w:spacing w:line="360" w:lineRule="auto"/>
        <w:jc w:val="center"/>
        <w:rPr>
          <w:rFonts w:cs="Times New Roman"/>
          <w:kern w:val="2"/>
          <w:sz w:val="32"/>
          <w:szCs w:val="32"/>
        </w:rPr>
      </w:pPr>
    </w:p>
    <w:p>
      <w:pPr>
        <w:widowControl w:val="0"/>
        <w:adjustRightInd w:val="0"/>
        <w:snapToGrid w:val="0"/>
        <w:spacing w:line="360" w:lineRule="auto"/>
        <w:jc w:val="center"/>
        <w:rPr>
          <w:rFonts w:cs="Times New Roman"/>
          <w:kern w:val="2"/>
          <w:sz w:val="32"/>
          <w:szCs w:val="32"/>
        </w:rPr>
      </w:pPr>
    </w:p>
    <w:p>
      <w:pPr>
        <w:widowControl w:val="0"/>
        <w:adjustRightInd w:val="0"/>
        <w:snapToGrid w:val="0"/>
        <w:spacing w:line="360" w:lineRule="auto"/>
        <w:jc w:val="center"/>
        <w:rPr>
          <w:rFonts w:cs="Times New Roman"/>
          <w:kern w:val="2"/>
          <w:sz w:val="32"/>
          <w:szCs w:val="32"/>
        </w:rPr>
      </w:pPr>
    </w:p>
    <w:p>
      <w:pPr>
        <w:widowControl w:val="0"/>
        <w:adjustRightInd w:val="0"/>
        <w:snapToGrid w:val="0"/>
        <w:spacing w:line="360" w:lineRule="auto"/>
        <w:jc w:val="center"/>
        <w:rPr>
          <w:rFonts w:cs="Times New Roman"/>
          <w:kern w:val="2"/>
          <w:sz w:val="32"/>
          <w:szCs w:val="32"/>
        </w:rPr>
      </w:pPr>
    </w:p>
    <w:p>
      <w:pPr>
        <w:widowControl w:val="0"/>
        <w:adjustRightInd w:val="0"/>
        <w:snapToGrid w:val="0"/>
        <w:spacing w:line="360" w:lineRule="auto"/>
        <w:jc w:val="center"/>
        <w:rPr>
          <w:rFonts w:cs="Times New Roman"/>
          <w:kern w:val="2"/>
          <w:sz w:val="32"/>
          <w:szCs w:val="32"/>
        </w:rPr>
      </w:pPr>
    </w:p>
    <w:p>
      <w:pPr>
        <w:widowControl w:val="0"/>
        <w:adjustRightInd w:val="0"/>
        <w:snapToGrid w:val="0"/>
        <w:spacing w:line="360" w:lineRule="auto"/>
        <w:jc w:val="center"/>
        <w:rPr>
          <w:rFonts w:eastAsia="黑体" w:cs="Times New Roman"/>
          <w:kern w:val="2"/>
          <w:sz w:val="30"/>
          <w:szCs w:val="30"/>
        </w:rPr>
      </w:pPr>
      <w:r>
        <w:rPr>
          <w:rFonts w:eastAsia="黑体" w:cs="Times New Roman"/>
          <w:kern w:val="2"/>
          <w:sz w:val="30"/>
          <w:szCs w:val="30"/>
        </w:rPr>
        <w:t>北京市东城区发展和改革委员会</w:t>
      </w:r>
    </w:p>
    <w:p>
      <w:pPr>
        <w:widowControl w:val="0"/>
        <w:adjustRightInd w:val="0"/>
        <w:snapToGrid w:val="0"/>
        <w:spacing w:line="360" w:lineRule="auto"/>
        <w:jc w:val="center"/>
        <w:rPr>
          <w:rFonts w:eastAsia="黑体" w:cs="Times New Roman"/>
          <w:color w:val="FF0000"/>
          <w:sz w:val="30"/>
          <w:szCs w:val="30"/>
        </w:rPr>
      </w:pPr>
      <w:r>
        <w:rPr>
          <w:rFonts w:eastAsia="黑体" w:cs="Times New Roman"/>
          <w:kern w:val="2"/>
          <w:sz w:val="30"/>
          <w:szCs w:val="30"/>
        </w:rPr>
        <w:t>二〇二一年四月</w:t>
      </w:r>
    </w:p>
    <w:p>
      <w:pPr>
        <w:rPr>
          <w:rFonts w:cs="Times New Roman"/>
        </w:rPr>
      </w:pPr>
      <w:r>
        <w:rPr>
          <w:rFonts w:cs="Times New Roman"/>
        </w:rPr>
        <w:br w:type="page"/>
      </w:r>
    </w:p>
    <w:p>
      <w:pPr>
        <w:pStyle w:val="20"/>
        <w:jc w:val="center"/>
        <w:rPr>
          <w:rFonts w:ascii="Times New Roman" w:hAnsi="Times New Roman" w:cs="Times New Roman"/>
          <w:szCs w:val="30"/>
        </w:rPr>
      </w:pPr>
      <w:r>
        <w:rPr>
          <w:rFonts w:ascii="Times New Roman" w:hAnsi="Times New Roman" w:cs="Times New Roman"/>
          <w:szCs w:val="30"/>
        </w:rPr>
        <w:t>目录</w:t>
      </w:r>
    </w:p>
    <w:p>
      <w:pPr>
        <w:pStyle w:val="20"/>
        <w:rPr>
          <w:rFonts w:ascii="Times New Roman" w:hAnsi="Times New Roman" w:cs="Times New Roman" w:eastAsiaTheme="minorEastAsia"/>
          <w:b w:val="0"/>
          <w:szCs w:val="30"/>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fldChar w:fldCharType="begin"/>
      </w:r>
      <w:r>
        <w:instrText xml:space="preserve"> HYPERLINK \l "_Toc70068274" </w:instrText>
      </w:r>
      <w:r>
        <w:fldChar w:fldCharType="separate"/>
      </w:r>
      <w:r>
        <w:rPr>
          <w:rStyle w:val="33"/>
          <w:rFonts w:ascii="Times New Roman" w:hAnsi="Times New Roman" w:cs="Times New Roman"/>
          <w:szCs w:val="30"/>
        </w:rPr>
        <w:t>一、 发展现状与形势分析</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_Toc70068274 \h </w:instrText>
      </w:r>
      <w:r>
        <w:rPr>
          <w:rFonts w:ascii="Times New Roman" w:hAnsi="Times New Roman" w:cs="Times New Roman"/>
          <w:szCs w:val="30"/>
        </w:rPr>
        <w:fldChar w:fldCharType="separate"/>
      </w:r>
      <w:r>
        <w:rPr>
          <w:rFonts w:ascii="Times New Roman" w:hAnsi="Times New Roman" w:cs="Times New Roman"/>
          <w:szCs w:val="30"/>
        </w:rPr>
        <w:t>5</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"_Toc70068275" </w:instrText>
      </w:r>
      <w:r>
        <w:fldChar w:fldCharType="separate"/>
      </w:r>
      <w:r>
        <w:rPr>
          <w:rFonts w:ascii="Times New Roman" w:hAnsi="Times New Roman" w:eastAsia="楷体_GB2312" w:cs="Times New Roman"/>
          <w:szCs w:val="30"/>
        </w:rPr>
        <w:t>（一） 发展基础</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_Toc70068275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5</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"_Toc70068276" </w:instrText>
      </w:r>
      <w:r>
        <w:fldChar w:fldCharType="separate"/>
      </w:r>
      <w:r>
        <w:rPr>
          <w:rFonts w:ascii="Times New Roman" w:hAnsi="Times New Roman" w:eastAsia="楷体_GB2312" w:cs="Times New Roman"/>
          <w:szCs w:val="30"/>
        </w:rPr>
        <w:t>（二） 发展形势</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_Toc70068276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7</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0"/>
        <w:rPr>
          <w:rFonts w:ascii="Times New Roman" w:hAnsi="Times New Roman" w:cs="Times New Roman" w:eastAsiaTheme="minorEastAsia"/>
          <w:b w:val="0"/>
          <w:szCs w:val="30"/>
        </w:rPr>
      </w:pPr>
      <w:r>
        <w:fldChar w:fldCharType="begin"/>
      </w:r>
      <w:r>
        <w:instrText xml:space="preserve"> HYPERLINK \l "_Toc70068277" </w:instrText>
      </w:r>
      <w:r>
        <w:fldChar w:fldCharType="separate"/>
      </w:r>
      <w:r>
        <w:rPr>
          <w:rStyle w:val="33"/>
          <w:rFonts w:ascii="Times New Roman" w:hAnsi="Times New Roman" w:cs="Times New Roman"/>
          <w:szCs w:val="30"/>
        </w:rPr>
        <w:t>二、 指导思想与发展目标</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_Toc70068277 \h </w:instrText>
      </w:r>
      <w:r>
        <w:rPr>
          <w:rFonts w:ascii="Times New Roman" w:hAnsi="Times New Roman" w:cs="Times New Roman"/>
          <w:szCs w:val="30"/>
        </w:rPr>
        <w:fldChar w:fldCharType="separate"/>
      </w:r>
      <w:r>
        <w:rPr>
          <w:rFonts w:ascii="Times New Roman" w:hAnsi="Times New Roman" w:cs="Times New Roman"/>
          <w:szCs w:val="30"/>
        </w:rPr>
        <w:t>9</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"_Toc70068278" </w:instrText>
      </w:r>
      <w:r>
        <w:fldChar w:fldCharType="separate"/>
      </w:r>
      <w:r>
        <w:rPr>
          <w:rFonts w:ascii="Times New Roman" w:hAnsi="Times New Roman" w:eastAsia="楷体_GB2312" w:cs="Times New Roman"/>
          <w:szCs w:val="30"/>
        </w:rPr>
        <w:t>（一） 指导思想</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_Toc70068278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9</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"_Toc70068279" </w:instrText>
      </w:r>
      <w:r>
        <w:fldChar w:fldCharType="separate"/>
      </w:r>
      <w:r>
        <w:rPr>
          <w:rFonts w:ascii="Times New Roman" w:hAnsi="Times New Roman" w:eastAsia="楷体_GB2312" w:cs="Times New Roman"/>
          <w:szCs w:val="30"/>
        </w:rPr>
        <w:t>（二） 发展目标</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_Toc70068279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9</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0"/>
        <w:rPr>
          <w:rFonts w:ascii="Times New Roman" w:hAnsi="Times New Roman" w:cs="Times New Roman" w:eastAsiaTheme="minorEastAsia"/>
          <w:b w:val="0"/>
          <w:szCs w:val="30"/>
        </w:rPr>
      </w:pPr>
      <w:r>
        <w:fldChar w:fldCharType="begin"/>
      </w:r>
      <w:r>
        <w:instrText xml:space="preserve"> HYPERLINK \l "_Toc70068280" </w:instrText>
      </w:r>
      <w:r>
        <w:fldChar w:fldCharType="separate"/>
      </w:r>
      <w:r>
        <w:rPr>
          <w:rStyle w:val="33"/>
          <w:rFonts w:ascii="Times New Roman" w:hAnsi="Times New Roman" w:cs="Times New Roman"/>
          <w:szCs w:val="30"/>
        </w:rPr>
        <w:t>三、 产业发展重点任务</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_Toc70068280 \h </w:instrText>
      </w:r>
      <w:r>
        <w:rPr>
          <w:rFonts w:ascii="Times New Roman" w:hAnsi="Times New Roman" w:cs="Times New Roman"/>
          <w:szCs w:val="30"/>
        </w:rPr>
        <w:fldChar w:fldCharType="separate"/>
      </w:r>
      <w:r>
        <w:rPr>
          <w:rFonts w:ascii="Times New Roman" w:hAnsi="Times New Roman" w:cs="Times New Roman"/>
          <w:szCs w:val="30"/>
        </w:rPr>
        <w:t>11</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"_Toc70068281" </w:instrText>
      </w:r>
      <w:r>
        <w:fldChar w:fldCharType="separate"/>
      </w:r>
      <w:r>
        <w:rPr>
          <w:rFonts w:ascii="Times New Roman" w:hAnsi="Times New Roman" w:eastAsia="楷体_GB2312" w:cs="Times New Roman"/>
          <w:szCs w:val="30"/>
        </w:rPr>
        <w:t>（一） 做优做强金融业，构建现代金融品牌高地</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_Toc70068281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11</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"_Toc70068282" </w:instrText>
      </w:r>
      <w:r>
        <w:fldChar w:fldCharType="separate"/>
      </w:r>
      <w:r>
        <w:rPr>
          <w:rFonts w:ascii="Times New Roman" w:hAnsi="Times New Roman" w:eastAsia="楷体_GB2312" w:cs="Times New Roman"/>
          <w:szCs w:val="30"/>
        </w:rPr>
        <w:t>（二） 加快发展文化产业，打造东城区发展特色</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_Toc70068282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13</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"_Toc70068283" </w:instrText>
      </w:r>
      <w:r>
        <w:fldChar w:fldCharType="separate"/>
      </w:r>
      <w:r>
        <w:rPr>
          <w:rFonts w:ascii="Times New Roman" w:hAnsi="Times New Roman" w:eastAsia="楷体_GB2312" w:cs="Times New Roman"/>
          <w:szCs w:val="30"/>
        </w:rPr>
        <w:t>（三） 夯实信息服务基础，创新发展数字经济</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_Toc70068283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14</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"_Toc70068284" </w:instrText>
      </w:r>
      <w:r>
        <w:fldChar w:fldCharType="separate"/>
      </w:r>
      <w:r>
        <w:rPr>
          <w:rFonts w:ascii="Times New Roman" w:hAnsi="Times New Roman" w:eastAsia="楷体_GB2312" w:cs="Times New Roman"/>
          <w:szCs w:val="30"/>
        </w:rPr>
        <w:t>（四） 促进商业商务提质升级，扩大新供给创造新需求</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_Toc70068284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16</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"_Toc70068285" </w:instrText>
      </w:r>
      <w:r>
        <w:fldChar w:fldCharType="separate"/>
      </w:r>
      <w:r>
        <w:rPr>
          <w:rFonts w:ascii="Times New Roman" w:hAnsi="Times New Roman" w:eastAsia="楷体_GB2312" w:cs="Times New Roman"/>
          <w:szCs w:val="30"/>
        </w:rPr>
        <w:t>（五） 积极培育健康产业，增强东城产业新兴活力</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_Toc70068285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18</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0"/>
        <w:rPr>
          <w:rFonts w:ascii="Times New Roman" w:hAnsi="Times New Roman" w:cs="Times New Roman" w:eastAsiaTheme="minorEastAsia"/>
          <w:b w:val="0"/>
          <w:szCs w:val="30"/>
        </w:rPr>
      </w:pPr>
      <w:r>
        <w:fldChar w:fldCharType="begin"/>
      </w:r>
      <w:r>
        <w:instrText xml:space="preserve"> HYPERLINK \l "_Toc70068286" </w:instrText>
      </w:r>
      <w:r>
        <w:fldChar w:fldCharType="separate"/>
      </w:r>
      <w:r>
        <w:rPr>
          <w:rStyle w:val="33"/>
          <w:rFonts w:ascii="Times New Roman" w:hAnsi="Times New Roman" w:cs="Times New Roman"/>
          <w:szCs w:val="30"/>
        </w:rPr>
        <w:t>四、 产业空间布局</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_Toc70068286 \h </w:instrText>
      </w:r>
      <w:r>
        <w:rPr>
          <w:rFonts w:ascii="Times New Roman" w:hAnsi="Times New Roman" w:cs="Times New Roman"/>
          <w:szCs w:val="30"/>
        </w:rPr>
        <w:fldChar w:fldCharType="separate"/>
      </w:r>
      <w:r>
        <w:rPr>
          <w:rFonts w:ascii="Times New Roman" w:hAnsi="Times New Roman" w:cs="Times New Roman"/>
          <w:szCs w:val="30"/>
        </w:rPr>
        <w:t>20</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"_Toc70068287" </w:instrText>
      </w:r>
      <w:r>
        <w:fldChar w:fldCharType="separate"/>
      </w:r>
      <w:r>
        <w:rPr>
          <w:rFonts w:ascii="Times New Roman" w:hAnsi="Times New Roman" w:eastAsia="楷体_GB2312" w:cs="Times New Roman"/>
          <w:szCs w:val="30"/>
        </w:rPr>
        <w:t>（一） 构筑两大产业融合发展带</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_Toc70068287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20</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"_Toc70068288" </w:instrText>
      </w:r>
      <w:r>
        <w:fldChar w:fldCharType="separate"/>
      </w:r>
      <w:r>
        <w:rPr>
          <w:rFonts w:ascii="Times New Roman" w:hAnsi="Times New Roman" w:eastAsia="楷体_GB2312" w:cs="Times New Roman"/>
          <w:szCs w:val="30"/>
        </w:rPr>
        <w:t>（二） 优化建设三大重点功能区</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_Toc70068288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21</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"_Toc70068289" </w:instrText>
      </w:r>
      <w:r>
        <w:fldChar w:fldCharType="separate"/>
      </w:r>
      <w:r>
        <w:rPr>
          <w:rFonts w:ascii="Times New Roman" w:hAnsi="Times New Roman" w:eastAsia="楷体_GB2312" w:cs="Times New Roman"/>
          <w:szCs w:val="30"/>
        </w:rPr>
        <w:t>（三） 打造产业融合发展新亮点</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_Toc70068289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23</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0"/>
        <w:rPr>
          <w:rFonts w:ascii="Times New Roman" w:hAnsi="Times New Roman" w:cs="Times New Roman" w:eastAsiaTheme="minorEastAsia"/>
          <w:b w:val="0"/>
          <w:szCs w:val="30"/>
        </w:rPr>
      </w:pPr>
      <w:r>
        <w:fldChar w:fldCharType="begin"/>
      </w:r>
      <w:r>
        <w:instrText xml:space="preserve"> HYPERLINK \l "_Toc70068290" </w:instrText>
      </w:r>
      <w:r>
        <w:fldChar w:fldCharType="separate"/>
      </w:r>
      <w:r>
        <w:rPr>
          <w:rStyle w:val="33"/>
          <w:rFonts w:ascii="Times New Roman" w:hAnsi="Times New Roman" w:cs="Times New Roman"/>
          <w:szCs w:val="30"/>
        </w:rPr>
        <w:t>五、 产业发展支撑体系</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_Toc70068290 \h </w:instrText>
      </w:r>
      <w:r>
        <w:rPr>
          <w:rFonts w:ascii="Times New Roman" w:hAnsi="Times New Roman" w:cs="Times New Roman"/>
          <w:szCs w:val="30"/>
        </w:rPr>
        <w:fldChar w:fldCharType="separate"/>
      </w:r>
      <w:r>
        <w:rPr>
          <w:rFonts w:ascii="Times New Roman" w:hAnsi="Times New Roman" w:cs="Times New Roman"/>
          <w:szCs w:val="30"/>
        </w:rPr>
        <w:t>24</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"_Toc70068291" </w:instrText>
      </w:r>
      <w:r>
        <w:fldChar w:fldCharType="separate"/>
      </w:r>
      <w:r>
        <w:rPr>
          <w:rFonts w:ascii="Times New Roman" w:hAnsi="Times New Roman" w:eastAsia="楷体_GB2312" w:cs="Times New Roman"/>
          <w:szCs w:val="30"/>
        </w:rPr>
        <w:t>（一） 实施环境提升工程，激发企业主体活力</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_Toc70068291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24</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"_Toc70068292" </w:instrText>
      </w:r>
      <w:r>
        <w:fldChar w:fldCharType="separate"/>
      </w:r>
      <w:r>
        <w:rPr>
          <w:rFonts w:ascii="Times New Roman" w:hAnsi="Times New Roman" w:eastAsia="楷体_GB2312" w:cs="Times New Roman"/>
          <w:szCs w:val="30"/>
        </w:rPr>
        <w:t>（二） 实施品牌塑造工程，构建区域产业差异化竞争优势</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_Toc70068292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25</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"_Toc70068293" </w:instrText>
      </w:r>
      <w:r>
        <w:fldChar w:fldCharType="separate"/>
      </w:r>
      <w:r>
        <w:rPr>
          <w:rFonts w:ascii="Times New Roman" w:hAnsi="Times New Roman" w:eastAsia="楷体_GB2312" w:cs="Times New Roman"/>
          <w:szCs w:val="30"/>
        </w:rPr>
        <w:t>（三） 实施聚才引智工程，打造高端人才高地</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_Toc70068293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26</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"_Toc70068294" </w:instrText>
      </w:r>
      <w:r>
        <w:fldChar w:fldCharType="separate"/>
      </w:r>
      <w:r>
        <w:rPr>
          <w:rFonts w:ascii="Times New Roman" w:hAnsi="Times New Roman" w:eastAsia="楷体_GB2312" w:cs="Times New Roman"/>
          <w:szCs w:val="30"/>
        </w:rPr>
        <w:t>（四） 实施空间优化工程，做优做细楼宇经济</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_Toc70068294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27</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"_Toc70068295" </w:instrText>
      </w:r>
      <w:r>
        <w:fldChar w:fldCharType="separate"/>
      </w:r>
      <w:r>
        <w:rPr>
          <w:rFonts w:ascii="Times New Roman" w:hAnsi="Times New Roman" w:eastAsia="楷体_GB2312" w:cs="Times New Roman"/>
          <w:szCs w:val="30"/>
        </w:rPr>
        <w:t>（五） 实施创新加速工程，形成区域整体创新合力</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_Toc70068295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28</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0"/>
        <w:rPr>
          <w:rFonts w:ascii="Times New Roman" w:hAnsi="Times New Roman" w:cs="Times New Roman" w:eastAsiaTheme="minorEastAsia"/>
          <w:b w:val="0"/>
          <w:szCs w:val="30"/>
        </w:rPr>
      </w:pPr>
      <w:r>
        <w:fldChar w:fldCharType="begin"/>
      </w:r>
      <w:r>
        <w:instrText xml:space="preserve"> HYPERLINK \l "_Toc70068296" </w:instrText>
      </w:r>
      <w:r>
        <w:fldChar w:fldCharType="separate"/>
      </w:r>
      <w:r>
        <w:rPr>
          <w:rStyle w:val="33"/>
          <w:rFonts w:ascii="Times New Roman" w:hAnsi="Times New Roman" w:cs="Times New Roman"/>
          <w:szCs w:val="30"/>
        </w:rPr>
        <w:t>六、 保障措施</w:t>
      </w:r>
      <w:r>
        <w:rPr>
          <w:rFonts w:ascii="Times New Roman" w:hAnsi="Times New Roman" w:cs="Times New Roman"/>
          <w:szCs w:val="30"/>
        </w:rPr>
        <w:tab/>
      </w:r>
      <w:r>
        <w:rPr>
          <w:rFonts w:ascii="Times New Roman" w:hAnsi="Times New Roman" w:cs="Times New Roman"/>
          <w:szCs w:val="30"/>
        </w:rPr>
        <w:fldChar w:fldCharType="begin"/>
      </w:r>
      <w:r>
        <w:rPr>
          <w:rFonts w:ascii="Times New Roman" w:hAnsi="Times New Roman" w:cs="Times New Roman"/>
          <w:szCs w:val="30"/>
        </w:rPr>
        <w:instrText xml:space="preserve"> PAGEREF _Toc70068296 \h </w:instrText>
      </w:r>
      <w:r>
        <w:rPr>
          <w:rFonts w:ascii="Times New Roman" w:hAnsi="Times New Roman" w:cs="Times New Roman"/>
          <w:szCs w:val="30"/>
        </w:rPr>
        <w:fldChar w:fldCharType="separate"/>
      </w:r>
      <w:r>
        <w:rPr>
          <w:rFonts w:ascii="Times New Roman" w:hAnsi="Times New Roman" w:cs="Times New Roman"/>
          <w:szCs w:val="30"/>
        </w:rPr>
        <w:t>28</w:t>
      </w:r>
      <w:r>
        <w:rPr>
          <w:rFonts w:ascii="Times New Roman" w:hAnsi="Times New Roman" w:cs="Times New Roman"/>
          <w:szCs w:val="30"/>
        </w:rPr>
        <w:fldChar w:fldCharType="end"/>
      </w:r>
      <w:r>
        <w:rPr>
          <w:rFonts w:ascii="Times New Roman" w:hAnsi="Times New Roman"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"_Toc70068297" </w:instrText>
      </w:r>
      <w:r>
        <w:fldChar w:fldCharType="separate"/>
      </w:r>
      <w:r>
        <w:rPr>
          <w:rFonts w:ascii="Times New Roman" w:hAnsi="Times New Roman" w:eastAsia="楷体_GB2312" w:cs="Times New Roman"/>
          <w:szCs w:val="30"/>
        </w:rPr>
        <w:t>（一） 加强组织领导</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_Toc70068297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28</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"_Toc70068298" </w:instrText>
      </w:r>
      <w:r>
        <w:fldChar w:fldCharType="separate"/>
      </w:r>
      <w:r>
        <w:rPr>
          <w:rFonts w:ascii="Times New Roman" w:hAnsi="Times New Roman" w:eastAsia="楷体_GB2312" w:cs="Times New Roman"/>
          <w:szCs w:val="30"/>
        </w:rPr>
        <w:t>（二） 加强规划协同</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_Toc70068298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29</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Cs w:val="30"/>
        </w:rPr>
      </w:pPr>
      <w:r>
        <w:fldChar w:fldCharType="begin"/>
      </w:r>
      <w:r>
        <w:instrText xml:space="preserve"> HYPERLINK \l "_Toc70068299" </w:instrText>
      </w:r>
      <w:r>
        <w:fldChar w:fldCharType="separate"/>
      </w:r>
      <w:r>
        <w:rPr>
          <w:rFonts w:ascii="Times New Roman" w:hAnsi="Times New Roman" w:eastAsia="楷体_GB2312" w:cs="Times New Roman"/>
          <w:szCs w:val="30"/>
        </w:rPr>
        <w:t>（三） 加强规划实施评估与监控</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_Toc70068299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29</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pStyle w:val="25"/>
        <w:tabs>
          <w:tab w:val="right" w:leader="dot" w:pos="8834"/>
        </w:tabs>
        <w:rPr>
          <w:rFonts w:ascii="Times New Roman" w:hAnsi="Times New Roman" w:eastAsia="楷体_GB2312" w:cs="Times New Roman"/>
          <w:sz w:val="32"/>
          <w:szCs w:val="26"/>
        </w:rPr>
      </w:pPr>
      <w:r>
        <w:fldChar w:fldCharType="begin"/>
      </w:r>
      <w:r>
        <w:instrText xml:space="preserve"> HYPERLINK \l "_Toc70068300" </w:instrText>
      </w:r>
      <w:r>
        <w:fldChar w:fldCharType="separate"/>
      </w:r>
      <w:r>
        <w:rPr>
          <w:rFonts w:ascii="Times New Roman" w:hAnsi="Times New Roman" w:eastAsia="楷体_GB2312" w:cs="Times New Roman"/>
          <w:szCs w:val="30"/>
        </w:rPr>
        <w:t>（四） 科学谋划重点产业项目</w:t>
      </w:r>
      <w:r>
        <w:rPr>
          <w:rFonts w:ascii="Times New Roman" w:hAnsi="Times New Roman" w:eastAsia="楷体_GB2312" w:cs="Times New Roman"/>
          <w:szCs w:val="30"/>
        </w:rPr>
        <w:tab/>
      </w:r>
      <w:r>
        <w:rPr>
          <w:rFonts w:ascii="Times New Roman" w:hAnsi="Times New Roman" w:eastAsia="楷体_GB2312" w:cs="Times New Roman"/>
          <w:szCs w:val="30"/>
        </w:rPr>
        <w:fldChar w:fldCharType="begin"/>
      </w:r>
      <w:r>
        <w:rPr>
          <w:rFonts w:ascii="Times New Roman" w:hAnsi="Times New Roman" w:eastAsia="楷体_GB2312" w:cs="Times New Roman"/>
          <w:szCs w:val="30"/>
        </w:rPr>
        <w:instrText xml:space="preserve"> PAGEREF _Toc70068300 \h </w:instrText>
      </w:r>
      <w:r>
        <w:rPr>
          <w:rFonts w:ascii="Times New Roman" w:hAnsi="Times New Roman" w:eastAsia="楷体_GB2312" w:cs="Times New Roman"/>
          <w:szCs w:val="30"/>
        </w:rPr>
        <w:fldChar w:fldCharType="separate"/>
      </w:r>
      <w:r>
        <w:rPr>
          <w:rFonts w:ascii="Times New Roman" w:hAnsi="Times New Roman" w:eastAsia="楷体_GB2312" w:cs="Times New Roman"/>
          <w:szCs w:val="30"/>
        </w:rPr>
        <w:t>29</w:t>
      </w:r>
      <w:r>
        <w:rPr>
          <w:rFonts w:ascii="Times New Roman" w:hAnsi="Times New Roman" w:eastAsia="楷体_GB2312" w:cs="Times New Roman"/>
          <w:szCs w:val="30"/>
        </w:rPr>
        <w:fldChar w:fldCharType="end"/>
      </w:r>
      <w:r>
        <w:rPr>
          <w:rFonts w:ascii="Times New Roman" w:hAnsi="Times New Roman" w:eastAsia="楷体_GB2312" w:cs="Times New Roman"/>
          <w:szCs w:val="30"/>
        </w:rPr>
        <w:fldChar w:fldCharType="end"/>
      </w:r>
    </w:p>
    <w:p>
      <w:pPr>
        <w:rPr>
          <w:rFonts w:cs="Times New Roman"/>
        </w:rPr>
      </w:pPr>
      <w:r>
        <w:rPr>
          <w:rFonts w:cs="Times New Roman"/>
        </w:rPr>
        <w:fldChar w:fldCharType="end"/>
      </w:r>
    </w:p>
    <w:p>
      <w:pPr>
        <w:pStyle w:val="53"/>
        <w:widowControl w:val="0"/>
        <w:spacing w:line="560" w:lineRule="exact"/>
        <w:ind w:firstLine="600"/>
        <w:rPr>
          <w:rFonts w:ascii="Times New Roman" w:hAnsi="Times New Roman" w:eastAsia="仿宋_GB2312" w:cs="Times New Roman"/>
          <w:kern w:val="2"/>
          <w:sz w:val="32"/>
          <w:szCs w:val="32"/>
        </w:rPr>
      </w:pPr>
      <w:r>
        <w:rPr>
          <w:rFonts w:ascii="Times New Roman" w:hAnsi="Times New Roman" w:cs="Times New Roman"/>
        </w:rPr>
        <w:br w:type="page"/>
      </w:r>
    </w:p>
    <w:p>
      <w:pPr>
        <w:pStyle w:val="38"/>
        <w:ind w:firstLine="640"/>
        <w:jc w:val="center"/>
        <w:rPr>
          <w:rFonts w:eastAsia="黑体" w:cs="Times New Roman"/>
        </w:rPr>
      </w:pPr>
      <w:r>
        <w:rPr>
          <w:rFonts w:eastAsia="黑体" w:cs="Times New Roman"/>
        </w:rPr>
        <w:t>序言</w:t>
      </w:r>
    </w:p>
    <w:p>
      <w:pPr>
        <w:pStyle w:val="38"/>
        <w:ind w:firstLine="640"/>
        <w:rPr>
          <w:rFonts w:cs="Times New Roman"/>
        </w:rPr>
      </w:pPr>
      <w:r>
        <w:rPr>
          <w:rFonts w:cs="Times New Roman"/>
        </w:rPr>
        <w:t>“十四五”时期是我国全面建成小康社会、实现第一个百年奋斗目标之后，乘势而上开启全面建设社会主义现代化国家新征程、向第二个百年奋斗目标进军的第一个五年，是北京落实首都城市战略定位、建设国际一流的和谐宜居之都的关键时期，也是东城区立足北京“四个中心”定位，提高“四个服务”水平，落实《首都功能核心区控制性详细规划（街区层面）（2018年—2035年）》，</w:t>
      </w:r>
      <w:r>
        <w:rPr>
          <w:rFonts w:eastAsia="仿宋_GB2312" w:cs="Times New Roman"/>
          <w:kern w:val="2"/>
          <w:szCs w:val="32"/>
        </w:rPr>
        <w:t>着力打造“五个东城”、持续推动国际一流的和谐宜居之都首善之区建设的关键阶段</w:t>
      </w:r>
      <w:r>
        <w:rPr>
          <w:rFonts w:cs="Times New Roman"/>
        </w:rPr>
        <w:t>。面对新阶段、新形势、新格局和新要求，紧紧围绕首都功能核心区战略定位，强化核心区控规的重要引领作用，谋划好“十四五”时期产业发展的战略目标及主要任务，促进产业高质量发展，对东城区建设国际一流的和谐宜居之都首善之区具有十分重要的意义。</w:t>
      </w:r>
    </w:p>
    <w:p>
      <w:pPr>
        <w:pStyle w:val="38"/>
        <w:ind w:firstLine="640"/>
        <w:rPr>
          <w:rFonts w:cs="Times New Roman"/>
        </w:rPr>
      </w:pPr>
      <w:r>
        <w:rPr>
          <w:rFonts w:cs="Times New Roman"/>
        </w:rPr>
        <w:t>本规划编制的主要依据是：习近平总书记对北京重要讲话精神、《北京城市总体规划（2016年-2035年）》《首都功能核心区控制性详细规划（街区层面）（2018年-2035年）》和《北京市东城区国民经济和社会发展第十四个五年规划和二〇三五年远景目标纲要》等文件。规划执行期为2021年-2025年。</w:t>
      </w:r>
    </w:p>
    <w:p>
      <w:pPr>
        <w:pStyle w:val="38"/>
        <w:ind w:firstLine="640"/>
        <w:rPr>
          <w:rFonts w:cs="Times New Roman"/>
        </w:rPr>
      </w:pPr>
    </w:p>
    <w:p>
      <w:pPr>
        <w:pStyle w:val="3"/>
        <w:rPr>
          <w:rFonts w:ascii="Times New Roman" w:hAnsi="Times New Roman" w:cs="Times New Roman"/>
        </w:rPr>
      </w:pPr>
      <w:bookmarkStart w:id="0" w:name="_Toc50384141"/>
      <w:bookmarkStart w:id="1" w:name="_Toc70068274"/>
      <w:r>
        <w:rPr>
          <w:rFonts w:ascii="Times New Roman" w:hAnsi="Times New Roman" w:cs="Times New Roman"/>
        </w:rPr>
        <w:t>发展现状与形势分析</w:t>
      </w:r>
      <w:bookmarkEnd w:id="0"/>
      <w:bookmarkEnd w:id="1"/>
    </w:p>
    <w:p>
      <w:pPr>
        <w:pStyle w:val="4"/>
        <w:rPr>
          <w:rFonts w:ascii="Times New Roman" w:hAnsi="Times New Roman" w:cs="Times New Roman"/>
        </w:rPr>
      </w:pPr>
      <w:bookmarkStart w:id="2" w:name="_Toc50384142"/>
      <w:bookmarkStart w:id="3" w:name="_Toc70068275"/>
      <w:r>
        <w:rPr>
          <w:rFonts w:ascii="Times New Roman" w:hAnsi="Times New Roman" w:cs="Times New Roman"/>
        </w:rPr>
        <w:t>发展基础</w:t>
      </w:r>
      <w:bookmarkEnd w:id="2"/>
      <w:bookmarkEnd w:id="3"/>
    </w:p>
    <w:p>
      <w:pPr>
        <w:pStyle w:val="38"/>
        <w:ind w:firstLine="640"/>
        <w:rPr>
          <w:rFonts w:cs="Times New Roman"/>
          <w:szCs w:val="32"/>
        </w:rPr>
      </w:pPr>
      <w:r>
        <w:rPr>
          <w:rFonts w:cs="Times New Roman"/>
          <w:szCs w:val="32"/>
        </w:rPr>
        <w:t>“十三五”期间，东城区坚持“高精尖”发展导向，以“瘦身健体、提质增效”为主线，经济发展质量稳步提升。</w:t>
      </w:r>
    </w:p>
    <w:p>
      <w:pPr>
        <w:pStyle w:val="38"/>
        <w:ind w:firstLine="643"/>
        <w:rPr>
          <w:rFonts w:cs="Times New Roman"/>
        </w:rPr>
      </w:pPr>
      <w:r>
        <w:rPr>
          <w:rFonts w:cs="Times New Roman"/>
          <w:b/>
          <w:bCs/>
          <w:szCs w:val="32"/>
        </w:rPr>
        <w:t>经济发展稳中有进。</w:t>
      </w:r>
      <w:r>
        <w:rPr>
          <w:rFonts w:eastAsia="仿宋_GB2312" w:cs="Times New Roman"/>
          <w:bCs/>
          <w:szCs w:val="32"/>
        </w:rPr>
        <w:t>2020年，东城区实现地区生产总值2954.7亿元，比上年增长0.2%，是“十二五”末的1.4倍，年均增长4.9%</w:t>
      </w:r>
      <w:r>
        <w:rPr>
          <w:rFonts w:cs="Times New Roman"/>
        </w:rPr>
        <w:t>。人均地区生产总值超过5万美元。全区完成一般公共预算收入181.4亿元，“十三五”期间年均增速约为2.0%。在全市范围内比较，东城区在人均地区生产总值及地均地区生产总值等单位产出方面在全市名列前茅。</w:t>
      </w:r>
    </w:p>
    <w:p>
      <w:pPr>
        <w:pStyle w:val="38"/>
        <w:ind w:firstLine="643"/>
        <w:rPr>
          <w:rFonts w:cs="Times New Roman"/>
        </w:rPr>
      </w:pPr>
      <w:r>
        <w:rPr>
          <w:rStyle w:val="80"/>
          <w:rFonts w:ascii="Times New Roman" w:hAnsi="Times New Roman" w:cs="Times New Roman"/>
          <w:b/>
        </w:rPr>
        <w:t>主导产业发展平稳。</w:t>
      </w:r>
      <w:r>
        <w:rPr>
          <w:rStyle w:val="80"/>
          <w:rFonts w:ascii="Times New Roman" w:hAnsi="Times New Roman" w:eastAsia="仿宋" w:cs="Times New Roman"/>
        </w:rPr>
        <w:t>“十三五”</w:t>
      </w:r>
      <w:r>
        <w:rPr>
          <w:rStyle w:val="80"/>
          <w:rFonts w:ascii="Times New Roman" w:hAnsi="Times New Roman" w:cs="Times New Roman"/>
        </w:rPr>
        <w:t>期间，东城区构建多元发展的产业体系并逐步聚焦，文化及相关产业、金融业和信息服务业三大主导产业稳步壮大。</w:t>
      </w:r>
      <w:r>
        <w:rPr>
          <w:rFonts w:cs="Times New Roman"/>
        </w:rPr>
        <w:t>2020年三大主导产业增加值占全区地区生产总值的48.9%，其中金融业增加值占比为30.7%，信息服务业增加值占比为13.6%，文化及相关产业增加值占比为 8.4%。</w:t>
      </w:r>
    </w:p>
    <w:p>
      <w:pPr>
        <w:pStyle w:val="38"/>
        <w:ind w:firstLine="643"/>
        <w:rPr>
          <w:rFonts w:cs="Times New Roman"/>
          <w:snapToGrid w:val="0"/>
        </w:rPr>
      </w:pPr>
      <w:r>
        <w:rPr>
          <w:rFonts w:cs="Times New Roman"/>
          <w:b/>
          <w:snapToGrid w:val="0"/>
        </w:rPr>
        <w:t>产业融合逐步深化。</w:t>
      </w:r>
      <w:r>
        <w:rPr>
          <w:rFonts w:cs="Times New Roman"/>
          <w:szCs w:val="32"/>
        </w:rPr>
        <w:t>“十三五”期间，东城区构建以“文化+”为核心的产业融合体系，初步明确了未来产业融合的主要方向，推动文化与金融、科技、商业和体育等产业融合发展。2018年出台《东城区加快文化创新融合 构建高精尖经济结构的实施意见》，提出深入实施“文化强区”战略，着力打造文化创新融合的高精尖经济结构。2019年东城区获批创建国家文化和金融合作示范区。2019年出台《东城区关于促进文商旅融合发展的实施意见》，通过顶层设计落实整合东城文化遗产资源、商业资源和旅游资源，深入推动文商旅融合重点项目落地。</w:t>
      </w:r>
    </w:p>
    <w:p>
      <w:pPr>
        <w:pStyle w:val="38"/>
        <w:ind w:firstLine="643"/>
        <w:rPr>
          <w:rFonts w:cs="Times New Roman"/>
          <w:snapToGrid w:val="0"/>
        </w:rPr>
      </w:pPr>
      <w:r>
        <w:rPr>
          <w:rFonts w:cs="Times New Roman"/>
          <w:b/>
          <w:snapToGrid w:val="0"/>
        </w:rPr>
        <w:t>空间优化成效突出。</w:t>
      </w:r>
      <w:r>
        <w:rPr>
          <w:rFonts w:cs="Times New Roman"/>
          <w:szCs w:val="32"/>
        </w:rPr>
        <w:t>“十三五”期间，东城区通过腾退、改造，不断优化产业空间。结合非首都功能疏解，腾退释放产业发展空间。</w:t>
      </w:r>
      <w:bookmarkStart w:id="93" w:name="_GoBack"/>
      <w:bookmarkEnd w:id="93"/>
      <w:r>
        <w:rPr>
          <w:rFonts w:cs="Times New Roman"/>
          <w:szCs w:val="32"/>
        </w:rPr>
        <w:t>加快对现有空间改造，升级承载能力。王府井步行街完成北延综合提升工程，与嘉德艺术中心、隆福寺地区共融。东城园完成青龙胡同、藏经馆胡同沿线空间修复，青龙文化创新街区试点改造成果正式亮相北京国际设计周。</w:t>
      </w:r>
    </w:p>
    <w:p>
      <w:pPr>
        <w:pStyle w:val="38"/>
        <w:ind w:firstLine="643"/>
        <w:rPr>
          <w:rFonts w:cs="Times New Roman"/>
          <w:snapToGrid w:val="0"/>
        </w:rPr>
      </w:pPr>
      <w:r>
        <w:rPr>
          <w:rFonts w:cs="Times New Roman"/>
          <w:b/>
          <w:snapToGrid w:val="0"/>
        </w:rPr>
        <w:t>产业政策日益完善。</w:t>
      </w:r>
      <w:r>
        <w:rPr>
          <w:rFonts w:cs="Times New Roman"/>
          <w:szCs w:val="32"/>
        </w:rPr>
        <w:t>“十三五”期间，东城区构建了“1+5+N”产业政策体系，将《东城区加快文化创新融合 构建“高精尖”经济结构的实施意见》作为全区产业政策体系的“1”大总体指导意见，明确产业发展方向、重点任务及保障措施，描绘了以文化创新融合为重点方向的全区产业发展蓝图，从产业发展、资金支持、空间利用、人才保障以及营商环境“5”方面发力，出台“N”项支撑政策。截至2020年底，全区共制定产业政策27项。其中，产业发展政策6项，涉及文化、金融、信息等全区重点产业；资金支持政策10项；空间利用政策5项；人才保障政策4项；环境优化政策2项。</w:t>
      </w:r>
    </w:p>
    <w:p>
      <w:pPr>
        <w:pStyle w:val="38"/>
        <w:ind w:firstLine="640"/>
        <w:rPr>
          <w:rFonts w:cs="Times New Roman"/>
          <w:szCs w:val="32"/>
        </w:rPr>
      </w:pPr>
      <w:r>
        <w:rPr>
          <w:rFonts w:cs="Times New Roman"/>
          <w:szCs w:val="32"/>
        </w:rPr>
        <w:t>同时，在新发展阶段背景下，东城区产业发展仍存在一些问题：经济发展活力尚需进一步激发；主导产业拉动效应有待提升，尚未形成较强的区域影响力；产业融合有待深入，具有广泛社会影响力和生命力的融合品牌以及规模化和标志性的载体集群尚需培育；高端商务楼宇资源紧缺和产业空间分布零散，产业空间仍需进一步优化；产业政策制定和实施仍需提升精细度与精准度。</w:t>
      </w:r>
    </w:p>
    <w:p>
      <w:pPr>
        <w:pStyle w:val="4"/>
        <w:rPr>
          <w:rFonts w:ascii="Times New Roman" w:hAnsi="Times New Roman" w:cs="Times New Roman"/>
        </w:rPr>
      </w:pPr>
      <w:bookmarkStart w:id="4" w:name="_Toc70068276"/>
      <w:bookmarkStart w:id="5" w:name="_Toc50384143"/>
      <w:r>
        <w:rPr>
          <w:rFonts w:ascii="Times New Roman" w:hAnsi="Times New Roman" w:cs="Times New Roman"/>
        </w:rPr>
        <w:t>发展形势</w:t>
      </w:r>
      <w:bookmarkEnd w:id="4"/>
      <w:bookmarkEnd w:id="5"/>
    </w:p>
    <w:p>
      <w:pPr>
        <w:pStyle w:val="38"/>
        <w:ind w:firstLine="643"/>
        <w:rPr>
          <w:rFonts w:cs="Times New Roman"/>
        </w:rPr>
      </w:pPr>
      <w:r>
        <w:rPr>
          <w:rFonts w:cs="Times New Roman"/>
          <w:b/>
        </w:rPr>
        <w:t>构建“双循环”新发展格局带来战略机遇。</w:t>
      </w:r>
      <w:r>
        <w:rPr>
          <w:rFonts w:cs="Times New Roman"/>
        </w:rPr>
        <w:t>当前我国处于重要战略机遇期，将加快构建以国内大循环为主体、国内国际双循环相互促进的新发展格局。新发展格局将为东城区进一步扩大对外开放水平，大力发展新业态、新模式，在率先构建国内国际双循环中加速提升发展能级提供战略保障。</w:t>
      </w:r>
    </w:p>
    <w:p>
      <w:pPr>
        <w:pStyle w:val="38"/>
        <w:ind w:firstLine="643"/>
        <w:rPr>
          <w:rFonts w:cs="Times New Roman"/>
        </w:rPr>
      </w:pPr>
      <w:r>
        <w:rPr>
          <w:rFonts w:cs="Times New Roman"/>
          <w:b/>
        </w:rPr>
        <w:t>“两区”建设助力产业高质量发展。</w:t>
      </w:r>
      <w:r>
        <w:rPr>
          <w:rFonts w:cs="Times New Roman"/>
        </w:rPr>
        <w:t>2020年9月，国务院相继批复《深化北京市新一轮服务业扩大开放综合试点建设国家服务业扩大开放综合示范区工作方案》和《中国（北京）自由贸易试验区总体方案》，不断推出创新政策助力北京经济高质量发展，为东城区持续提升对外开放水平，进一步推动金融、文化、数字经济、健康医疗等产业高质量发展创造新机遇。</w:t>
      </w:r>
    </w:p>
    <w:p>
      <w:pPr>
        <w:pStyle w:val="38"/>
        <w:ind w:firstLine="643"/>
        <w:rPr>
          <w:rFonts w:cs="Times New Roman"/>
        </w:rPr>
      </w:pPr>
      <w:r>
        <w:rPr>
          <w:rFonts w:cs="Times New Roman"/>
          <w:b/>
        </w:rPr>
        <w:t>数字经济成为经济增长新引擎。</w:t>
      </w:r>
      <w:r>
        <w:rPr>
          <w:rFonts w:cs="Times New Roman"/>
        </w:rPr>
        <w:t>当前我国已进入数字基础设施的集中建设期，在“十四五”时期，数字经济的作用和地位将继续提升，成为经济增长的重要源泉。北京市将建设全球数字经济标杆城市，打造全国数字经济发展的先导区和示范区。后疫情时代，东城区餐饮、旅游、商务服务等传统优势产业将加快数字化转型。数字经济蓬勃发展将为东城区产业升级带来新动能。</w:t>
      </w:r>
    </w:p>
    <w:p>
      <w:pPr>
        <w:pStyle w:val="38"/>
        <w:ind w:firstLine="643"/>
        <w:rPr>
          <w:rFonts w:cs="Times New Roman"/>
        </w:rPr>
      </w:pPr>
      <w:r>
        <w:rPr>
          <w:rFonts w:cs="Times New Roman"/>
          <w:b/>
        </w:rPr>
        <w:t>消费升级全面驱动服务业发展。</w:t>
      </w:r>
      <w:r>
        <w:rPr>
          <w:rFonts w:cs="Times New Roman"/>
        </w:rPr>
        <w:t>以消费升级为核心的人民物质和精神需求衍生出了新的产业发展方向，拉动了与之密切相关的文化、体育、旅游、健康和信息等产业发展。2020年，北京市发布《北京市促进新消费引领品质新生活行动方案》，加快构建消费新生态体系，激发新消费需求，以新消费为引领，全力打造国际消费中心城市，为东城区相关服务业快速发展注入新活力。</w:t>
      </w:r>
    </w:p>
    <w:p>
      <w:pPr>
        <w:pStyle w:val="38"/>
        <w:ind w:firstLine="640"/>
        <w:rPr>
          <w:rFonts w:cs="Times New Roman"/>
        </w:rPr>
      </w:pPr>
      <w:r>
        <w:rPr>
          <w:rFonts w:cs="Times New Roman"/>
        </w:rPr>
        <w:t>同时，</w:t>
      </w:r>
      <w:bookmarkStart w:id="6" w:name="_Toc68697587"/>
      <w:bookmarkEnd w:id="6"/>
      <w:bookmarkStart w:id="7" w:name="_Toc68697588"/>
      <w:bookmarkEnd w:id="7"/>
      <w:r>
        <w:rPr>
          <w:rFonts w:cs="Times New Roman"/>
        </w:rPr>
        <w:t>国际经济形式错综复杂，国内经济承压明显，市场活力受到抑制，产业发展要素成本增高，对产业高质量发展提出挑战，新冠肺炎疫情影响广泛深远，经济下行压力及发展不确定性提高，新业态新模式对传统产业造成冲击，需调整优化产业结构，凭借技术创新、模式创新及跨界融合实现突围。</w:t>
      </w:r>
    </w:p>
    <w:p>
      <w:pPr>
        <w:pStyle w:val="3"/>
        <w:rPr>
          <w:rFonts w:ascii="Times New Roman" w:hAnsi="Times New Roman" w:cs="Times New Roman"/>
        </w:rPr>
      </w:pPr>
      <w:bookmarkStart w:id="8" w:name="_Toc70068277"/>
      <w:bookmarkStart w:id="9" w:name="_Toc50384145"/>
      <w:r>
        <w:rPr>
          <w:rFonts w:ascii="Times New Roman" w:hAnsi="Times New Roman" w:cs="Times New Roman"/>
        </w:rPr>
        <w:t>指导思想与发展目标</w:t>
      </w:r>
      <w:bookmarkEnd w:id="8"/>
      <w:bookmarkEnd w:id="9"/>
    </w:p>
    <w:p>
      <w:pPr>
        <w:pStyle w:val="4"/>
        <w:rPr>
          <w:rFonts w:ascii="Times New Roman" w:hAnsi="Times New Roman" w:cs="Times New Roman"/>
        </w:rPr>
      </w:pPr>
      <w:bookmarkStart w:id="10" w:name="_Toc50384146"/>
      <w:bookmarkStart w:id="11" w:name="_Toc70068278"/>
      <w:r>
        <w:rPr>
          <w:rFonts w:ascii="Times New Roman" w:hAnsi="Times New Roman" w:cs="Times New Roman"/>
        </w:rPr>
        <w:t>指导思想</w:t>
      </w:r>
      <w:bookmarkEnd w:id="10"/>
      <w:bookmarkEnd w:id="11"/>
    </w:p>
    <w:p>
      <w:pPr>
        <w:pStyle w:val="38"/>
        <w:ind w:firstLine="640"/>
        <w:rPr>
          <w:rFonts w:cs="Times New Roman"/>
        </w:rPr>
      </w:pPr>
      <w:r>
        <w:rPr>
          <w:rFonts w:cs="Times New Roman"/>
        </w:rPr>
        <w:t>深入贯彻党的十九大和十九届二中、三中、四中、五中全会精神，坚持以马克思列宁主义、毛泽东思想、邓小平理论、“三个代表”重要思想、科学发展观、习近平新时代中国特色社会主义思想为指导，深入贯彻习近平总书记对北京重要讲话精神，坚定不移贯彻创新、协调、绿色、开放、共享的新发展理念，以推动高质量发展为主题，以深化供给侧结构性改革为主线，以改革创新为根本动力，以满足人民日益增长的美好生活需要为根本目的，深化落实党中央、国务院有关批复和《北京城市总体规划（2016年-2035年）》与《首都功能核心区控制性详细规划（街区层面）（2018年-2035年）》，牢牢把握首都功能核心区战略定位，充分释放“四个中心”“四个服务”蕴含的巨大能量，抢抓“两区”建设发展机遇，立足“建设政务环境优良、文化魅力彰显和人居环境一流的首善之区”的发展目标，更加突出“崇文争先”理念，率先探索构建新发展格局的有效路径，以“融合”“激活”“创新”“提升”为发展思路，助力产业发展行稳致远。</w:t>
      </w:r>
    </w:p>
    <w:p>
      <w:pPr>
        <w:pStyle w:val="4"/>
        <w:rPr>
          <w:rFonts w:ascii="Times New Roman" w:hAnsi="Times New Roman" w:cs="Times New Roman"/>
        </w:rPr>
      </w:pPr>
      <w:bookmarkStart w:id="12" w:name="_Toc68786397"/>
      <w:bookmarkEnd w:id="12"/>
      <w:bookmarkStart w:id="13" w:name="_Toc68875013"/>
      <w:bookmarkEnd w:id="13"/>
      <w:bookmarkStart w:id="14" w:name="_Toc68875046"/>
      <w:bookmarkEnd w:id="14"/>
      <w:bookmarkStart w:id="15" w:name="_Toc68874351"/>
      <w:bookmarkEnd w:id="15"/>
      <w:bookmarkStart w:id="16" w:name="_Toc68875431"/>
      <w:bookmarkEnd w:id="16"/>
      <w:bookmarkStart w:id="17" w:name="_Toc50384148"/>
      <w:bookmarkStart w:id="18" w:name="_Toc70068279"/>
      <w:r>
        <w:rPr>
          <w:rFonts w:ascii="Times New Roman" w:hAnsi="Times New Roman" w:cs="Times New Roman"/>
        </w:rPr>
        <w:t>发展目标</w:t>
      </w:r>
      <w:bookmarkEnd w:id="17"/>
      <w:bookmarkEnd w:id="18"/>
    </w:p>
    <w:p>
      <w:pPr>
        <w:pStyle w:val="38"/>
        <w:ind w:firstLine="640"/>
        <w:rPr>
          <w:rFonts w:cs="Times New Roman"/>
        </w:rPr>
      </w:pPr>
      <w:r>
        <w:rPr>
          <w:rFonts w:cs="Times New Roman"/>
        </w:rPr>
        <w:t>以“两区”建设引领重点产业快速发展，以“五新”政策驱动产业创新融合发展，抢抓国际消费中心城市、全球数字经济标杆城市和国际科技创新中心建设等重大政策机遇，以文化为底色，以金融为引擎，</w:t>
      </w:r>
      <w:r>
        <w:rPr>
          <w:rFonts w:cs="Times New Roman"/>
          <w:bCs/>
        </w:rPr>
        <w:t>以数字经济为引领，推动产业融合下的服务业转型升级，扩大新供给创造新需求，培育新兴产业，</w:t>
      </w:r>
      <w:r>
        <w:rPr>
          <w:rFonts w:cs="Times New Roman"/>
        </w:rPr>
        <w:t>优化产业空间，完善产业发展支撑体系，到2025年，初步构建特色显著、品牌鲜明、创新驱动、开放引领、融合协同的具有东城特色充满活力的新型产业体系。</w:t>
      </w:r>
    </w:p>
    <w:p>
      <w:pPr>
        <w:pStyle w:val="39"/>
        <w:rPr>
          <w:rFonts w:cs="Times New Roman"/>
        </w:rPr>
      </w:pPr>
      <w:bookmarkStart w:id="19" w:name="_Toc47375352"/>
      <w:r>
        <w:rPr>
          <w:rFonts w:cs="Times New Roman"/>
        </w:rPr>
        <w:t>表</w:t>
      </w:r>
      <w:r>
        <w:rPr>
          <w:rFonts w:cs="Times New Roman"/>
        </w:rPr>
        <w:fldChar w:fldCharType="begin"/>
      </w:r>
      <w:r>
        <w:rPr>
          <w:rFonts w:cs="Times New Roman"/>
        </w:rPr>
        <w:instrText xml:space="preserve"> SEQ 表格 \* ARABIC </w:instrText>
      </w:r>
      <w:r>
        <w:rPr>
          <w:rFonts w:cs="Times New Roman"/>
        </w:rPr>
        <w:fldChar w:fldCharType="separate"/>
      </w:r>
      <w:r>
        <w:rPr>
          <w:rFonts w:cs="Times New Roman"/>
        </w:rPr>
        <w:t>1</w:t>
      </w:r>
      <w:r>
        <w:rPr>
          <w:rFonts w:cs="Times New Roman"/>
        </w:rPr>
        <w:fldChar w:fldCharType="end"/>
      </w:r>
      <w:r>
        <w:rPr>
          <w:rFonts w:cs="Times New Roman"/>
        </w:rPr>
        <w:t>产业发展指标体系</w:t>
      </w:r>
      <w:bookmarkEnd w:id="19"/>
    </w:p>
    <w:tbl>
      <w:tblPr>
        <w:tblStyle w:val="36"/>
        <w:tblW w:w="1034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405"/>
        <w:gridCol w:w="3969"/>
        <w:gridCol w:w="709"/>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9" w:hRule="atLeast"/>
          <w:tblHeader/>
          <w:jc w:val="center"/>
        </w:trPr>
        <w:tc>
          <w:tcPr>
            <w:tcW w:w="1701" w:type="dxa"/>
            <w:shd w:val="clear" w:color="auto" w:fill="E2EFDA"/>
            <w:vAlign w:val="center"/>
          </w:tcPr>
          <w:p>
            <w:pPr>
              <w:spacing w:after="0" w:line="240" w:lineRule="auto"/>
              <w:jc w:val="center"/>
              <w:rPr>
                <w:rFonts w:cs="Times New Roman"/>
                <w:b/>
                <w:bCs/>
                <w:szCs w:val="24"/>
              </w:rPr>
            </w:pPr>
            <w:r>
              <w:rPr>
                <w:rFonts w:cs="Times New Roman"/>
                <w:b/>
                <w:bCs/>
                <w:szCs w:val="24"/>
              </w:rPr>
              <w:t>科目</w:t>
            </w:r>
          </w:p>
        </w:tc>
        <w:tc>
          <w:tcPr>
            <w:tcW w:w="2405" w:type="dxa"/>
            <w:shd w:val="clear" w:color="auto" w:fill="E2EFDA"/>
            <w:vAlign w:val="center"/>
          </w:tcPr>
          <w:p>
            <w:pPr>
              <w:spacing w:after="0" w:line="240" w:lineRule="auto"/>
              <w:jc w:val="center"/>
              <w:rPr>
                <w:rFonts w:cs="Times New Roman"/>
                <w:b/>
                <w:bCs/>
                <w:szCs w:val="24"/>
              </w:rPr>
            </w:pPr>
            <w:r>
              <w:rPr>
                <w:rFonts w:cs="Times New Roman"/>
                <w:b/>
                <w:bCs/>
                <w:szCs w:val="24"/>
              </w:rPr>
              <w:t>指标</w:t>
            </w:r>
          </w:p>
        </w:tc>
        <w:tc>
          <w:tcPr>
            <w:tcW w:w="3969" w:type="dxa"/>
            <w:shd w:val="clear" w:color="auto" w:fill="E2EFDA"/>
            <w:vAlign w:val="center"/>
          </w:tcPr>
          <w:p>
            <w:pPr>
              <w:spacing w:after="0" w:line="240" w:lineRule="auto"/>
              <w:jc w:val="center"/>
              <w:rPr>
                <w:rFonts w:cs="Times New Roman"/>
                <w:b/>
                <w:bCs/>
                <w:szCs w:val="24"/>
              </w:rPr>
            </w:pPr>
            <w:r>
              <w:rPr>
                <w:rFonts w:cs="Times New Roman"/>
                <w:b/>
                <w:bCs/>
                <w:szCs w:val="24"/>
              </w:rPr>
              <w:t>指标解释</w:t>
            </w:r>
          </w:p>
        </w:tc>
        <w:tc>
          <w:tcPr>
            <w:tcW w:w="709" w:type="dxa"/>
            <w:shd w:val="clear" w:color="auto" w:fill="E2EFDA"/>
            <w:vAlign w:val="center"/>
          </w:tcPr>
          <w:p>
            <w:pPr>
              <w:spacing w:after="0" w:line="240" w:lineRule="auto"/>
              <w:jc w:val="center"/>
              <w:rPr>
                <w:rFonts w:cs="Times New Roman"/>
                <w:b/>
                <w:bCs/>
                <w:szCs w:val="24"/>
              </w:rPr>
            </w:pPr>
            <w:r>
              <w:rPr>
                <w:rFonts w:cs="Times New Roman"/>
                <w:b/>
                <w:bCs/>
                <w:szCs w:val="24"/>
              </w:rPr>
              <w:t>单位</w:t>
            </w:r>
          </w:p>
        </w:tc>
        <w:tc>
          <w:tcPr>
            <w:tcW w:w="1559" w:type="dxa"/>
            <w:shd w:val="clear" w:color="auto" w:fill="E2EFDA"/>
            <w:vAlign w:val="center"/>
          </w:tcPr>
          <w:p>
            <w:pPr>
              <w:spacing w:after="0" w:line="240" w:lineRule="auto"/>
              <w:jc w:val="center"/>
              <w:rPr>
                <w:rFonts w:cs="Times New Roman"/>
                <w:b/>
                <w:bCs/>
                <w:szCs w:val="24"/>
              </w:rPr>
            </w:pPr>
            <w:r>
              <w:rPr>
                <w:rFonts w:cs="Times New Roman"/>
                <w:b/>
                <w:bCs/>
                <w:szCs w:val="24"/>
              </w:rPr>
              <w:t>2025</w:t>
            </w:r>
          </w:p>
          <w:p>
            <w:pPr>
              <w:spacing w:after="0" w:line="240" w:lineRule="auto"/>
              <w:jc w:val="center"/>
              <w:rPr>
                <w:rFonts w:cs="Times New Roman"/>
                <w:b/>
                <w:bCs/>
                <w:szCs w:val="24"/>
              </w:rPr>
            </w:pPr>
            <w:r>
              <w:rPr>
                <w:rFonts w:cs="Times New Roman"/>
                <w:b/>
                <w:bCs/>
                <w:szCs w:val="24"/>
              </w:rPr>
              <w:t>目标值建议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701" w:type="dxa"/>
            <w:vMerge w:val="restart"/>
            <w:shd w:val="clear" w:color="auto" w:fill="auto"/>
            <w:vAlign w:val="center"/>
          </w:tcPr>
          <w:p>
            <w:pPr>
              <w:spacing w:after="0"/>
              <w:jc w:val="center"/>
              <w:rPr>
                <w:rFonts w:cs="Times New Roman"/>
                <w:b/>
                <w:szCs w:val="24"/>
              </w:rPr>
            </w:pPr>
            <w:r>
              <w:rPr>
                <w:rFonts w:cs="Times New Roman"/>
                <w:b/>
                <w:szCs w:val="24"/>
              </w:rPr>
              <w:t>产业发展规模及结构</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文化及相关产业增加值年均增速</w:t>
            </w:r>
          </w:p>
        </w:tc>
        <w:tc>
          <w:tcPr>
            <w:tcW w:w="3969" w:type="dxa"/>
            <w:shd w:val="clear" w:color="auto" w:fill="FFFFFF"/>
            <w:vAlign w:val="center"/>
          </w:tcPr>
          <w:p>
            <w:pPr>
              <w:spacing w:after="0" w:line="240" w:lineRule="auto"/>
              <w:rPr>
                <w:rFonts w:cs="Times New Roman"/>
                <w:szCs w:val="24"/>
              </w:rPr>
            </w:pPr>
            <w:r>
              <w:rPr>
                <w:rFonts w:cs="Times New Roman"/>
                <w:szCs w:val="24"/>
              </w:rPr>
              <w:t>=“十四五”期间东城区文化及相关产业增加值年均增速</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701" w:type="dxa"/>
            <w:vMerge w:val="continue"/>
            <w:shd w:val="clear" w:color="auto" w:fill="auto"/>
            <w:vAlign w:val="center"/>
          </w:tcPr>
          <w:p>
            <w:pPr>
              <w:spacing w:after="0"/>
              <w:jc w:val="center"/>
              <w:rPr>
                <w:rFonts w:cs="Times New Roman"/>
                <w:b/>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金融业增加值年均增速</w:t>
            </w:r>
          </w:p>
        </w:tc>
        <w:tc>
          <w:tcPr>
            <w:tcW w:w="3969" w:type="dxa"/>
            <w:shd w:val="clear" w:color="auto" w:fill="FFFFFF"/>
            <w:vAlign w:val="center"/>
          </w:tcPr>
          <w:p>
            <w:pPr>
              <w:spacing w:after="0" w:line="240" w:lineRule="auto"/>
              <w:rPr>
                <w:rFonts w:cs="Times New Roman"/>
                <w:szCs w:val="24"/>
              </w:rPr>
            </w:pPr>
            <w:r>
              <w:rPr>
                <w:rFonts w:cs="Times New Roman"/>
                <w:szCs w:val="24"/>
              </w:rPr>
              <w:t>=“十四五”期间东城区金融业增加值年均增速</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701" w:type="dxa"/>
            <w:vMerge w:val="continue"/>
            <w:shd w:val="clear" w:color="auto" w:fill="auto"/>
            <w:vAlign w:val="center"/>
          </w:tcPr>
          <w:p>
            <w:pPr>
              <w:spacing w:after="0"/>
              <w:jc w:val="center"/>
              <w:rPr>
                <w:rFonts w:cs="Times New Roman"/>
                <w:b/>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健康产业增加值年均增速</w:t>
            </w:r>
          </w:p>
        </w:tc>
        <w:tc>
          <w:tcPr>
            <w:tcW w:w="3969" w:type="dxa"/>
            <w:shd w:val="clear" w:color="auto" w:fill="FFFFFF"/>
            <w:vAlign w:val="center"/>
          </w:tcPr>
          <w:p>
            <w:pPr>
              <w:spacing w:after="0" w:line="240" w:lineRule="auto"/>
              <w:rPr>
                <w:rFonts w:cs="Times New Roman"/>
                <w:szCs w:val="24"/>
              </w:rPr>
            </w:pPr>
            <w:r>
              <w:rPr>
                <w:rFonts w:cs="Times New Roman"/>
                <w:szCs w:val="24"/>
              </w:rPr>
              <w:t>=“十四五”期间东城区健康产业增加值年均增速</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701" w:type="dxa"/>
            <w:vMerge w:val="continue"/>
            <w:shd w:val="clear" w:color="auto" w:fill="auto"/>
            <w:vAlign w:val="center"/>
          </w:tcPr>
          <w:p>
            <w:pPr>
              <w:spacing w:after="0"/>
              <w:jc w:val="center"/>
              <w:rPr>
                <w:rFonts w:cs="Times New Roman"/>
                <w:b/>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高新技术产业收入</w:t>
            </w:r>
          </w:p>
        </w:tc>
        <w:tc>
          <w:tcPr>
            <w:tcW w:w="3969" w:type="dxa"/>
            <w:shd w:val="clear" w:color="auto" w:fill="FFFFFF"/>
            <w:vAlign w:val="center"/>
          </w:tcPr>
          <w:p>
            <w:pPr>
              <w:spacing w:after="0" w:line="240" w:lineRule="auto"/>
              <w:rPr>
                <w:rFonts w:cs="Times New Roman"/>
                <w:szCs w:val="24"/>
              </w:rPr>
            </w:pPr>
            <w:r>
              <w:rPr>
                <w:rFonts w:cs="Times New Roman"/>
                <w:szCs w:val="24"/>
              </w:rPr>
              <w:t>=东城区高新技术产业收入</w:t>
            </w:r>
          </w:p>
        </w:tc>
        <w:tc>
          <w:tcPr>
            <w:tcW w:w="709" w:type="dxa"/>
            <w:shd w:val="clear" w:color="auto" w:fill="FFFFFF"/>
            <w:vAlign w:val="center"/>
          </w:tcPr>
          <w:p>
            <w:pPr>
              <w:spacing w:after="0" w:line="240" w:lineRule="auto"/>
              <w:jc w:val="center"/>
              <w:rPr>
                <w:rFonts w:cs="Times New Roman"/>
                <w:szCs w:val="24"/>
              </w:rPr>
            </w:pPr>
            <w:r>
              <w:rPr>
                <w:rFonts w:cs="Times New Roman"/>
                <w:szCs w:val="24"/>
              </w:rPr>
              <w:t>亿元</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4500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jc w:val="center"/>
        </w:trPr>
        <w:tc>
          <w:tcPr>
            <w:tcW w:w="1701" w:type="dxa"/>
            <w:vMerge w:val="continue"/>
            <w:shd w:val="clear" w:color="auto" w:fill="auto"/>
            <w:vAlign w:val="center"/>
          </w:tcPr>
          <w:p>
            <w:pPr>
              <w:spacing w:after="0"/>
              <w:jc w:val="center"/>
              <w:rPr>
                <w:rFonts w:cs="Times New Roman"/>
                <w:b/>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高新技术企业数量</w:t>
            </w:r>
          </w:p>
        </w:tc>
        <w:tc>
          <w:tcPr>
            <w:tcW w:w="3969" w:type="dxa"/>
            <w:shd w:val="clear" w:color="auto" w:fill="FFFFFF"/>
            <w:vAlign w:val="center"/>
          </w:tcPr>
          <w:p>
            <w:pPr>
              <w:spacing w:after="0" w:line="240" w:lineRule="auto"/>
              <w:rPr>
                <w:rFonts w:cs="Times New Roman"/>
                <w:szCs w:val="24"/>
              </w:rPr>
            </w:pPr>
            <w:r>
              <w:rPr>
                <w:rFonts w:cs="Times New Roman"/>
                <w:szCs w:val="24"/>
              </w:rPr>
              <w:t>=东城区高新技术企业数量</w:t>
            </w:r>
          </w:p>
        </w:tc>
        <w:tc>
          <w:tcPr>
            <w:tcW w:w="709" w:type="dxa"/>
            <w:shd w:val="clear" w:color="auto" w:fill="FFFFFF"/>
            <w:vAlign w:val="center"/>
          </w:tcPr>
          <w:p>
            <w:pPr>
              <w:spacing w:after="0" w:line="240" w:lineRule="auto"/>
              <w:jc w:val="center"/>
              <w:rPr>
                <w:rFonts w:hint="eastAsia" w:cs="Times New Roman"/>
                <w:szCs w:val="24"/>
              </w:rPr>
            </w:pPr>
            <w:r>
              <w:rPr>
                <w:rFonts w:hint="eastAsia" w:cs="Times New Roman"/>
                <w:szCs w:val="24"/>
              </w:rPr>
              <w:t>家</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1" w:hRule="atLeast"/>
          <w:jc w:val="center"/>
        </w:trPr>
        <w:tc>
          <w:tcPr>
            <w:tcW w:w="1701" w:type="dxa"/>
            <w:shd w:val="clear" w:color="auto" w:fill="auto"/>
            <w:vAlign w:val="center"/>
          </w:tcPr>
          <w:p>
            <w:pPr>
              <w:spacing w:after="0"/>
              <w:jc w:val="center"/>
              <w:rPr>
                <w:rFonts w:cs="Times New Roman"/>
                <w:b/>
                <w:szCs w:val="24"/>
              </w:rPr>
            </w:pPr>
            <w:r>
              <w:rPr>
                <w:rFonts w:cs="Times New Roman"/>
                <w:b/>
                <w:szCs w:val="24"/>
              </w:rPr>
              <w:t>产业空间指标</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金融业集聚度</w:t>
            </w:r>
          </w:p>
        </w:tc>
        <w:tc>
          <w:tcPr>
            <w:tcW w:w="3969" w:type="dxa"/>
            <w:shd w:val="clear" w:color="auto" w:fill="FFFFFF"/>
            <w:vAlign w:val="center"/>
          </w:tcPr>
          <w:p>
            <w:pPr>
              <w:spacing w:after="0" w:line="240" w:lineRule="auto"/>
              <w:rPr>
                <w:rFonts w:cs="Times New Roman"/>
                <w:szCs w:val="24"/>
              </w:rPr>
            </w:pPr>
            <w:r>
              <w:rPr>
                <w:rFonts w:cs="Times New Roman"/>
                <w:szCs w:val="24"/>
              </w:rPr>
              <w:t>=东城区金融业年均增速/北京市金融业年均增速</w:t>
            </w:r>
          </w:p>
          <w:p>
            <w:pPr>
              <w:spacing w:after="0" w:line="240" w:lineRule="auto"/>
              <w:rPr>
                <w:rFonts w:cs="Times New Roman"/>
                <w:szCs w:val="24"/>
              </w:rPr>
            </w:pPr>
            <w:r>
              <w:rPr>
                <w:rFonts w:cs="Times New Roman"/>
                <w:szCs w:val="24"/>
              </w:rPr>
              <w:t>*若指标&gt;1，则说明金融业增速快于北京市平均水平，“十四五”期间金融业在东城区的集聚程度增强</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1.27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701" w:type="dxa"/>
            <w:shd w:val="clear" w:color="auto" w:fill="FFFFFF"/>
            <w:vAlign w:val="center"/>
          </w:tcPr>
          <w:p>
            <w:pPr>
              <w:spacing w:after="0" w:line="240" w:lineRule="auto"/>
              <w:jc w:val="center"/>
              <w:rPr>
                <w:rFonts w:cs="Times New Roman"/>
                <w:b/>
                <w:szCs w:val="24"/>
              </w:rPr>
            </w:pPr>
            <w:r>
              <w:rPr>
                <w:rFonts w:cs="Times New Roman"/>
                <w:b/>
                <w:szCs w:val="24"/>
              </w:rPr>
              <w:t>产业发展效率</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全员劳动生产率（万元/人）</w:t>
            </w:r>
          </w:p>
        </w:tc>
        <w:tc>
          <w:tcPr>
            <w:tcW w:w="3969" w:type="dxa"/>
            <w:shd w:val="clear" w:color="auto" w:fill="FFFFFF"/>
            <w:vAlign w:val="center"/>
          </w:tcPr>
          <w:p>
            <w:pPr>
              <w:spacing w:after="0" w:line="240" w:lineRule="auto"/>
              <w:rPr>
                <w:rFonts w:cs="Times New Roman"/>
                <w:szCs w:val="24"/>
              </w:rPr>
            </w:pPr>
            <w:r>
              <w:rPr>
                <w:rFonts w:cs="Times New Roman"/>
                <w:szCs w:val="24"/>
              </w:rPr>
              <w:t>=东城区GDP/全区就业人口</w:t>
            </w:r>
          </w:p>
        </w:tc>
        <w:tc>
          <w:tcPr>
            <w:tcW w:w="709" w:type="dxa"/>
            <w:shd w:val="clear" w:color="auto" w:fill="FFFFFF"/>
            <w:vAlign w:val="center"/>
          </w:tcPr>
          <w:p>
            <w:pPr>
              <w:spacing w:after="0" w:line="240" w:lineRule="auto"/>
              <w:jc w:val="center"/>
              <w:rPr>
                <w:rFonts w:cs="Times New Roman"/>
                <w:szCs w:val="24"/>
              </w:rPr>
            </w:pPr>
            <w:r>
              <w:rPr>
                <w:rFonts w:cs="Times New Roman"/>
                <w:szCs w:val="24"/>
              </w:rPr>
              <w:t>万元</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701" w:type="dxa"/>
            <w:shd w:val="clear" w:color="auto" w:fill="FFFFFF"/>
            <w:vAlign w:val="center"/>
          </w:tcPr>
          <w:p>
            <w:pPr>
              <w:spacing w:after="0" w:line="240" w:lineRule="auto"/>
              <w:jc w:val="center"/>
              <w:rPr>
                <w:rFonts w:cs="Times New Roman"/>
                <w:b/>
                <w:szCs w:val="24"/>
              </w:rPr>
            </w:pPr>
            <w:r>
              <w:rPr>
                <w:rFonts w:cs="Times New Roman"/>
                <w:b/>
                <w:szCs w:val="24"/>
              </w:rPr>
              <w:t>产业融合指标</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数字经济增加值年均增速</w:t>
            </w:r>
          </w:p>
        </w:tc>
        <w:tc>
          <w:tcPr>
            <w:tcW w:w="3969" w:type="dxa"/>
            <w:shd w:val="clear" w:color="auto" w:fill="FFFFFF"/>
            <w:vAlign w:val="center"/>
          </w:tcPr>
          <w:p>
            <w:pPr>
              <w:spacing w:after="0" w:line="240" w:lineRule="auto"/>
              <w:rPr>
                <w:rFonts w:cs="Times New Roman"/>
                <w:szCs w:val="24"/>
              </w:rPr>
            </w:pPr>
            <w:r>
              <w:rPr>
                <w:rFonts w:cs="Times New Roman"/>
                <w:szCs w:val="24"/>
              </w:rPr>
              <w:t>=“十四五”期间东城区数字经济增加值年均增速</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vAlign w:val="center"/>
          </w:tcPr>
          <w:p>
            <w:pPr>
              <w:spacing w:after="0" w:line="240" w:lineRule="auto"/>
              <w:jc w:val="center"/>
              <w:rPr>
                <w:rFonts w:cs="Times New Roman"/>
                <w:szCs w:val="24"/>
              </w:rPr>
            </w:pPr>
            <w:r>
              <w:rPr>
                <w:rFonts w:cs="Times New Roman"/>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8" w:hRule="atLeast"/>
          <w:jc w:val="center"/>
        </w:trPr>
        <w:tc>
          <w:tcPr>
            <w:tcW w:w="1701" w:type="dxa"/>
            <w:vMerge w:val="restart"/>
            <w:shd w:val="clear" w:color="auto" w:fill="FFFFFF"/>
            <w:vAlign w:val="center"/>
          </w:tcPr>
          <w:p>
            <w:pPr>
              <w:spacing w:after="0" w:line="240" w:lineRule="auto"/>
              <w:jc w:val="center"/>
              <w:rPr>
                <w:rFonts w:cs="Times New Roman"/>
                <w:b/>
                <w:szCs w:val="24"/>
              </w:rPr>
            </w:pPr>
            <w:r>
              <w:rPr>
                <w:rFonts w:cs="Times New Roman"/>
                <w:b/>
                <w:szCs w:val="24"/>
              </w:rPr>
              <w:t>产业发展环境</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服务业投资额占社会固定总投资额的比重</w:t>
            </w:r>
          </w:p>
        </w:tc>
        <w:tc>
          <w:tcPr>
            <w:tcW w:w="3969" w:type="dxa"/>
            <w:shd w:val="clear" w:color="auto" w:fill="FFFFFF"/>
            <w:vAlign w:val="center"/>
          </w:tcPr>
          <w:p>
            <w:pPr>
              <w:spacing w:after="0" w:line="240" w:lineRule="auto"/>
              <w:rPr>
                <w:rFonts w:cs="Times New Roman"/>
                <w:szCs w:val="24"/>
              </w:rPr>
            </w:pPr>
            <w:r>
              <w:rPr>
                <w:rFonts w:cs="Times New Roman"/>
                <w:szCs w:val="24"/>
              </w:rPr>
              <w:t>=东城区服务业投资额/社会固定总投资额</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vAlign w:val="center"/>
          </w:tcPr>
          <w:p>
            <w:pPr>
              <w:spacing w:after="0" w:line="240" w:lineRule="auto"/>
              <w:jc w:val="center"/>
              <w:rPr>
                <w:rFonts w:cs="Times New Roman"/>
                <w:szCs w:val="24"/>
              </w:rPr>
            </w:pPr>
            <w:r>
              <w:rPr>
                <w:rFonts w:cs="Times New Roman"/>
                <w:szCs w:val="24"/>
              </w:rPr>
              <w:t>90.9%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9" w:hRule="atLeast"/>
          <w:jc w:val="center"/>
        </w:trPr>
        <w:tc>
          <w:tcPr>
            <w:tcW w:w="1701" w:type="dxa"/>
            <w:vMerge w:val="continue"/>
            <w:shd w:val="clear" w:color="auto" w:fill="auto"/>
            <w:vAlign w:val="center"/>
          </w:tcPr>
          <w:p>
            <w:pPr>
              <w:spacing w:after="0"/>
              <w:jc w:val="center"/>
              <w:rPr>
                <w:rFonts w:cs="Times New Roman"/>
                <w:b/>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服务业实际利用外资占总实际利用外资金额比重</w:t>
            </w:r>
          </w:p>
        </w:tc>
        <w:tc>
          <w:tcPr>
            <w:tcW w:w="3969" w:type="dxa"/>
            <w:shd w:val="clear" w:color="auto" w:fill="FFFFFF"/>
            <w:vAlign w:val="center"/>
          </w:tcPr>
          <w:p>
            <w:pPr>
              <w:spacing w:after="0" w:line="240" w:lineRule="auto"/>
              <w:rPr>
                <w:rFonts w:cs="Times New Roman"/>
                <w:szCs w:val="24"/>
              </w:rPr>
            </w:pPr>
            <w:r>
              <w:rPr>
                <w:rFonts w:cs="Times New Roman"/>
                <w:szCs w:val="24"/>
              </w:rPr>
              <w:t>=东城区服务业实际利用外资/总实际利用外资金额</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85.3%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jc w:val="center"/>
        </w:trPr>
        <w:tc>
          <w:tcPr>
            <w:tcW w:w="1701" w:type="dxa"/>
            <w:vMerge w:val="restart"/>
            <w:shd w:val="clear" w:color="auto" w:fill="FFFFFF"/>
            <w:vAlign w:val="center"/>
          </w:tcPr>
          <w:p>
            <w:pPr>
              <w:spacing w:after="0" w:line="240" w:lineRule="auto"/>
              <w:jc w:val="center"/>
              <w:rPr>
                <w:rFonts w:cs="Times New Roman"/>
                <w:szCs w:val="24"/>
              </w:rPr>
            </w:pPr>
            <w:r>
              <w:rPr>
                <w:rFonts w:cs="Times New Roman"/>
                <w:b/>
                <w:szCs w:val="24"/>
              </w:rPr>
              <w:t>产业发展潜力</w:t>
            </w:r>
          </w:p>
        </w:tc>
        <w:tc>
          <w:tcPr>
            <w:tcW w:w="2405" w:type="dxa"/>
            <w:shd w:val="clear" w:color="auto" w:fill="FFFFFF"/>
            <w:vAlign w:val="center"/>
          </w:tcPr>
          <w:p>
            <w:pPr>
              <w:spacing w:after="0" w:line="240" w:lineRule="auto"/>
              <w:jc w:val="center"/>
              <w:rPr>
                <w:rFonts w:cs="Times New Roman"/>
                <w:szCs w:val="24"/>
              </w:rPr>
            </w:pPr>
            <w:r>
              <w:rPr>
                <w:rFonts w:cs="Times New Roman"/>
                <w:szCs w:val="24"/>
              </w:rPr>
              <w:t>每万人拥有高价值发明专利数（件）</w:t>
            </w:r>
          </w:p>
        </w:tc>
        <w:tc>
          <w:tcPr>
            <w:tcW w:w="3969" w:type="dxa"/>
            <w:shd w:val="clear" w:color="auto" w:fill="FFFFFF"/>
            <w:vAlign w:val="center"/>
          </w:tcPr>
          <w:p>
            <w:pPr>
              <w:spacing w:after="0" w:line="240" w:lineRule="auto"/>
              <w:rPr>
                <w:rFonts w:cs="Times New Roman"/>
                <w:szCs w:val="24"/>
              </w:rPr>
            </w:pPr>
            <w:r>
              <w:rPr>
                <w:rFonts w:cs="Times New Roman"/>
                <w:szCs w:val="24"/>
              </w:rPr>
              <w:t>=东城区高价值发明专利数/全区总人口</w:t>
            </w:r>
          </w:p>
        </w:tc>
        <w:tc>
          <w:tcPr>
            <w:tcW w:w="709" w:type="dxa"/>
            <w:shd w:val="clear" w:color="auto" w:fill="FFFFFF"/>
            <w:vAlign w:val="center"/>
          </w:tcPr>
          <w:p>
            <w:pPr>
              <w:spacing w:after="0" w:line="240" w:lineRule="auto"/>
              <w:jc w:val="center"/>
              <w:rPr>
                <w:rFonts w:cs="Times New Roman"/>
                <w:szCs w:val="24"/>
              </w:rPr>
            </w:pPr>
            <w:r>
              <w:rPr>
                <w:rFonts w:cs="Times New Roman"/>
                <w:szCs w:val="24"/>
              </w:rPr>
              <w:t>个</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82左右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6" w:hRule="atLeast"/>
          <w:jc w:val="center"/>
        </w:trPr>
        <w:tc>
          <w:tcPr>
            <w:tcW w:w="1701" w:type="dxa"/>
            <w:vMerge w:val="continue"/>
            <w:shd w:val="clear" w:color="auto" w:fill="auto"/>
            <w:vAlign w:val="center"/>
          </w:tcPr>
          <w:p>
            <w:pPr>
              <w:spacing w:after="0"/>
              <w:jc w:val="center"/>
              <w:rPr>
                <w:rFonts w:cs="Times New Roman"/>
                <w:szCs w:val="24"/>
              </w:rPr>
            </w:pPr>
          </w:p>
        </w:tc>
        <w:tc>
          <w:tcPr>
            <w:tcW w:w="2405" w:type="dxa"/>
            <w:shd w:val="clear" w:color="auto" w:fill="FFFFFF"/>
            <w:vAlign w:val="center"/>
          </w:tcPr>
          <w:p>
            <w:pPr>
              <w:spacing w:after="0" w:line="240" w:lineRule="auto"/>
              <w:jc w:val="center"/>
              <w:rPr>
                <w:rFonts w:cs="Times New Roman"/>
                <w:szCs w:val="24"/>
              </w:rPr>
            </w:pPr>
            <w:r>
              <w:rPr>
                <w:rFonts w:cs="Times New Roman"/>
                <w:szCs w:val="24"/>
              </w:rPr>
              <w:t>研究与开发经费支出占地区生产总值比重</w:t>
            </w:r>
          </w:p>
        </w:tc>
        <w:tc>
          <w:tcPr>
            <w:tcW w:w="3969" w:type="dxa"/>
            <w:shd w:val="clear" w:color="auto" w:fill="FFFFFF"/>
            <w:vAlign w:val="center"/>
          </w:tcPr>
          <w:p>
            <w:pPr>
              <w:spacing w:after="0" w:line="240" w:lineRule="auto"/>
              <w:rPr>
                <w:rFonts w:cs="Times New Roman"/>
                <w:szCs w:val="24"/>
              </w:rPr>
            </w:pPr>
            <w:r>
              <w:rPr>
                <w:rFonts w:cs="Times New Roman"/>
                <w:szCs w:val="24"/>
              </w:rPr>
              <w:t>=东城区研究与开发经费支出/东城区GDP</w:t>
            </w:r>
          </w:p>
        </w:tc>
        <w:tc>
          <w:tcPr>
            <w:tcW w:w="709" w:type="dxa"/>
            <w:shd w:val="clear" w:color="auto" w:fill="FFFFFF"/>
            <w:vAlign w:val="center"/>
          </w:tcPr>
          <w:p>
            <w:pPr>
              <w:spacing w:after="0" w:line="240" w:lineRule="auto"/>
              <w:jc w:val="center"/>
              <w:rPr>
                <w:rFonts w:cs="Times New Roman"/>
                <w:szCs w:val="24"/>
              </w:rPr>
            </w:pPr>
            <w:r>
              <w:rPr>
                <w:rFonts w:cs="Times New Roman"/>
                <w:szCs w:val="24"/>
              </w:rPr>
              <w:t>%</w:t>
            </w:r>
          </w:p>
        </w:tc>
        <w:tc>
          <w:tcPr>
            <w:tcW w:w="1559" w:type="dxa"/>
            <w:shd w:val="clear" w:color="auto" w:fill="FFFFFF"/>
            <w:vAlign w:val="center"/>
          </w:tcPr>
          <w:p>
            <w:pPr>
              <w:spacing w:after="0" w:line="240" w:lineRule="auto"/>
              <w:jc w:val="center"/>
              <w:rPr>
                <w:rFonts w:cs="Times New Roman"/>
                <w:szCs w:val="24"/>
              </w:rPr>
            </w:pPr>
            <w:r>
              <w:rPr>
                <w:rFonts w:cs="Times New Roman"/>
                <w:szCs w:val="24"/>
              </w:rPr>
              <w:t>3.6%</w:t>
            </w:r>
          </w:p>
        </w:tc>
      </w:tr>
    </w:tbl>
    <w:p>
      <w:pPr>
        <w:pStyle w:val="3"/>
        <w:rPr>
          <w:rFonts w:ascii="Times New Roman" w:hAnsi="Times New Roman" w:cs="Times New Roman"/>
        </w:rPr>
      </w:pPr>
      <w:bookmarkStart w:id="20" w:name="_Toc70068280"/>
      <w:r>
        <w:rPr>
          <w:rFonts w:ascii="Times New Roman" w:hAnsi="Times New Roman" w:cs="Times New Roman"/>
        </w:rPr>
        <w:t>产业发展重点任务</w:t>
      </w:r>
      <w:bookmarkEnd w:id="20"/>
    </w:p>
    <w:p>
      <w:pPr>
        <w:pStyle w:val="4"/>
        <w:rPr>
          <w:rFonts w:ascii="Times New Roman" w:hAnsi="Times New Roman" w:cs="Times New Roman"/>
        </w:rPr>
      </w:pPr>
      <w:bookmarkStart w:id="21" w:name="_Toc70068281"/>
      <w:r>
        <w:rPr>
          <w:rFonts w:ascii="Times New Roman" w:hAnsi="Times New Roman" w:cs="Times New Roman"/>
        </w:rPr>
        <w:t>做优做强金融业，构建现代金融品牌高地</w:t>
      </w:r>
      <w:bookmarkEnd w:id="21"/>
    </w:p>
    <w:p>
      <w:pPr>
        <w:pStyle w:val="5"/>
        <w:rPr>
          <w:rFonts w:eastAsia="仿宋" w:cs="Times New Roman"/>
        </w:rPr>
      </w:pPr>
      <w:r>
        <w:rPr>
          <w:rFonts w:eastAsia="仿宋" w:cs="Times New Roman"/>
        </w:rPr>
        <w:t>促进传统金融业结构优化</w:t>
      </w:r>
    </w:p>
    <w:p>
      <w:pPr>
        <w:pStyle w:val="38"/>
        <w:ind w:firstLine="640"/>
        <w:rPr>
          <w:rFonts w:cs="Times New Roman"/>
        </w:rPr>
      </w:pPr>
      <w:r>
        <w:rPr>
          <w:rFonts w:cs="Times New Roman"/>
        </w:rPr>
        <w:t>巩固传统金融业态，依托银行、保险、信托、证券等传统金融业态，加快发展区域金融总部。积极推进金融新业态和新兴持牌金融机构发展，鼓励区内大型金融企业发起设立民营银行、消费金融等机构。鼓励区内金融科技公司运用金融科技与供应链金融相结合的模式解决企业融资难、融资贵、融资慢问题。大力发展财富管理，支持区内国内外知名财富管理企业和智库发展，将东城区财富管理打造成为首都现代金融服务业的新名片。</w:t>
      </w:r>
    </w:p>
    <w:p>
      <w:pPr>
        <w:pStyle w:val="5"/>
        <w:rPr>
          <w:rFonts w:eastAsia="仿宋" w:cs="Times New Roman"/>
        </w:rPr>
      </w:pPr>
      <w:r>
        <w:rPr>
          <w:rFonts w:eastAsia="仿宋" w:cs="Times New Roman"/>
        </w:rPr>
        <w:t>建设国际金融开放前沿区</w:t>
      </w:r>
    </w:p>
    <w:p>
      <w:pPr>
        <w:pStyle w:val="38"/>
        <w:ind w:firstLine="640"/>
        <w:rPr>
          <w:rFonts w:cs="Times New Roman"/>
        </w:rPr>
      </w:pPr>
      <w:r>
        <w:rPr>
          <w:rFonts w:cs="Times New Roman"/>
        </w:rPr>
        <w:t>利用好金融开放创新政策红利，构建人民币资产国际化的生态体系，推动国际金融开放成果落地，建设具有更高水平的国际金融开放前沿区。鼓励发展各类国际金融机构，支持外资银行保险金融机构设立中国总部、区域总部、功能总部。促进跨境贸易和投融资便利化，鼓励区内优秀金融机构“走出去”。提升资产管理国际化水平，吸引具有国际知名度的外资资产管理机构，争取外资银行、保险机构金融资产投资公司、理财公司落户东城。大力发展外资金融中介服务。</w:t>
      </w:r>
    </w:p>
    <w:p>
      <w:pPr>
        <w:pStyle w:val="5"/>
        <w:rPr>
          <w:rFonts w:eastAsia="仿宋" w:cs="Times New Roman"/>
        </w:rPr>
      </w:pPr>
      <w:r>
        <w:rPr>
          <w:rFonts w:eastAsia="仿宋" w:cs="Times New Roman"/>
        </w:rPr>
        <w:t>构建智能金融应用高地</w:t>
      </w:r>
    </w:p>
    <w:p>
      <w:pPr>
        <w:pStyle w:val="38"/>
        <w:ind w:firstLine="640"/>
        <w:rPr>
          <w:rFonts w:cs="Times New Roman"/>
        </w:rPr>
      </w:pPr>
      <w:r>
        <w:rPr>
          <w:rFonts w:cs="Times New Roman"/>
        </w:rPr>
        <w:t>打造智能金融服务应用联盟，以大数据、云计算、区块链、5G、物联网等技术为重点方向，整合一批智能金融服务提供商，率先树立智能金融发展新标杆。引导区内传统金融业探索智能化应用，将传统金融机构发展成为智能金融应用使用者。探索应用智能工具支持普惠金融，积极引入智能金融服务提供商，支持区内金融机构积极探索“智慧金融服务小微”模式，实现以智能金融为手段服务中小规模实体经济。发挥智能金融产业发展基金作用，</w:t>
      </w:r>
      <w:r>
        <w:rPr>
          <w:rFonts w:cs="Times New Roman"/>
          <w:bCs/>
          <w:szCs w:val="32"/>
        </w:rPr>
        <w:t>实施智能金融独角兽“旸谷计划”，</w:t>
      </w:r>
      <w:r>
        <w:rPr>
          <w:rFonts w:cs="Times New Roman"/>
        </w:rPr>
        <w:t>打造一批智能金融独角兽企业。</w:t>
      </w:r>
      <w:r>
        <w:rPr>
          <w:rFonts w:cs="Times New Roman"/>
          <w:bCs/>
          <w:szCs w:val="32"/>
        </w:rPr>
        <w:t>依托智能金融研究院，建设智能金融和REITs产业孵化中心，形成以“场景应用”为核心的产业服务体系，促进金融业创新发展。推动数字货币场景应用。增强金融风险监测防控能力，稳定金融秩序，确保属地金融安全。</w:t>
      </w:r>
    </w:p>
    <w:p>
      <w:pPr>
        <w:pStyle w:val="4"/>
        <w:rPr>
          <w:rFonts w:ascii="Times New Roman" w:hAnsi="Times New Roman" w:cs="Times New Roman"/>
        </w:rPr>
      </w:pPr>
      <w:bookmarkStart w:id="22" w:name="_Toc70068282"/>
      <w:r>
        <w:rPr>
          <w:rFonts w:ascii="Times New Roman" w:hAnsi="Times New Roman" w:cs="Times New Roman"/>
        </w:rPr>
        <w:t>加快发展文化产业，打造东城区发展特色</w:t>
      </w:r>
      <w:bookmarkEnd w:id="22"/>
    </w:p>
    <w:p>
      <w:pPr>
        <w:pStyle w:val="5"/>
        <w:rPr>
          <w:rFonts w:cs="Times New Roman"/>
        </w:rPr>
      </w:pPr>
      <w:r>
        <w:rPr>
          <w:rFonts w:cs="Times New Roman"/>
        </w:rPr>
        <w:t>打造“一主三副”文化产业格局</w:t>
      </w:r>
    </w:p>
    <w:p>
      <w:pPr>
        <w:pStyle w:val="38"/>
        <w:ind w:firstLine="640"/>
        <w:rPr>
          <w:rFonts w:cs="Times New Roman"/>
        </w:rPr>
      </w:pPr>
      <w:r>
        <w:rPr>
          <w:rFonts w:cs="Times New Roman"/>
          <w:bCs/>
        </w:rPr>
        <w:t>做强内容创作生产主业，鼓励优质戏剧创作，优化文化演艺生态。</w:t>
      </w:r>
      <w:r>
        <w:rPr>
          <w:rFonts w:cs="Times New Roman"/>
          <w:bCs/>
          <w:szCs w:val="32"/>
        </w:rPr>
        <w:t>深耕优质内容，挖掘东城特色的古都文化、红色文化、京味文化、创新文化内涵，形成一批彰显东城地域特色，具有时代化、大众化、市场化特征的文化内容精品。做优创意设计服务业，引进、孵化一批高端设计组织及机构，强化创意设计对文化产业各领域的渗透和支撑作用，促进产业品质和价值提升。做精文化传播渠道业，拓展多样化传播途径，实现社会效益与经济效益双丰收，</w:t>
      </w:r>
      <w:r>
        <w:rPr>
          <w:rFonts w:cs="Times New Roman"/>
        </w:rPr>
        <w:t>推动艺术品交易高端发展，打造国际艺术品交易中心。支持隆福寺地区建设高质量艺术品展示交易服务平台。</w:t>
      </w:r>
      <w:r>
        <w:rPr>
          <w:rFonts w:cs="Times New Roman"/>
          <w:bCs/>
          <w:szCs w:val="32"/>
        </w:rPr>
        <w:t>做专文化辅助生产和中介服务业，鼓励社会力量投资开办文化服务项目，促进文化产品流通，</w:t>
      </w:r>
      <w:r>
        <w:rPr>
          <w:rFonts w:cs="Times New Roman"/>
        </w:rPr>
        <w:t>打造以文化资产评估、交易、投融资等为重点的文化产权交易产业链</w:t>
      </w:r>
      <w:r>
        <w:rPr>
          <w:rFonts w:cs="Times New Roman"/>
          <w:bCs/>
          <w:szCs w:val="32"/>
        </w:rPr>
        <w:t>。</w:t>
      </w:r>
      <w:r>
        <w:rPr>
          <w:rFonts w:hint="eastAsia" w:cs="Times New Roman"/>
          <w:bCs/>
          <w:szCs w:val="32"/>
        </w:rPr>
        <w:t>优化调整空间布局，打造园区新生态。</w:t>
      </w:r>
    </w:p>
    <w:p>
      <w:pPr>
        <w:pStyle w:val="5"/>
        <w:rPr>
          <w:rFonts w:cs="Times New Roman"/>
        </w:rPr>
      </w:pPr>
      <w:r>
        <w:rPr>
          <w:rFonts w:cs="Times New Roman"/>
        </w:rPr>
        <w:t>高标准建设国家文化与金融合作示范区</w:t>
      </w:r>
    </w:p>
    <w:p>
      <w:pPr>
        <w:pStyle w:val="38"/>
        <w:widowControl w:val="0"/>
        <w:ind w:firstLine="640"/>
        <w:rPr>
          <w:rFonts w:cs="Times New Roman"/>
        </w:rPr>
      </w:pPr>
      <w:r>
        <w:rPr>
          <w:rFonts w:cs="Times New Roman"/>
        </w:rPr>
        <w:t>创新文化与金融深度融合发展的政策体系及管理机制，鼓励文化金融服务创新。支持“北京文创板”建设，建立多层次、宽领域、广覆盖的文化金融服务体系</w:t>
      </w:r>
      <w:r>
        <w:rPr>
          <w:rFonts w:hint="eastAsia" w:cs="Times New Roman"/>
        </w:rPr>
        <w:t>，</w:t>
      </w:r>
      <w:r>
        <w:rPr>
          <w:rFonts w:cs="Times New Roman"/>
        </w:rPr>
        <w:t>探索构建包容审慎的“监管沙盒”，深化金融科技差异化监管。建设示范区文化金融服务中心，构建具有创新示范效应的文化金融创新服务高地。积极拓宽文化及相关产业融资渠道。</w:t>
      </w:r>
      <w:r>
        <w:rPr>
          <w:rFonts w:hint="eastAsia" w:cs="Times New Roman"/>
        </w:rPr>
        <w:t>不断完善“文菁计划”扶持政策，</w:t>
      </w:r>
      <w:r>
        <w:rPr>
          <w:rFonts w:cs="Times New Roman"/>
        </w:rPr>
        <w:t>创新专项基金的文化金融支持方式，探索信贷、风投风险补偿机制，建立融资风险池，推动知识产权、应收账款质押等融资方式落地。在示范区落地国家级活动，支持文化金融特色发展。</w:t>
      </w:r>
    </w:p>
    <w:p>
      <w:pPr>
        <w:pStyle w:val="5"/>
        <w:rPr>
          <w:rFonts w:cs="Times New Roman"/>
        </w:rPr>
      </w:pPr>
      <w:r>
        <w:rPr>
          <w:rFonts w:cs="Times New Roman"/>
        </w:rPr>
        <w:t>推动文化事业和文化产业融合发展</w:t>
      </w:r>
    </w:p>
    <w:p>
      <w:pPr>
        <w:pStyle w:val="38"/>
        <w:widowControl w:val="0"/>
        <w:ind w:firstLine="640"/>
        <w:rPr>
          <w:rFonts w:cs="Times New Roman"/>
        </w:rPr>
      </w:pPr>
      <w:r>
        <w:rPr>
          <w:rFonts w:cs="Times New Roman"/>
        </w:rPr>
        <w:t>发挥“国家公共文化服务体系示范区”优势，鼓励社会力量参与公共文化服务</w:t>
      </w:r>
      <w:r>
        <w:rPr>
          <w:rFonts w:hint="eastAsia" w:cs="Times New Roman"/>
        </w:rPr>
        <w:t>，丰富文化产品和服务</w:t>
      </w:r>
      <w:r>
        <w:rPr>
          <w:rFonts w:cs="Times New Roman"/>
        </w:rPr>
        <w:t>。推动文博、非遗保护和文化及相关产业融合发展。加强文博和非遗的数字化保护、传承与弘扬，打造文化与数字融合的标杆。充分发挥文博资源优势发展IP经济，促进文创内容生产。围绕建设“博物馆之城”，举办高水平展览，提升博物馆影响力。探索设立北京非物质文化遗产周，强化非遗特色传统文化内容产品开发。</w:t>
      </w:r>
    </w:p>
    <w:p>
      <w:pPr>
        <w:pStyle w:val="4"/>
        <w:rPr>
          <w:rFonts w:ascii="Times New Roman" w:hAnsi="Times New Roman" w:cs="Times New Roman"/>
        </w:rPr>
      </w:pPr>
      <w:bookmarkStart w:id="23" w:name="_Toc70068283"/>
      <w:bookmarkStart w:id="24" w:name="_Toc42261566"/>
      <w:bookmarkStart w:id="25" w:name="_Toc42249040"/>
      <w:bookmarkStart w:id="26" w:name="_Toc42165837"/>
      <w:r>
        <w:rPr>
          <w:rFonts w:ascii="Times New Roman" w:hAnsi="Times New Roman" w:cs="Times New Roman"/>
        </w:rPr>
        <w:t>夯实信息服务基础，创新发展数字经济</w:t>
      </w:r>
      <w:bookmarkEnd w:id="23"/>
    </w:p>
    <w:p>
      <w:pPr>
        <w:pStyle w:val="5"/>
        <w:rPr>
          <w:rFonts w:eastAsia="仿宋" w:cs="Times New Roman"/>
        </w:rPr>
      </w:pPr>
      <w:r>
        <w:rPr>
          <w:rFonts w:eastAsia="仿宋" w:cs="Times New Roman"/>
        </w:rPr>
        <w:t>加快推动数字产业化、产业数字化</w:t>
      </w:r>
    </w:p>
    <w:p>
      <w:pPr>
        <w:pStyle w:val="38"/>
        <w:ind w:firstLine="640"/>
        <w:rPr>
          <w:rFonts w:cs="Times New Roman"/>
          <w:bCs/>
          <w:szCs w:val="32"/>
        </w:rPr>
      </w:pPr>
      <w:r>
        <w:rPr>
          <w:rFonts w:cs="Times New Roman"/>
        </w:rPr>
        <w:t>进一步扩大东城区新型基础设施建设规模。</w:t>
      </w:r>
      <w:r>
        <w:rPr>
          <w:rFonts w:cs="Times New Roman"/>
          <w:bCs/>
        </w:rPr>
        <w:t>用好科技创新产业发展基金，创新政府资金与社会资金相结合的支持模式。推动</w:t>
      </w:r>
      <w:r>
        <w:rPr>
          <w:rFonts w:cs="Times New Roman"/>
        </w:rPr>
        <w:t>重点科技项目向数字经济倾斜，支持鼓励与数字经济有关的科技项目落地</w:t>
      </w:r>
      <w:r>
        <w:rPr>
          <w:rFonts w:cs="Times New Roman"/>
          <w:bCs/>
        </w:rPr>
        <w:t>。提高区级大数据平</w:t>
      </w:r>
      <w:r>
        <w:rPr>
          <w:rFonts w:hint="eastAsia" w:cs="Times New Roman"/>
          <w:bCs/>
        </w:rPr>
        <w:t>台</w:t>
      </w:r>
      <w:r>
        <w:rPr>
          <w:rFonts w:cs="Times New Roman"/>
          <w:bCs/>
        </w:rPr>
        <w:t>汇聚、管理和共享开放服务能力，加强经济运行与产业发展领域数据资源的高质量有效供给。推动移动互联网、云计算、大数据、物联网等与传统优势产业深度融合。</w:t>
      </w:r>
      <w:r>
        <w:rPr>
          <w:rFonts w:cs="Times New Roman"/>
          <w:bCs/>
          <w:szCs w:val="32"/>
        </w:rPr>
        <w:t>加快企业数字化赋能，促进平台经济、共享经济健康发展。</w:t>
      </w:r>
      <w:r>
        <w:rPr>
          <w:rFonts w:cs="Times New Roman"/>
          <w:bCs/>
        </w:rPr>
        <w:t>发挥龙头企业带动作用和5G产业联盟优势，</w:t>
      </w:r>
      <w:r>
        <w:rPr>
          <w:rFonts w:hint="eastAsia" w:cs="Times New Roman"/>
          <w:bCs/>
        </w:rPr>
        <w:t>完善新基建产业支持政策，</w:t>
      </w:r>
      <w:r>
        <w:rPr>
          <w:rFonts w:cs="Times New Roman"/>
          <w:bCs/>
        </w:rPr>
        <w:t>培育壮大数字经济领域的高成长性企业，做强发展增量。</w:t>
      </w:r>
    </w:p>
    <w:p>
      <w:pPr>
        <w:pStyle w:val="5"/>
        <w:rPr>
          <w:rFonts w:eastAsia="仿宋" w:cs="Times New Roman"/>
        </w:rPr>
      </w:pPr>
      <w:r>
        <w:rPr>
          <w:rFonts w:eastAsia="仿宋" w:cs="Times New Roman"/>
        </w:rPr>
        <w:t>数字赋能智慧城市建设</w:t>
      </w:r>
    </w:p>
    <w:p>
      <w:pPr>
        <w:pStyle w:val="38"/>
        <w:ind w:firstLine="640"/>
        <w:rPr>
          <w:rFonts w:cs="Times New Roman"/>
          <w:bCs/>
          <w:color w:val="FF0000"/>
          <w:szCs w:val="32"/>
        </w:rPr>
      </w:pPr>
      <w:r>
        <w:rPr>
          <w:rFonts w:cs="Times New Roman"/>
          <w:bCs/>
        </w:rPr>
        <w:t>加快数字社会、数字政府建设，推动新技术在城市运行、社会治理、应急管理、疫情防控等领域跨部门、夸层级的深度融合应用。大力推进政务服务事项的掌上办、自助办、智能办。提升交通、商业、医疗、教育、体育、文化旅游等民生和公共服务的数字化水平。</w:t>
      </w:r>
    </w:p>
    <w:p>
      <w:pPr>
        <w:pStyle w:val="5"/>
        <w:rPr>
          <w:rFonts w:eastAsia="仿宋" w:cs="Times New Roman"/>
        </w:rPr>
      </w:pPr>
      <w:r>
        <w:rPr>
          <w:rFonts w:eastAsia="仿宋" w:cs="Times New Roman"/>
        </w:rPr>
        <w:t>数字赋能文化产业，拓展数字内容服务</w:t>
      </w:r>
    </w:p>
    <w:p>
      <w:pPr>
        <w:pStyle w:val="38"/>
        <w:ind w:firstLine="640"/>
        <w:rPr>
          <w:rFonts w:cs="Times New Roman"/>
        </w:rPr>
      </w:pPr>
      <w:r>
        <w:rPr>
          <w:rFonts w:cs="Times New Roman"/>
        </w:rPr>
        <w:t>深耕优质内容，实施数字内容精品工程。依托传统出版和新兴数字出版企业资源，大力拓展数字出版领域。推动虚拟现实和增强现实技术在数字内容产业的应用。加快文化资源数字化转化，拓展“数字中轴线”文化场景应用。以文化内容为核心发展数字贸易，深化国际合作。</w:t>
      </w:r>
      <w:r>
        <w:rPr>
          <w:rFonts w:eastAsia="仿宋_GB2312" w:cs="Times New Roman"/>
          <w:szCs w:val="32"/>
        </w:rPr>
        <w:t>依托东城园国家级文化和科技融合示范基地等园区及龙头企业</w:t>
      </w:r>
      <w:r>
        <w:rPr>
          <w:rFonts w:cs="Times New Roman"/>
        </w:rPr>
        <w:t>，</w:t>
      </w:r>
      <w:r>
        <w:rPr>
          <w:rFonts w:hint="eastAsia" w:cs="Times New Roman"/>
        </w:rPr>
        <w:t>组织落实文化与科技融合发展项目，</w:t>
      </w:r>
      <w:r>
        <w:rPr>
          <w:rFonts w:cs="Times New Roman"/>
        </w:rPr>
        <w:t>积极培育文化科技融合的新兴业态及创新企业</w:t>
      </w:r>
      <w:r>
        <w:rPr>
          <w:rFonts w:cs="Times New Roman"/>
          <w:bCs/>
          <w:szCs w:val="32"/>
        </w:rPr>
        <w:t>。</w:t>
      </w:r>
      <w:r>
        <w:rPr>
          <w:rFonts w:cs="Times New Roman"/>
        </w:rPr>
        <w:t>加强数字内容政策引导，加大在准入和资质等方面的支持力度。优先支持区内符合条件的文化企业申报信息网络传播视听节目许可证和游戏版号，支持影视类文化企业制作的作品报审查机构审查。支持建设版权保护平台。</w:t>
      </w:r>
    </w:p>
    <w:bookmarkEnd w:id="24"/>
    <w:bookmarkEnd w:id="25"/>
    <w:bookmarkEnd w:id="26"/>
    <w:p>
      <w:pPr>
        <w:pStyle w:val="4"/>
        <w:rPr>
          <w:rFonts w:ascii="Times New Roman" w:hAnsi="Times New Roman" w:cs="Times New Roman"/>
        </w:rPr>
      </w:pPr>
      <w:bookmarkStart w:id="27" w:name="_Toc70068284"/>
      <w:r>
        <w:rPr>
          <w:rFonts w:ascii="Times New Roman" w:hAnsi="Times New Roman" w:cs="Times New Roman"/>
        </w:rPr>
        <w:t>促进商业商务提质升级，扩大新供给创造新需求</w:t>
      </w:r>
      <w:bookmarkEnd w:id="27"/>
    </w:p>
    <w:p>
      <w:pPr>
        <w:pStyle w:val="5"/>
        <w:ind w:firstLine="643"/>
        <w:rPr>
          <w:rFonts w:cs="Times New Roman"/>
        </w:rPr>
      </w:pPr>
      <w:r>
        <w:rPr>
          <w:rFonts w:cs="Times New Roman"/>
        </w:rPr>
        <w:t>打造国际消费新地标</w:t>
      </w:r>
    </w:p>
    <w:p>
      <w:pPr>
        <w:pStyle w:val="38"/>
        <w:ind w:firstLine="640"/>
        <w:rPr>
          <w:rFonts w:cs="Times New Roman"/>
        </w:rPr>
      </w:pPr>
      <w:r>
        <w:rPr>
          <w:rFonts w:cs="Times New Roman"/>
        </w:rPr>
        <w:t>加快传统商圈转型升级，推动文商旅深度融合，打造具有全球影响力和美誉度的地标型消费中心。将前门、故宫区域培育成“老字号+国潮”为特色的中国传统文化消费区。将王府井商圈培育成“品牌+品质”为特色的顶级品牌消费区。推进雍和宫、隆福寺等文化地标周边环境整治和文化消费业态导入。</w:t>
      </w:r>
      <w:r>
        <w:rPr>
          <w:rFonts w:cs="Times New Roman"/>
          <w:bCs/>
          <w:szCs w:val="32"/>
        </w:rPr>
        <w:t>充分发挥文化探访路线的历史文化价值，构建城景一体的全域旅游空间体系，打造“东城中轴文化体验走廊”和“东城历史文化消费片区”。</w:t>
      </w:r>
      <w:r>
        <w:rPr>
          <w:rFonts w:cs="Times New Roman"/>
        </w:rPr>
        <w:t>加快智慧商圈建设，支持重点商业载体开展智慧化运营。</w:t>
      </w:r>
    </w:p>
    <w:p>
      <w:pPr>
        <w:pStyle w:val="5"/>
        <w:ind w:firstLine="643"/>
        <w:rPr>
          <w:rFonts w:cs="Times New Roman"/>
        </w:rPr>
      </w:pPr>
      <w:r>
        <w:rPr>
          <w:rFonts w:cs="Times New Roman"/>
        </w:rPr>
        <w:t>打造消费品牌新矩阵</w:t>
      </w:r>
    </w:p>
    <w:p>
      <w:pPr>
        <w:pStyle w:val="38"/>
        <w:ind w:firstLine="640"/>
        <w:rPr>
          <w:rFonts w:cs="Times New Roman"/>
          <w:bCs/>
          <w:szCs w:val="32"/>
        </w:rPr>
      </w:pPr>
      <w:r>
        <w:rPr>
          <w:rFonts w:cs="Times New Roman"/>
        </w:rPr>
        <w:t>扩大国际消费品牌供给，提升区域国际品牌集聚度，助力北京国际消费中心城市建设。挖掘东城区商业服务业新增量，培育发展“首店经济”，引入一批品牌首店、旗舰店和网红店。加强免退税网点布局，创新免税业态和服务模式，发展免税经济。鼓励老字号守正创新，培育独具特色、满足国际化消费需求的高附加值商品和服务。推动新消费品牌孵化基地建设，不断探索新消费与街区更新、传统商业提质升级和资本市场的有机结合。</w:t>
      </w:r>
    </w:p>
    <w:p>
      <w:pPr>
        <w:pStyle w:val="5"/>
        <w:ind w:firstLine="643"/>
        <w:rPr>
          <w:rFonts w:cs="Times New Roman"/>
          <w:b w:val="0"/>
        </w:rPr>
      </w:pPr>
      <w:r>
        <w:rPr>
          <w:rFonts w:cs="Times New Roman"/>
        </w:rPr>
        <w:t>推动消费优质供给</w:t>
      </w:r>
    </w:p>
    <w:p>
      <w:pPr>
        <w:pStyle w:val="38"/>
        <w:ind w:firstLine="640"/>
        <w:rPr>
          <w:rFonts w:cs="Times New Roman"/>
          <w:bCs/>
          <w:szCs w:val="32"/>
        </w:rPr>
      </w:pPr>
      <w:r>
        <w:rPr>
          <w:rFonts w:cs="Times New Roman"/>
        </w:rPr>
        <w:t>推动互联网与各类消费业态紧密融合，培育壮大“云经济”和信息消费，大力发展“互联网+零售”、互联网健康服务、在线教育等新消费模式。</w:t>
      </w:r>
      <w:r>
        <w:rPr>
          <w:rFonts w:hint="eastAsia" w:cs="Times New Roman"/>
        </w:rPr>
        <w:t>鼓励电商优势企业做大做强，积极开展跨境电商业务。</w:t>
      </w:r>
      <w:r>
        <w:rPr>
          <w:rFonts w:cs="Times New Roman"/>
        </w:rPr>
        <w:t>加快推动新零售布局，推广和布设新零售设备，丰富新零售业态。挖掘文化资源价值，激活文化消费活力，</w:t>
      </w:r>
      <w:r>
        <w:rPr>
          <w:rFonts w:cs="Times New Roman"/>
          <w:bCs/>
          <w:szCs w:val="32"/>
        </w:rPr>
        <w:t>引导文化体验、文化创意、文化消费创新融合，</w:t>
      </w:r>
      <w:r>
        <w:rPr>
          <w:rFonts w:cs="Times New Roman"/>
        </w:rPr>
        <w:t>加快文化场馆的消费价值释放，充分挖掘优质文化IP的消费潜力。</w:t>
      </w:r>
      <w:r>
        <w:rPr>
          <w:rFonts w:cs="Times New Roman"/>
          <w:bCs/>
          <w:szCs w:val="32"/>
        </w:rPr>
        <w:t>培育网络消费、定制消费、体验消费等多层次体育消费渠道。</w:t>
      </w:r>
      <w:r>
        <w:rPr>
          <w:rFonts w:cs="Times New Roman"/>
        </w:rPr>
        <w:t>拓展夜间商业活动，</w:t>
      </w:r>
      <w:r>
        <w:rPr>
          <w:rFonts w:cs="Times New Roman"/>
          <w:bCs/>
          <w:szCs w:val="32"/>
        </w:rPr>
        <w:t>繁荣夜间经济。</w:t>
      </w:r>
    </w:p>
    <w:p>
      <w:pPr>
        <w:pStyle w:val="5"/>
        <w:rPr>
          <w:rFonts w:cs="Times New Roman"/>
        </w:rPr>
      </w:pPr>
      <w:r>
        <w:rPr>
          <w:rFonts w:cs="Times New Roman"/>
        </w:rPr>
        <w:t>高端发展商务服务业</w:t>
      </w:r>
    </w:p>
    <w:p>
      <w:pPr>
        <w:pStyle w:val="38"/>
        <w:ind w:firstLine="640"/>
        <w:rPr>
          <w:rFonts w:cs="Times New Roman"/>
        </w:rPr>
      </w:pPr>
      <w:r>
        <w:rPr>
          <w:rFonts w:cs="Times New Roman"/>
          <w:bCs/>
          <w:szCs w:val="32"/>
        </w:rPr>
        <w:t>支持市场主体高端化升级，积极落实服务业扩大开放等相关政策，加大总部功能配套保障，积极发展跨国公司地区总部。重点发展会计、法律、咨询、广告等专业服务，积极培育为新场景新业态提供信息、法律、财务、人力资源、创业孵化等专业服务的机构。构建楼宇经济发展联盟，打造特色楼宇经济群。</w:t>
      </w:r>
    </w:p>
    <w:p>
      <w:pPr>
        <w:pStyle w:val="4"/>
        <w:rPr>
          <w:rFonts w:ascii="Times New Roman" w:hAnsi="Times New Roman" w:cs="Times New Roman"/>
        </w:rPr>
      </w:pPr>
      <w:bookmarkStart w:id="28" w:name="_Toc70068285"/>
      <w:r>
        <w:rPr>
          <w:rFonts w:ascii="Times New Roman" w:hAnsi="Times New Roman" w:cs="Times New Roman"/>
        </w:rPr>
        <w:t>积极培育健康产业，增强东城产业新兴活力</w:t>
      </w:r>
      <w:bookmarkEnd w:id="28"/>
    </w:p>
    <w:p>
      <w:pPr>
        <w:pStyle w:val="5"/>
        <w:rPr>
          <w:rFonts w:cs="Times New Roman"/>
        </w:rPr>
      </w:pPr>
      <w:r>
        <w:rPr>
          <w:rFonts w:cs="Times New Roman"/>
        </w:rPr>
        <w:t>打造国际数字健康应用创新中心</w:t>
      </w:r>
    </w:p>
    <w:p>
      <w:pPr>
        <w:pStyle w:val="38"/>
        <w:ind w:firstLine="640"/>
        <w:rPr>
          <w:rFonts w:cs="Times New Roman"/>
        </w:rPr>
      </w:pPr>
      <w:r>
        <w:rPr>
          <w:rFonts w:cs="Times New Roman"/>
        </w:rPr>
        <w:t>发挥东城区传统高端医疗资源优势，发展智慧健康产业。推进“信用+医疗”体系建设，积极布局互联网医疗，发展精准医疗。开展互联网药房建设，探索搭建电子处方流转平台。鼓励医药新零售商业发展，支持药品流通企业将其下属医药电商类子公司落户东城。大力发展健康商业保险，支持健康医疗大数据在商业险的应用，支持商业保险机构开发定点医疗机构专属的健康保险产品，推进国际医疗保险结算。</w:t>
      </w:r>
    </w:p>
    <w:p>
      <w:pPr>
        <w:pStyle w:val="5"/>
        <w:rPr>
          <w:rFonts w:cs="Times New Roman"/>
        </w:rPr>
      </w:pPr>
      <w:r>
        <w:rPr>
          <w:rFonts w:cs="Times New Roman"/>
        </w:rPr>
        <w:t>提升中医药产业国际影响力</w:t>
      </w:r>
    </w:p>
    <w:p>
      <w:pPr>
        <w:pStyle w:val="38"/>
        <w:ind w:firstLine="640"/>
        <w:rPr>
          <w:rFonts w:cs="Times New Roman"/>
          <w:u w:val="single"/>
        </w:rPr>
      </w:pPr>
      <w:r>
        <w:rPr>
          <w:rFonts w:cs="Times New Roman"/>
        </w:rPr>
        <w:t>深入推进国家中医药发展综合改革试验区建设，推动中医药文化传承与创新，办好“地坛中医药健康文化节”等活动，推广中医药文创产品，增加中医药体验式消费。依托国家中医药健康旅游示范区，推动中医药产业与文化旅游业的融合。建立中医药健康产业产权交易平台，促成研发者与投资者结合，促进科技成果转化和产业化发展，并以此为资源汇聚点，挖掘优质项目落地。依托医疗和行业协会资源优势发展组织国际级展会、论坛、行业会议等。加快中医药服务出口基地建设，支持同仁堂等中医药服务机构开拓国际市场</w:t>
      </w:r>
      <w:r>
        <w:rPr>
          <w:rFonts w:hint="eastAsia" w:cs="Times New Roman"/>
        </w:rPr>
        <w:t>，推动中医药特色产业向国际化和标准化发展</w:t>
      </w:r>
      <w:r>
        <w:rPr>
          <w:rFonts w:cs="Times New Roman"/>
        </w:rPr>
        <w:t>。</w:t>
      </w:r>
    </w:p>
    <w:p>
      <w:pPr>
        <w:pStyle w:val="5"/>
        <w:rPr>
          <w:rFonts w:cs="Times New Roman"/>
        </w:rPr>
      </w:pPr>
      <w:r>
        <w:rPr>
          <w:rFonts w:cs="Times New Roman"/>
        </w:rPr>
        <w:t>拓宽体育产业创新发展空间</w:t>
      </w:r>
    </w:p>
    <w:p>
      <w:pPr>
        <w:pStyle w:val="38"/>
        <w:ind w:firstLine="640"/>
        <w:rPr>
          <w:rFonts w:cs="Times New Roman"/>
        </w:rPr>
      </w:pPr>
      <w:r>
        <w:rPr>
          <w:rFonts w:cs="Times New Roman"/>
        </w:rPr>
        <w:t>加强与国家体育总局及其下属单位合作，抓住体育总局协会改革机遇，落地一批体育运动协会，积极发展高端体育赛事和组织管理。推动体育与文化、信息等产业深度融合。引导文化企业开展体育出版、体育影视、体育动漫和体育文化演出等主题文化创意活动。借助冬奥会等国际大赛契机，发展体育传媒。加快新一代信息技术和高端智能应用，以数字化赋能体育产业发展。积极引进国际时尚运动和比赛，拓展小众精品体育运动类项目。鼓励社会力量参与现有体育场馆设施的改造与运营管理，提高现有场馆设施的开放率和利用率，满足市民体育健身需求，促进体育消费。</w:t>
      </w:r>
      <w:r>
        <w:rPr>
          <w:rFonts w:hint="eastAsia" w:cs="Times New Roman"/>
        </w:rPr>
        <w:t>依托现有资源和腾退空间转型升级，推动崇文门、体育馆路、永外地区形成健康产业集聚区。</w:t>
      </w:r>
    </w:p>
    <w:p>
      <w:pPr>
        <w:pStyle w:val="3"/>
        <w:rPr>
          <w:rFonts w:ascii="Times New Roman" w:hAnsi="Times New Roman" w:cs="Times New Roman"/>
        </w:rPr>
      </w:pPr>
      <w:bookmarkStart w:id="29" w:name="_Toc57991751"/>
      <w:bookmarkEnd w:id="29"/>
      <w:bookmarkStart w:id="30" w:name="_Toc57991752"/>
      <w:bookmarkEnd w:id="30"/>
      <w:bookmarkStart w:id="31" w:name="_Toc14194"/>
      <w:bookmarkStart w:id="32" w:name="_Toc70068286"/>
      <w:bookmarkStart w:id="33" w:name="_Toc15702"/>
      <w:bookmarkStart w:id="34" w:name="_Toc17046"/>
      <w:bookmarkStart w:id="35" w:name="_Toc23323"/>
      <w:bookmarkStart w:id="36" w:name="_Toc8989"/>
      <w:bookmarkStart w:id="37" w:name="_Toc31206"/>
      <w:bookmarkStart w:id="38" w:name="_Toc14392"/>
      <w:bookmarkStart w:id="39" w:name="_Toc9060"/>
      <w:bookmarkStart w:id="40" w:name="_Toc32588"/>
      <w:bookmarkStart w:id="41" w:name="_Toc13532"/>
      <w:bookmarkStart w:id="42" w:name="_Toc52012113"/>
      <w:bookmarkStart w:id="43" w:name="_Toc32083"/>
      <w:bookmarkStart w:id="44" w:name="_Toc14475"/>
      <w:bookmarkStart w:id="45" w:name="_Toc17029"/>
      <w:bookmarkStart w:id="46" w:name="_Toc11135"/>
      <w:bookmarkStart w:id="47" w:name="_Toc9621"/>
      <w:bookmarkStart w:id="48" w:name="_Toc31775"/>
      <w:bookmarkStart w:id="49" w:name="_Toc21375"/>
      <w:bookmarkStart w:id="50" w:name="_Toc53516019"/>
      <w:bookmarkStart w:id="51" w:name="_Toc7939"/>
      <w:bookmarkStart w:id="52" w:name="_Toc25329"/>
      <w:bookmarkStart w:id="53" w:name="_Toc1975"/>
      <w:bookmarkStart w:id="54" w:name="_Toc3784"/>
      <w:bookmarkStart w:id="55" w:name="_Toc2271"/>
      <w:bookmarkStart w:id="56" w:name="_Toc9652"/>
      <w:bookmarkStart w:id="57" w:name="_Toc28538"/>
      <w:bookmarkStart w:id="58" w:name="_Toc5753"/>
      <w:bookmarkStart w:id="59" w:name="_Toc6171"/>
      <w:r>
        <w:rPr>
          <w:rFonts w:ascii="Times New Roman" w:hAnsi="Times New Roman" w:cs="Times New Roman"/>
        </w:rPr>
        <w:t>产业空间布局</w:t>
      </w:r>
      <w:bookmarkEnd w:id="31"/>
      <w:bookmarkEnd w:id="32"/>
    </w:p>
    <w:p>
      <w:pPr>
        <w:pStyle w:val="38"/>
        <w:ind w:firstLine="640"/>
        <w:rPr>
          <w:rFonts w:cs="Times New Roman"/>
        </w:rPr>
      </w:pPr>
      <w:r>
        <w:rPr>
          <w:rFonts w:cs="Times New Roman"/>
        </w:rPr>
        <w:drawing>
          <wp:anchor distT="0" distB="0" distL="114300" distR="114300" simplePos="0" relativeHeight="251659264" behindDoc="0" locked="0" layoutInCell="1" allowOverlap="1">
            <wp:simplePos x="0" y="0"/>
            <wp:positionH relativeFrom="column">
              <wp:posOffset>1725295</wp:posOffset>
            </wp:positionH>
            <wp:positionV relativeFrom="paragraph">
              <wp:posOffset>1601470</wp:posOffset>
            </wp:positionV>
            <wp:extent cx="2524125" cy="3533775"/>
            <wp:effectExtent l="0" t="0" r="0" b="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extLst>
                        <a:ext uri="{28A0092B-C50C-407E-A947-70E740481C1C}">
                          <a14:useLocalDpi xmlns:a14="http://schemas.microsoft.com/office/drawing/2010/main" val="0"/>
                        </a:ext>
                      </a:extLst>
                    </a:blip>
                    <a:srcRect l="1817" t="1308" r="1890" b="1553"/>
                    <a:stretch>
                      <a:fillRect/>
                    </a:stretch>
                  </pic:blipFill>
                  <pic:spPr>
                    <a:xfrm>
                      <a:off x="0" y="0"/>
                      <a:ext cx="2524125" cy="3533775"/>
                    </a:xfrm>
                    <a:prstGeom prst="rect">
                      <a:avLst/>
                    </a:prstGeom>
                    <a:ln>
                      <a:noFill/>
                    </a:ln>
                  </pic:spPr>
                </pic:pic>
              </a:graphicData>
            </a:graphic>
          </wp:anchor>
        </w:drawing>
      </w:r>
      <w:r>
        <w:rPr>
          <w:rFonts w:cs="Times New Roman"/>
        </w:rPr>
        <w:t>遵循产业布局规律和产业空间分布现状，优化提升全区产业发展环境，引导新兴产业向南部集聚，着力构建区域协调、功能互补、特色彰显的“两带、三区、多点”的产业空间新格局。</w:t>
      </w:r>
    </w:p>
    <w:p>
      <w:pPr>
        <w:pStyle w:val="38"/>
        <w:ind w:firstLine="480"/>
        <w:jc w:val="center"/>
        <w:rPr>
          <w:rFonts w:cs="Times New Roman"/>
          <w:sz w:val="24"/>
        </w:rPr>
      </w:pPr>
      <w:r>
        <w:rPr>
          <w:rFonts w:cs="Times New Roman"/>
          <w:sz w:val="24"/>
        </w:rPr>
        <w:t>东城区 “两带、三区、多点”产业空间布局图</w:t>
      </w:r>
    </w:p>
    <w:p>
      <w:pPr>
        <w:pStyle w:val="4"/>
        <w:rPr>
          <w:rFonts w:ascii="Times New Roman" w:hAnsi="Times New Roman" w:cs="Times New Roman"/>
        </w:rPr>
      </w:pPr>
      <w:bookmarkStart w:id="60" w:name="_Toc68875022"/>
      <w:bookmarkEnd w:id="60"/>
      <w:bookmarkStart w:id="61" w:name="_Toc68875055"/>
      <w:bookmarkEnd w:id="61"/>
      <w:bookmarkStart w:id="62" w:name="_Toc68786406"/>
      <w:bookmarkEnd w:id="62"/>
      <w:bookmarkStart w:id="63" w:name="_Toc68875440"/>
      <w:bookmarkEnd w:id="63"/>
      <w:bookmarkStart w:id="64" w:name="_Toc68874360"/>
      <w:bookmarkEnd w:id="64"/>
      <w:bookmarkStart w:id="65" w:name="_Toc70068287"/>
      <w:r>
        <w:rPr>
          <w:rFonts w:ascii="Times New Roman" w:hAnsi="Times New Roman" w:cs="Times New Roman"/>
        </w:rPr>
        <w:t>构筑两大产业融合发展带</w:t>
      </w:r>
      <w:bookmarkEnd w:id="65"/>
      <w:bookmarkStart w:id="66" w:name="_Toc51075286"/>
      <w:bookmarkEnd w:id="66"/>
    </w:p>
    <w:p>
      <w:pPr>
        <w:pStyle w:val="5"/>
        <w:rPr>
          <w:rFonts w:eastAsia="仿宋" w:cs="Times New Roman"/>
        </w:rPr>
      </w:pPr>
      <w:r>
        <w:rPr>
          <w:rFonts w:eastAsia="仿宋" w:cs="Times New Roman"/>
        </w:rPr>
        <w:t>打造5号线文化融合创新发展带</w:t>
      </w:r>
    </w:p>
    <w:p>
      <w:pPr>
        <w:pStyle w:val="38"/>
        <w:ind w:firstLine="640"/>
        <w:rPr>
          <w:rFonts w:cs="Times New Roman"/>
        </w:rPr>
      </w:pPr>
      <w:r>
        <w:rPr>
          <w:rFonts w:cs="Times New Roman"/>
        </w:rPr>
        <w:t>推动地铁5号线（含崇雍大街、崇外大街）沿线区域文化产业融合发展，以崇雍大街沿线为重点，提升隆福寺辐射带动效应，引领交道口、美术馆、东四、天坛等周边区域优化提质，联动崇文门外、红桥市场等商业商务楼宇和产业园区建设，串联老城重要公共空间、历史节点、城市地标、胡同文化，打造老城特色文化展示和高端品质空间载体，培育新消费热点，促进文商旅深度融合，激发南北区域文化产业创新活力。</w:t>
      </w:r>
    </w:p>
    <w:p>
      <w:pPr>
        <w:pStyle w:val="5"/>
        <w:rPr>
          <w:rFonts w:eastAsia="仿宋" w:cs="Times New Roman"/>
        </w:rPr>
      </w:pPr>
      <w:r>
        <w:rPr>
          <w:rFonts w:eastAsia="仿宋" w:cs="Times New Roman"/>
        </w:rPr>
        <w:t>提升东二环金融商务集聚发展带</w:t>
      </w:r>
    </w:p>
    <w:p>
      <w:pPr>
        <w:pStyle w:val="38"/>
        <w:ind w:firstLine="640"/>
        <w:rPr>
          <w:rFonts w:cs="Times New Roman"/>
        </w:rPr>
      </w:pPr>
      <w:r>
        <w:rPr>
          <w:rFonts w:cs="Times New Roman"/>
        </w:rPr>
        <w:t>以东二环沿线为载体，依托二环路文化景观环线建设，强化轨道交通支撑，提升区域发展环境。优化东直门、朝阳门、建国门、广渠门等重要节点区域功能布局，加快商务楼宇改造，打造高端智能楼宇集群，吸引高端金融、信息服务等头部企业集聚。持续提高高端商业商务配套服务水平，打造产业生态优越的金融商务集聚发展带。</w:t>
      </w:r>
    </w:p>
    <w:p>
      <w:pPr>
        <w:pStyle w:val="4"/>
        <w:rPr>
          <w:rFonts w:ascii="Times New Roman" w:hAnsi="Times New Roman" w:cs="Times New Roman"/>
        </w:rPr>
      </w:pPr>
      <w:bookmarkStart w:id="67" w:name="_Toc70068288"/>
      <w:r>
        <w:rPr>
          <w:rFonts w:ascii="Times New Roman" w:hAnsi="Times New Roman" w:cs="Times New Roman"/>
        </w:rPr>
        <w:t>优化建设三大重点功能区</w:t>
      </w:r>
      <w:bookmarkEnd w:id="67"/>
    </w:p>
    <w:p>
      <w:pPr>
        <w:pStyle w:val="5"/>
        <w:rPr>
          <w:rFonts w:eastAsia="仿宋" w:cs="Times New Roman"/>
        </w:rPr>
      </w:pPr>
      <w:r>
        <w:rPr>
          <w:rFonts w:eastAsia="仿宋" w:cs="Times New Roman"/>
        </w:rPr>
        <w:t>构建王府井独具人文魅力的国际一流步行商业街区</w:t>
      </w:r>
    </w:p>
    <w:p>
      <w:pPr>
        <w:pStyle w:val="38"/>
        <w:ind w:firstLine="640"/>
        <w:rPr>
          <w:rFonts w:cs="Times New Roman"/>
        </w:rPr>
      </w:pPr>
      <w:r>
        <w:rPr>
          <w:rFonts w:cs="Times New Roman"/>
        </w:rPr>
        <w:t>推动王府井地区城市更新，加快智慧商街建设，使王府井成为展示新时代首都改革开放成果的窗口，为中央政务活动提供良好配套保障。优化重要节点设计，实施主街景观综合提升工程、西街片区更新工程。探索建立与街区持续更新相适应的管理机制，以东安市场、新燕莎金街购物广场、好友世界商场、新中国儿童用品商店、利生体育商厦、外文书店等改造升级为示范带动，“一店一策”推动传统设施提质升级。展示利用街区历史文化资源，加快推动“商旅文”多业态融合发展，加大首店、旗舰店和品牌新形象店引进力度，提升街区业态品质，丰富消费体验，彰显街区活力。探索创新商业模式，与知名电商企业合作，积极吸引开设线下融合体验店，推动线上线下融合示范。打造商业文化活动、网红打卡地的集聚区，年轻消费群体商业消费新地标。</w:t>
      </w:r>
    </w:p>
    <w:p>
      <w:pPr>
        <w:pStyle w:val="5"/>
        <w:rPr>
          <w:rFonts w:eastAsia="仿宋" w:cs="Times New Roman"/>
        </w:rPr>
      </w:pPr>
      <w:r>
        <w:rPr>
          <w:rFonts w:eastAsia="仿宋" w:cs="Times New Roman"/>
        </w:rPr>
        <w:t>打造前门地区京味儿文化体验式消费街区</w:t>
      </w:r>
    </w:p>
    <w:p>
      <w:pPr>
        <w:pStyle w:val="9"/>
        <w:spacing w:after="0" w:line="560" w:lineRule="exact"/>
        <w:ind w:firstLine="640" w:firstLineChars="200"/>
        <w:rPr>
          <w:rFonts w:cs="Times New Roman"/>
          <w:sz w:val="32"/>
          <w:szCs w:val="22"/>
        </w:rPr>
      </w:pPr>
      <w:r>
        <w:rPr>
          <w:rFonts w:hint="eastAsia" w:cs="Times New Roman"/>
          <w:sz w:val="32"/>
          <w:szCs w:val="22"/>
        </w:rPr>
        <w:t>落实“一个中心、两种体验、五大区域”业态提升规划和商业布局理念，以“打造具有活力的京味儿文化体验式商业街区”为核心，多元呈现“老北京传统”和“新北京时尚”相互交织的城市文化厚底蕴与现代商业新活力，全面构建老字号零售区、老字号餐饮区、多元文化体验区、娱乐休闲体验区、先锋潮流体验区等五大功能区域，勾勒展示老北京市井商业图景和城市人文风貌，塑造弘扬古都灿烂悠久历史、彰显古今交融城市风貌和传播现代商业文化的魅力商街，打造北京历史文化“金名片”。</w:t>
      </w:r>
    </w:p>
    <w:p>
      <w:pPr>
        <w:pStyle w:val="5"/>
        <w:rPr>
          <w:rFonts w:eastAsia="仿宋" w:cs="Times New Roman"/>
        </w:rPr>
      </w:pPr>
      <w:r>
        <w:rPr>
          <w:rFonts w:eastAsia="仿宋" w:cs="Times New Roman"/>
        </w:rPr>
        <w:t>重点建设中关村国家自主创新示范区东城园</w:t>
      </w:r>
    </w:p>
    <w:p>
      <w:pPr>
        <w:pStyle w:val="38"/>
        <w:ind w:firstLine="640"/>
        <w:rPr>
          <w:rFonts w:cs="Times New Roman"/>
        </w:rPr>
      </w:pPr>
      <w:r>
        <w:rPr>
          <w:rFonts w:hint="eastAsia" w:cs="Times New Roman"/>
        </w:rPr>
        <w:t>积极实施一园区多基地战略，以中关村雍和园、东二环总部经济集聚区、龙潭湖国家体育产业示范基地等为抓手，推动园区重点发展新一代信息技术主导产业，培育壮大文化科技特色产业，引导以研发创新为核心的总部企业入驻，巩固总部经济，继续打造东城园国家级文化和科技融合示范基地。优化园区空间布局，打造园区建设运营平台，统筹腾退空间利用。健全创新生态体系，培育创新成长型企业，提升创新能力。</w:t>
      </w:r>
    </w:p>
    <w:p>
      <w:pPr>
        <w:pStyle w:val="4"/>
        <w:rPr>
          <w:rFonts w:ascii="Times New Roman" w:hAnsi="Times New Roman" w:cs="Times New Roman"/>
        </w:rPr>
      </w:pPr>
      <w:bookmarkStart w:id="68" w:name="_Toc70068289"/>
      <w:r>
        <w:rPr>
          <w:rFonts w:ascii="Times New Roman" w:hAnsi="Times New Roman" w:cs="Times New Roman"/>
        </w:rPr>
        <w:t>打造产业融合发展新亮点</w:t>
      </w:r>
      <w:bookmarkEnd w:id="68"/>
    </w:p>
    <w:p>
      <w:pPr>
        <w:pStyle w:val="38"/>
        <w:ind w:firstLine="640"/>
        <w:rPr>
          <w:rFonts w:cs="Times New Roman"/>
        </w:rPr>
      </w:pPr>
      <w:r>
        <w:rPr>
          <w:rFonts w:cs="Times New Roman"/>
        </w:rPr>
        <w:t>建设金宝街智能金融现代服务区，实施智能街区示范重点工程，加快街区及区域内办公楼宇现代化、智能化改造，建设数字化招商服务平台，形成金融机构聚集、商务配套齐全、服务智能便利的良好金融生态。推动东直门“金融生态城”建设，开展金融服务业对外开放先行试点，引进国内外知名金融机构落户，带动周边服务业协同发展。优化利用安定门外存量产业空间资源，发挥头部企业示范作用，实现高端金融业汇聚发展。打造隆福寺世界级文化艺术消费目的地，建设高品质艺术品服务平台，联动嘉德艺术中心、中国美术馆、北京人民艺术剧院等周边文化资源，为文化交流、文化科技融合等多元化发展提供优质空间载体和配套服务。培育壮大红桥文化产业集群。紧抓南中轴建设契机，打造永外地区成为新产业发展高地，加快实现南北均衡发展。</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pPr>
        <w:pStyle w:val="3"/>
        <w:rPr>
          <w:rFonts w:ascii="Times New Roman" w:hAnsi="Times New Roman" w:cs="Times New Roman"/>
        </w:rPr>
      </w:pPr>
      <w:bookmarkStart w:id="69" w:name="_Toc70068290"/>
      <w:r>
        <w:rPr>
          <w:rFonts w:ascii="Times New Roman" w:hAnsi="Times New Roman" w:cs="Times New Roman"/>
        </w:rPr>
        <w:t>产业发展支撑体系</w:t>
      </w:r>
      <w:bookmarkEnd w:id="69"/>
    </w:p>
    <w:p>
      <w:pPr>
        <w:pStyle w:val="4"/>
        <w:rPr>
          <w:rFonts w:ascii="Times New Roman" w:hAnsi="Times New Roman" w:cs="Times New Roman"/>
        </w:rPr>
      </w:pPr>
      <w:bookmarkStart w:id="70" w:name="_Toc70068291"/>
      <w:bookmarkStart w:id="71" w:name="_Toc44373963"/>
      <w:bookmarkStart w:id="72" w:name="_Toc55229718"/>
      <w:r>
        <w:rPr>
          <w:rFonts w:ascii="Times New Roman" w:hAnsi="Times New Roman" w:cs="Times New Roman"/>
        </w:rPr>
        <w:t>实施环境提升工程，激发企业主体活力</w:t>
      </w:r>
      <w:bookmarkEnd w:id="70"/>
    </w:p>
    <w:p>
      <w:pPr>
        <w:pStyle w:val="38"/>
        <w:ind w:firstLine="643"/>
        <w:rPr>
          <w:rFonts w:cs="Times New Roman"/>
        </w:rPr>
      </w:pPr>
      <w:r>
        <w:rPr>
          <w:rFonts w:cs="Times New Roman"/>
          <w:b/>
        </w:rPr>
        <w:t>完善产业政策体系。</w:t>
      </w:r>
      <w:r>
        <w:rPr>
          <w:rFonts w:cs="Times New Roman"/>
        </w:rPr>
        <w:t>制定构建新发展格局，促进经济高质量发展的指导意见和实施方案，用好用活组合式政策激励，综合考虑创新提升、资金支持、空间利用、人才保障以及环境优化五个要素，重点支持文化金融、智能金融、智慧医疗等融合业态的发展，打造产业融合试点示范项目。建立政策调整和退出评估机制，加强产业发展风险评估，及时修订调整相关政策，确保政策的持续效果。</w:t>
      </w:r>
    </w:p>
    <w:p>
      <w:pPr>
        <w:pStyle w:val="38"/>
        <w:ind w:firstLine="643"/>
        <w:rPr>
          <w:rFonts w:cs="Times New Roman"/>
        </w:rPr>
      </w:pPr>
      <w:r>
        <w:rPr>
          <w:rFonts w:cs="Times New Roman"/>
          <w:b/>
        </w:rPr>
        <w:t>优化资金支持方式</w:t>
      </w:r>
      <w:r>
        <w:rPr>
          <w:rFonts w:cs="Times New Roman"/>
        </w:rPr>
        <w:t>。积极向中央、北京市争取财政支持。发挥政府投资引导基金作用，建立绩效评价制度，加强基金监管，促进产业融合发展。完善“拨投联动、投补联动、贷贴联动”等资金支持方式。对接利用资本市场平台，做大做强优势产业，促进产业、项目、技术和人才聚集。</w:t>
      </w:r>
    </w:p>
    <w:p>
      <w:pPr>
        <w:pStyle w:val="38"/>
        <w:ind w:firstLine="643"/>
        <w:rPr>
          <w:rFonts w:cs="Times New Roman"/>
          <w:shd w:val="clear" w:color="auto" w:fill="FFFFFF"/>
        </w:rPr>
      </w:pPr>
      <w:r>
        <w:rPr>
          <w:rFonts w:cs="Times New Roman"/>
          <w:b/>
        </w:rPr>
        <w:t>提升政府产业运营管理能力。</w:t>
      </w:r>
      <w:r>
        <w:rPr>
          <w:rFonts w:cs="Times New Roman"/>
          <w:shd w:val="clear" w:color="auto" w:fill="FFFFFF"/>
        </w:rPr>
        <w:t>进一步强化国有资本布局和调整，统筹规划整合全区土地及产业发展资源，综合运用投融资、专业服务等市场化手段，提升政府产业管理和服务能力，打造文化产业、商业服务业、城市更新改造和国有资本运作平台的“3+1”区属国有经济布局结构。探索设立国企改革发展基金、老字号基金，通过资本运作，切实发挥好政府投资的引导和带动作用，提高国有资本运营效率。</w:t>
      </w:r>
    </w:p>
    <w:p>
      <w:pPr>
        <w:pStyle w:val="38"/>
        <w:ind w:firstLine="643"/>
        <w:rPr>
          <w:rFonts w:cs="Times New Roman"/>
        </w:rPr>
      </w:pPr>
      <w:r>
        <w:rPr>
          <w:rFonts w:cs="Times New Roman"/>
          <w:b/>
        </w:rPr>
        <w:t>促进产业融合协同发展。</w:t>
      </w:r>
      <w:r>
        <w:rPr>
          <w:rFonts w:cs="Times New Roman"/>
        </w:rPr>
        <w:t>在区层面完善跨部门的产业融合协调机制，构建纵向贯通、横向协同、顺畅高效的组织管理体系。健全产业融合政策制度体系，加强顶层设计与制度创新，统筹强化政策合力。强化融合统计口径研究和评估管理，完善对区产业融合发展工作的指导。</w:t>
      </w:r>
    </w:p>
    <w:p>
      <w:pPr>
        <w:pStyle w:val="38"/>
        <w:ind w:firstLine="643"/>
        <w:rPr>
          <w:rFonts w:cs="Times New Roman"/>
        </w:rPr>
      </w:pPr>
      <w:r>
        <w:rPr>
          <w:rFonts w:cs="Times New Roman"/>
          <w:b/>
        </w:rPr>
        <w:t>搭建政府投资促进平台。</w:t>
      </w:r>
      <w:r>
        <w:rPr>
          <w:rFonts w:cs="Times New Roman"/>
        </w:rPr>
        <w:t>加大对产业链龙头企业及其区域总部、营销中心、结算中心、研发中心等核心配套企业的招引力度，建立常态化服务机制。探索东城区和驻区央企共同建立投资基金，推动央企投资落地。推动驻区央企、市属企业和驻区民营企业、区属企业的合作交流，引导、支持各类企业通过项目投资、资产整合等方式实现优势互补，持续加强对中小企业的支持。密切跟踪市场动态和重点企业发展，健全领军型、高成长型与潜力型企业分类管理机制。</w:t>
      </w:r>
    </w:p>
    <w:p>
      <w:pPr>
        <w:pStyle w:val="4"/>
        <w:rPr>
          <w:rFonts w:ascii="Times New Roman" w:hAnsi="Times New Roman" w:cs="Times New Roman"/>
        </w:rPr>
      </w:pPr>
      <w:bookmarkStart w:id="73" w:name="_Toc70068292"/>
      <w:r>
        <w:rPr>
          <w:rFonts w:ascii="Times New Roman" w:hAnsi="Times New Roman" w:cs="Times New Roman"/>
        </w:rPr>
        <w:t>实施品牌塑造工程，构建</w:t>
      </w:r>
      <w:bookmarkEnd w:id="71"/>
      <w:r>
        <w:rPr>
          <w:rFonts w:ascii="Times New Roman" w:hAnsi="Times New Roman" w:cs="Times New Roman"/>
        </w:rPr>
        <w:t>区域产业差异化竞争优势</w:t>
      </w:r>
      <w:bookmarkEnd w:id="72"/>
      <w:bookmarkEnd w:id="73"/>
    </w:p>
    <w:p>
      <w:pPr>
        <w:pStyle w:val="38"/>
        <w:ind w:firstLine="643"/>
        <w:rPr>
          <w:rFonts w:cs="Times New Roman"/>
        </w:rPr>
      </w:pPr>
      <w:r>
        <w:rPr>
          <w:rFonts w:cs="Times New Roman"/>
          <w:b/>
        </w:rPr>
        <w:t>打造具有老北京特色文商旅品牌。</w:t>
      </w:r>
      <w:r>
        <w:rPr>
          <w:rFonts w:cs="Times New Roman"/>
        </w:rPr>
        <w:t>积极寻找文化商业与旅游的产业对接点，</w:t>
      </w:r>
      <w:r>
        <w:rPr>
          <w:rFonts w:cs="Times New Roman"/>
          <w:shd w:val="clear" w:color="auto" w:fill="FFFFFF"/>
        </w:rPr>
        <w:t>整合东城区具有老北京特色的文化、商业、旅游资源，引入多元市场运营主体，打造具有较强市场吸引力的商业店铺、特色活动等</w:t>
      </w:r>
      <w:r>
        <w:rPr>
          <w:rFonts w:cs="Times New Roman"/>
        </w:rPr>
        <w:t>。</w:t>
      </w:r>
      <w:r>
        <w:rPr>
          <w:rFonts w:cs="Times New Roman"/>
          <w:shd w:val="clear" w:color="auto" w:fill="FFFFFF"/>
        </w:rPr>
        <w:t>以故宫、前门、隆福寺等有代表性的文化街区为核心，完善“故宫以东”品牌体系，强化IP效应，提升老北京特色文商旅品牌影响力。发挥“大戏东望”等品牌效应，办好“前门历史文化节”等品牌活动。依托“王府井国际品牌节”“王府井论坛”，</w:t>
      </w:r>
      <w:r>
        <w:rPr>
          <w:rFonts w:cs="Times New Roman"/>
          <w:bCs/>
          <w:szCs w:val="32"/>
        </w:rPr>
        <w:t>搭建国内外著名商业品牌交流合作平台，</w:t>
      </w:r>
      <w:r>
        <w:rPr>
          <w:rFonts w:cs="Times New Roman"/>
          <w:shd w:val="clear" w:color="auto" w:fill="FFFFFF"/>
        </w:rPr>
        <w:t>吸引知名高端品牌汇聚。</w:t>
      </w:r>
    </w:p>
    <w:p>
      <w:pPr>
        <w:pStyle w:val="38"/>
        <w:ind w:firstLine="643"/>
        <w:rPr>
          <w:rFonts w:cs="Times New Roman"/>
          <w:shd w:val="clear" w:color="auto" w:fill="FFFFFF"/>
        </w:rPr>
      </w:pPr>
      <w:r>
        <w:rPr>
          <w:rFonts w:cs="Times New Roman"/>
          <w:b/>
        </w:rPr>
        <w:t>塑造文化金融特色品牌。</w:t>
      </w:r>
      <w:r>
        <w:rPr>
          <w:rFonts w:eastAsia="仿宋_GB2312" w:cs="Times New Roman"/>
          <w:szCs w:val="32"/>
          <w:shd w:val="clear" w:color="auto" w:fill="FFFFFF"/>
        </w:rPr>
        <w:t>将国家级、市级文化金融活动在示范区落地，联合文化金融领域基础较好的城市，</w:t>
      </w:r>
      <w:r>
        <w:rPr>
          <w:rFonts w:cs="Times New Roman"/>
          <w:shd w:val="clear" w:color="auto" w:fill="FFFFFF"/>
        </w:rPr>
        <w:t>打造“中国文化金融峰会”</w:t>
      </w:r>
      <w:r>
        <w:rPr>
          <w:rFonts w:cs="Times New Roman"/>
          <w:bCs/>
          <w:szCs w:val="32"/>
        </w:rPr>
        <w:t xml:space="preserve"> 成为国内最具影响力的文化与金融合作盛会。</w:t>
      </w:r>
      <w:r>
        <w:rPr>
          <w:rFonts w:eastAsia="仿宋_GB2312" w:cs="Times New Roman"/>
          <w:szCs w:val="32"/>
          <w:shd w:val="clear" w:color="auto" w:fill="FFFFFF"/>
        </w:rPr>
        <w:t>搭建政府、行业专家、企业与金融机构的常态化活动社群，为企业搭建资源展示交流平台。</w:t>
      </w:r>
      <w:r>
        <w:rPr>
          <w:rFonts w:cs="Times New Roman"/>
          <w:shd w:val="clear" w:color="auto" w:fill="FFFFFF"/>
        </w:rPr>
        <w:t>聚焦文化传承发展、文娱品牌打造、文旅资源转化，塑造具有区域影响力的文化金融特色品牌。</w:t>
      </w:r>
    </w:p>
    <w:p>
      <w:pPr>
        <w:pStyle w:val="38"/>
        <w:ind w:firstLine="643"/>
        <w:rPr>
          <w:rFonts w:cs="Times New Roman"/>
          <w:shd w:val="clear" w:color="auto" w:fill="FFFFFF"/>
        </w:rPr>
      </w:pPr>
      <w:r>
        <w:rPr>
          <w:rFonts w:cs="Times New Roman"/>
          <w:b/>
          <w:bCs/>
          <w:shd w:val="clear" w:color="auto" w:fill="FFFFFF"/>
        </w:rPr>
        <w:t>培育东城国际健康品牌。</w:t>
      </w:r>
      <w:r>
        <w:rPr>
          <w:rFonts w:cs="Times New Roman"/>
          <w:shd w:val="clear" w:color="auto" w:fill="FFFFFF"/>
        </w:rPr>
        <w:t>重点依托</w:t>
      </w:r>
      <w:r>
        <w:rPr>
          <w:rFonts w:cs="Times New Roman"/>
        </w:rPr>
        <w:t>同仁堂、长春堂等丰富的中医药老字号资源优势，深入推进国家中医药发展综合改革试验区建设，聚焦中医药产业与文化旅游业的融合，打造中医药健康旅游品牌。创新发展智慧健康产业，建设国际数字健康应用创新中心，打造北京健康产业新名片。</w:t>
      </w:r>
    </w:p>
    <w:p>
      <w:pPr>
        <w:pStyle w:val="4"/>
        <w:rPr>
          <w:rFonts w:ascii="Times New Roman" w:hAnsi="Times New Roman" w:cs="Times New Roman"/>
        </w:rPr>
      </w:pPr>
      <w:bookmarkStart w:id="74" w:name="_Toc70068293"/>
      <w:bookmarkStart w:id="75" w:name="_Toc44373965"/>
      <w:bookmarkStart w:id="76" w:name="_Toc55229720"/>
      <w:r>
        <w:rPr>
          <w:rFonts w:ascii="Times New Roman" w:hAnsi="Times New Roman" w:cs="Times New Roman"/>
        </w:rPr>
        <w:t>实施聚才引智工程，打造高端人才高地</w:t>
      </w:r>
      <w:bookmarkEnd w:id="74"/>
      <w:bookmarkEnd w:id="75"/>
      <w:bookmarkEnd w:id="76"/>
    </w:p>
    <w:p>
      <w:pPr>
        <w:pStyle w:val="38"/>
        <w:ind w:firstLine="643"/>
        <w:rPr>
          <w:rFonts w:cs="Times New Roman"/>
          <w:shd w:val="clear" w:color="auto" w:fill="FFFFFF"/>
        </w:rPr>
      </w:pPr>
      <w:r>
        <w:rPr>
          <w:rFonts w:cs="Times New Roman"/>
          <w:b/>
        </w:rPr>
        <w:t>拓展高端产业人才引进渠道。</w:t>
      </w:r>
      <w:r>
        <w:rPr>
          <w:rFonts w:cs="Times New Roman"/>
          <w:shd w:val="clear" w:color="auto" w:fill="FFFFFF"/>
        </w:rPr>
        <w:t>建设高校人才实践基地，主动对接优质高校，推动高校实践需求与区域发展需要无缝对接。改造国有企业人才结构，提高人才素质。积极引进海内外高层次人才，建设国际人才全流程服务体系。对境外高端人才给予入出境便利，优化外国人工作许可、居留许可证件审批流程。</w:t>
      </w:r>
    </w:p>
    <w:p>
      <w:pPr>
        <w:pStyle w:val="38"/>
        <w:ind w:firstLine="643"/>
        <w:rPr>
          <w:rFonts w:cs="Times New Roman"/>
          <w:shd w:val="clear" w:color="auto" w:fill="FFFFFF"/>
        </w:rPr>
      </w:pPr>
      <w:r>
        <w:rPr>
          <w:rFonts w:cs="Times New Roman"/>
          <w:b/>
          <w:shd w:val="clear" w:color="auto" w:fill="FFFFFF"/>
        </w:rPr>
        <w:t>优化人才发展环境。</w:t>
      </w:r>
      <w:r>
        <w:rPr>
          <w:rFonts w:cs="Times New Roman"/>
          <w:shd w:val="clear" w:color="auto" w:fill="FFFFFF"/>
        </w:rPr>
        <w:t>依托“集贤计划”，进一步完善创新人才引进和培育机制。全方位培养、引进、用好人才</w:t>
      </w:r>
      <w:r>
        <w:rPr>
          <w:rFonts w:hint="eastAsia" w:cs="Times New Roman"/>
          <w:shd w:val="clear" w:color="auto" w:fill="FFFFFF"/>
        </w:rPr>
        <w:t>。优化人才发展环境，打造创新乐园、创业家园，</w:t>
      </w:r>
      <w:r>
        <w:rPr>
          <w:rFonts w:cs="Times New Roman"/>
          <w:shd w:val="clear" w:color="auto" w:fill="FFFFFF"/>
        </w:rPr>
        <w:t>培育一批具有国际影响力的创新创业领军人才。完善创新创业人才奖励机制，实施更大力度的自主创新人才激励政策。</w:t>
      </w:r>
    </w:p>
    <w:p>
      <w:pPr>
        <w:pStyle w:val="4"/>
        <w:rPr>
          <w:rFonts w:ascii="Times New Roman" w:hAnsi="Times New Roman" w:cs="Times New Roman"/>
        </w:rPr>
      </w:pPr>
      <w:bookmarkStart w:id="77" w:name="_Toc44373966"/>
      <w:bookmarkStart w:id="78" w:name="_Toc55229721"/>
      <w:bookmarkStart w:id="79" w:name="_Toc70068294"/>
      <w:r>
        <w:rPr>
          <w:rFonts w:ascii="Times New Roman" w:hAnsi="Times New Roman" w:cs="Times New Roman"/>
        </w:rPr>
        <w:t>实施空间优化工程，</w:t>
      </w:r>
      <w:bookmarkEnd w:id="77"/>
      <w:bookmarkEnd w:id="78"/>
      <w:r>
        <w:rPr>
          <w:rFonts w:ascii="Times New Roman" w:hAnsi="Times New Roman" w:cs="Times New Roman"/>
        </w:rPr>
        <w:t>做优做细楼宇经济</w:t>
      </w:r>
      <w:bookmarkEnd w:id="79"/>
    </w:p>
    <w:p>
      <w:pPr>
        <w:pStyle w:val="38"/>
        <w:ind w:firstLine="643"/>
        <w:rPr>
          <w:rFonts w:cs="Times New Roman"/>
          <w:highlight w:val="yellow"/>
        </w:rPr>
      </w:pPr>
      <w:r>
        <w:rPr>
          <w:rFonts w:cs="Times New Roman"/>
          <w:b/>
        </w:rPr>
        <w:t>盘活存量资源。</w:t>
      </w:r>
      <w:r>
        <w:rPr>
          <w:rFonts w:cs="Times New Roman"/>
        </w:rPr>
        <w:t>全面梳理东城区可用存量空间，按照城市规划和区域功能定位建立分类处置方案，积极推进处置。加大盘活力度，依托区属国企平台，对区内低效产业用地进行升级和更新改造。</w:t>
      </w:r>
    </w:p>
    <w:p>
      <w:pPr>
        <w:pStyle w:val="15"/>
        <w:spacing w:line="560" w:lineRule="exact"/>
        <w:ind w:firstLine="643"/>
        <w:rPr>
          <w:rFonts w:ascii="Times New Roman" w:hAnsi="Times New Roman"/>
        </w:rPr>
      </w:pPr>
      <w:r>
        <w:rPr>
          <w:rFonts w:ascii="Times New Roman" w:hAnsi="Times New Roman" w:eastAsia="仿宋"/>
          <w:b/>
        </w:rPr>
        <w:t>做优做细楼宇经济。</w:t>
      </w:r>
      <w:r>
        <w:rPr>
          <w:rFonts w:ascii="Times New Roman" w:hAnsi="Times New Roman" w:eastAsia="仿宋"/>
          <w:bCs/>
          <w:szCs w:val="32"/>
          <w:lang w:val="zh-TW"/>
        </w:rPr>
        <w:t>加快发展东二环等楼宇集聚区域，升级一批老旧商务楼宇，提升楼宇品质，依托知名物业管理企业，引导形成产业特征明显的品牌楼宇。开展楼宇经济发展质量监测与评价，健全评价指标体系，构建楼宇数字化“精准画像”。提高楼宇服务精细化水平，健全“楼宇管家”制度，形成“政府+楼宇+入驻企业”联动机制，实现政府服务企业“零距离”。</w:t>
      </w:r>
      <w:r>
        <w:rPr>
          <w:rFonts w:ascii="Times New Roman" w:hAnsi="Times New Roman" w:eastAsia="仿宋"/>
        </w:rPr>
        <w:t>鼓励楼宇运营商引进各类智慧应用，探索智慧运营模式，打造具有个性化的“智慧楼宇”项目。</w:t>
      </w:r>
    </w:p>
    <w:p>
      <w:pPr>
        <w:pStyle w:val="4"/>
        <w:rPr>
          <w:rFonts w:ascii="Times New Roman" w:hAnsi="Times New Roman" w:cs="Times New Roman"/>
        </w:rPr>
      </w:pPr>
      <w:bookmarkStart w:id="80" w:name="_Toc70068295"/>
      <w:r>
        <w:rPr>
          <w:rFonts w:ascii="Times New Roman" w:hAnsi="Times New Roman" w:cs="Times New Roman"/>
        </w:rPr>
        <w:t>实施创新加速工程，形成区域整体创新合力</w:t>
      </w:r>
      <w:bookmarkEnd w:id="80"/>
    </w:p>
    <w:p>
      <w:pPr>
        <w:pStyle w:val="38"/>
        <w:ind w:firstLine="643"/>
        <w:rPr>
          <w:rFonts w:cs="Times New Roman"/>
          <w:bCs/>
          <w:szCs w:val="32"/>
          <w:lang w:val="zh-TW"/>
        </w:rPr>
      </w:pPr>
      <w:r>
        <w:rPr>
          <w:rFonts w:cs="Times New Roman"/>
          <w:b/>
        </w:rPr>
        <w:t>构建完善的创新生态环境。</w:t>
      </w:r>
      <w:r>
        <w:rPr>
          <w:rFonts w:cs="Times New Roman"/>
        </w:rPr>
        <w:t>健全创新服务体系，完善创新支持政策。完善科技创新市场导向机制，发挥科技创新产业发展基金作用，优化科技资源和创新要素配置。积极对接高校科研院所，整合医药健康、电子科技等科研机构研发资源优势，推动创新链向产业链、价值链转移，提高科技支撑发展能力。引入大型孵化机构、技术转移机构、PE及VC机构，</w:t>
      </w:r>
      <w:r>
        <w:rPr>
          <w:rFonts w:cs="Times New Roman"/>
          <w:bCs/>
          <w:szCs w:val="32"/>
          <w:lang w:val="zh-TW"/>
        </w:rPr>
        <w:t>强化知识产权应用和保护，推动科技成果向现实生产力转化。</w:t>
      </w:r>
    </w:p>
    <w:p>
      <w:pPr>
        <w:pStyle w:val="38"/>
        <w:ind w:firstLine="643"/>
        <w:rPr>
          <w:rFonts w:cs="Times New Roman"/>
        </w:rPr>
      </w:pPr>
      <w:r>
        <w:rPr>
          <w:rFonts w:cs="Times New Roman"/>
          <w:b/>
        </w:rPr>
        <w:t>激发高新技术企业创新能力。</w:t>
      </w:r>
      <w:r>
        <w:rPr>
          <w:rFonts w:cs="Times New Roman"/>
        </w:rPr>
        <w:t>强化企业创新主体地位，发挥企业家在技术创新中的重要作用，支持企业牵头组建创新联合体。重点优化高新技术企业创新环境，切实发挥科技资金、税收减免、政府采购等对创新的引导支持作用。建立健全企业创新服务平台，促进高校、科研院所、孵化机构、科技中介与企业的对接合作。支持高新技术企业参与重大工程建设，增强企业创新实力和水平。</w:t>
      </w:r>
    </w:p>
    <w:p>
      <w:pPr>
        <w:pStyle w:val="3"/>
        <w:ind w:firstLine="640"/>
        <w:rPr>
          <w:rFonts w:ascii="Times New Roman" w:hAnsi="Times New Roman" w:cs="Times New Roman"/>
        </w:rPr>
      </w:pPr>
      <w:bookmarkStart w:id="81" w:name="_Toc70068296"/>
      <w:r>
        <w:rPr>
          <w:rFonts w:ascii="Times New Roman" w:hAnsi="Times New Roman" w:cs="Times New Roman"/>
        </w:rPr>
        <w:t>保障措施</w:t>
      </w:r>
      <w:bookmarkEnd w:id="81"/>
    </w:p>
    <w:p>
      <w:pPr>
        <w:pStyle w:val="4"/>
        <w:rPr>
          <w:rFonts w:ascii="Times New Roman" w:hAnsi="Times New Roman" w:cs="Times New Roman"/>
        </w:rPr>
      </w:pPr>
      <w:bookmarkStart w:id="82" w:name="_Toc50384166"/>
      <w:bookmarkStart w:id="83" w:name="_Toc70068297"/>
      <w:r>
        <w:rPr>
          <w:rFonts w:ascii="Times New Roman" w:hAnsi="Times New Roman" w:cs="Times New Roman"/>
        </w:rPr>
        <w:t>加强组织领导</w:t>
      </w:r>
      <w:bookmarkEnd w:id="82"/>
      <w:bookmarkEnd w:id="83"/>
    </w:p>
    <w:p>
      <w:pPr>
        <w:pStyle w:val="38"/>
        <w:ind w:firstLine="640"/>
        <w:rPr>
          <w:rFonts w:cs="Times New Roman"/>
        </w:rPr>
      </w:pPr>
      <w:r>
        <w:rPr>
          <w:rFonts w:cs="Times New Roman"/>
        </w:rPr>
        <w:t>成立产业规划实施领导小组，切实推进产业规划落实，协调解决规划实施过程中面临的问题。加强同上级部门联系，积极争取国家、北京市规划、政策、资金、项目等方面支持，跟踪服务好重大项目实施和企业发展，努力形成产业促进合力。根据规划内容制定行动计划和年度实施计划，按照量化、细化、具体化要求，分解目标任务，明确牵头部门、协助单位和完成时限。</w:t>
      </w:r>
    </w:p>
    <w:p>
      <w:pPr>
        <w:pStyle w:val="4"/>
        <w:rPr>
          <w:rFonts w:ascii="Times New Roman" w:hAnsi="Times New Roman" w:cs="Times New Roman"/>
        </w:rPr>
      </w:pPr>
      <w:bookmarkStart w:id="84" w:name="_Toc50384167"/>
      <w:bookmarkStart w:id="85" w:name="_Toc70068298"/>
      <w:r>
        <w:rPr>
          <w:rFonts w:ascii="Times New Roman" w:hAnsi="Times New Roman" w:cs="Times New Roman"/>
        </w:rPr>
        <w:t>加强规划协同</w:t>
      </w:r>
      <w:bookmarkEnd w:id="84"/>
      <w:bookmarkEnd w:id="85"/>
    </w:p>
    <w:p>
      <w:pPr>
        <w:pStyle w:val="38"/>
        <w:ind w:firstLine="640"/>
        <w:rPr>
          <w:rFonts w:cs="Times New Roman"/>
        </w:rPr>
      </w:pPr>
      <w:r>
        <w:rPr>
          <w:rFonts w:cs="Times New Roman"/>
        </w:rPr>
        <w:t>严格落实《首都功能核心区控制性详细规划（街区层面）（2018年-2025年）》和《北京市东城区国民经济和社会发展第十四个五年规划和二〇三五年远景目标纲要》，健全规划协调实施机制，确保规划体系在总体要求上方向一致，在空间配置上相互协调，在时序安排上科学有序，提高规划的统筹水平和执行效果。围绕本规划目标任务，统筹加强各部门专项规划和政策制定，确保规划目标任务落到实处。</w:t>
      </w:r>
    </w:p>
    <w:p>
      <w:pPr>
        <w:pStyle w:val="4"/>
        <w:rPr>
          <w:rFonts w:ascii="Times New Roman" w:hAnsi="Times New Roman" w:cs="Times New Roman"/>
        </w:rPr>
      </w:pPr>
      <w:bookmarkStart w:id="86" w:name="_Toc68875068"/>
      <w:bookmarkEnd w:id="86"/>
      <w:bookmarkStart w:id="87" w:name="_Toc68875453"/>
      <w:bookmarkEnd w:id="87"/>
      <w:bookmarkStart w:id="88" w:name="_Toc68875036"/>
      <w:bookmarkEnd w:id="88"/>
      <w:bookmarkStart w:id="89" w:name="_Toc68874374"/>
      <w:bookmarkEnd w:id="89"/>
      <w:bookmarkStart w:id="90" w:name="_Toc50384168"/>
      <w:bookmarkStart w:id="91" w:name="_Toc70068299"/>
      <w:r>
        <w:rPr>
          <w:rFonts w:ascii="Times New Roman" w:hAnsi="Times New Roman" w:cs="Times New Roman"/>
        </w:rPr>
        <w:t>加强规划实施评估与监控</w:t>
      </w:r>
      <w:bookmarkEnd w:id="90"/>
      <w:bookmarkEnd w:id="91"/>
    </w:p>
    <w:p>
      <w:pPr>
        <w:pStyle w:val="38"/>
        <w:ind w:firstLine="640"/>
        <w:rPr>
          <w:rFonts w:cs="Times New Roman"/>
        </w:rPr>
      </w:pPr>
      <w:r>
        <w:rPr>
          <w:rFonts w:cs="Times New Roman"/>
        </w:rPr>
        <w:t>引入第三方机构对规划实施情况进行独立评估，听取社会各界对规划实施的意见和建议，完善专家咨询与公众参与长效机制，及时对规划进行修改调整。针对规划实施过程中可能出现影响社会稳定的新情况、新问题，应及时研究确定进一步实施的意见，采取相应措施做好风险控制工作。</w:t>
      </w:r>
    </w:p>
    <w:p>
      <w:pPr>
        <w:pStyle w:val="4"/>
        <w:rPr>
          <w:rFonts w:ascii="Times New Roman" w:hAnsi="Times New Roman" w:cs="Times New Roman"/>
        </w:rPr>
      </w:pPr>
      <w:bookmarkStart w:id="92" w:name="_Toc70068300"/>
      <w:r>
        <w:rPr>
          <w:rFonts w:ascii="Times New Roman" w:hAnsi="Times New Roman" w:cs="Times New Roman"/>
        </w:rPr>
        <w:t>科学谋划重点产业项目</w:t>
      </w:r>
      <w:bookmarkEnd w:id="92"/>
    </w:p>
    <w:p>
      <w:pPr>
        <w:pStyle w:val="38"/>
        <w:ind w:firstLine="640"/>
        <w:rPr>
          <w:rFonts w:cs="Times New Roman"/>
        </w:rPr>
      </w:pPr>
      <w:r>
        <w:rPr>
          <w:rFonts w:cs="Times New Roman"/>
        </w:rPr>
        <w:t>坚持以规划确定项目、以项目落实规划，发挥好重点产业项目对规划落实的支撑作用。完善区级统筹机制，谋划一批关系全局和长远发展的储备项目，优先实施一批支持“两区”建设、促进产业融合、新型消费、楼宇品质提升、智慧商圈等重大项目。</w:t>
      </w:r>
    </w:p>
    <w:sectPr>
      <w:headerReference r:id="rId3" w:type="default"/>
      <w:footerReference r:id="rId4" w:type="default"/>
      <w:type w:val="continuous"/>
      <w:pgSz w:w="11906" w:h="16838"/>
      <w:pgMar w:top="2098" w:right="1474" w:bottom="1985" w:left="1588"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Segoe UI">
    <w:panose1 w:val="020B0502040204020203"/>
    <w:charset w:val="00"/>
    <w:family w:val="swiss"/>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t>24</w:t>
    </w:r>
    <w:r>
      <w:fldChar w:fldCharType="end"/>
    </w:r>
  </w:p>
  <w:p>
    <w:pPr>
      <w:pStyle w:val="18"/>
      <w:ind w:firstLine="6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932C3"/>
    <w:multiLevelType w:val="multilevel"/>
    <w:tmpl w:val="11F932C3"/>
    <w:lvl w:ilvl="0" w:tentative="0">
      <w:start w:val="1"/>
      <w:numFmt w:val="chineseCountingThousand"/>
      <w:pStyle w:val="3"/>
      <w:suff w:val="space"/>
      <w:lvlText w:val="%1、"/>
      <w:lvlJc w:val="left"/>
      <w:pPr>
        <w:ind w:left="0" w:firstLine="646"/>
      </w:pPr>
      <w:rPr>
        <w:rFonts w:hint="eastAsia" w:ascii="黑体" w:eastAsia="黑体"/>
        <w:b w:val="0"/>
        <w:i w:val="0"/>
        <w:color w:val="auto"/>
        <w:sz w:val="32"/>
        <w:u w:val="none"/>
      </w:rPr>
    </w:lvl>
    <w:lvl w:ilvl="1" w:tentative="0">
      <w:start w:val="1"/>
      <w:numFmt w:val="chineseCountingThousand"/>
      <w:pStyle w:val="4"/>
      <w:suff w:val="space"/>
      <w:lvlText w:val="（%2）"/>
      <w:lvlJc w:val="left"/>
      <w:pPr>
        <w:ind w:left="0" w:firstLine="646"/>
      </w:pPr>
      <w:rPr>
        <w:rFonts w:hint="eastAsia" w:ascii="楷体_GB2312" w:eastAsia="楷体_GB2312"/>
        <w:b w:val="0"/>
        <w:i w:val="0"/>
        <w:color w:val="auto"/>
        <w:sz w:val="32"/>
        <w:u w:val="none"/>
      </w:rPr>
    </w:lvl>
    <w:lvl w:ilvl="2" w:tentative="0">
      <w:start w:val="1"/>
      <w:numFmt w:val="decimal"/>
      <w:pStyle w:val="5"/>
      <w:suff w:val="space"/>
      <w:lvlText w:val="%3."/>
      <w:lvlJc w:val="left"/>
      <w:pPr>
        <w:ind w:left="0" w:firstLine="646"/>
      </w:pPr>
      <w:rPr>
        <w:rFonts w:hint="default" w:ascii="Times New Roman" w:hAnsi="Times New Roman" w:eastAsia="仿宋"/>
        <w:b/>
        <w:i w:val="0"/>
        <w:color w:val="auto"/>
        <w:sz w:val="32"/>
        <w:u w:val="none"/>
      </w:rPr>
    </w:lvl>
    <w:lvl w:ilvl="3" w:tentative="0">
      <w:start w:val="1"/>
      <w:numFmt w:val="decimal"/>
      <w:pStyle w:val="6"/>
      <w:suff w:val="space"/>
      <w:lvlText w:val="（%4）"/>
      <w:lvlJc w:val="left"/>
      <w:pPr>
        <w:ind w:left="0" w:firstLine="646"/>
      </w:pPr>
      <w:rPr>
        <w:rFonts w:hint="default" w:ascii="Times New Roman" w:hAnsi="Times New Roman" w:eastAsia="仿宋"/>
        <w:b/>
        <w:i w:val="0"/>
        <w:color w:val="auto"/>
        <w:sz w:val="32"/>
        <w:u w:val="none"/>
        <w:lang w:val="en-US"/>
      </w:rPr>
    </w:lvl>
    <w:lvl w:ilvl="4" w:tentative="0">
      <w:start w:val="1"/>
      <w:numFmt w:val="lowerLetter"/>
      <w:pStyle w:val="7"/>
      <w:suff w:val="space"/>
      <w:lvlText w:val="%5."/>
      <w:lvlJc w:val="left"/>
      <w:pPr>
        <w:ind w:left="0" w:firstLine="646"/>
      </w:pPr>
      <w:rPr>
        <w:rFonts w:hint="eastAsia"/>
      </w:rPr>
    </w:lvl>
    <w:lvl w:ilvl="5" w:tentative="0">
      <w:start w:val="1"/>
      <w:numFmt w:val="lowerRoman"/>
      <w:lvlText w:val="(%6)"/>
      <w:lvlJc w:val="left"/>
      <w:pPr>
        <w:tabs>
          <w:tab w:val="left" w:pos="635"/>
        </w:tabs>
        <w:ind w:left="0" w:firstLine="646"/>
      </w:pPr>
      <w:rPr>
        <w:rFonts w:hint="eastAsia"/>
      </w:rPr>
    </w:lvl>
    <w:lvl w:ilvl="6" w:tentative="0">
      <w:start w:val="1"/>
      <w:numFmt w:val="decimal"/>
      <w:lvlText w:val="%7."/>
      <w:lvlJc w:val="left"/>
      <w:pPr>
        <w:tabs>
          <w:tab w:val="left" w:pos="635"/>
        </w:tabs>
        <w:ind w:left="0" w:firstLine="646"/>
      </w:pPr>
      <w:rPr>
        <w:rFonts w:hint="eastAsia"/>
      </w:rPr>
    </w:lvl>
    <w:lvl w:ilvl="7" w:tentative="0">
      <w:start w:val="1"/>
      <w:numFmt w:val="lowerLetter"/>
      <w:lvlText w:val="%8."/>
      <w:lvlJc w:val="left"/>
      <w:pPr>
        <w:tabs>
          <w:tab w:val="left" w:pos="635"/>
        </w:tabs>
        <w:ind w:left="0" w:firstLine="646"/>
      </w:pPr>
      <w:rPr>
        <w:rFonts w:hint="eastAsia"/>
      </w:rPr>
    </w:lvl>
    <w:lvl w:ilvl="8" w:tentative="0">
      <w:start w:val="1"/>
      <w:numFmt w:val="lowerRoman"/>
      <w:lvlText w:val="%9."/>
      <w:lvlJc w:val="left"/>
      <w:pPr>
        <w:tabs>
          <w:tab w:val="left" w:pos="635"/>
        </w:tabs>
        <w:ind w:left="0" w:firstLine="646"/>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720"/>
  <w:noPunctuationKerning w:val="1"/>
  <w:characterSpacingControl w:val="doNotCompres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0C8"/>
    <w:rsid w:val="00001178"/>
    <w:rsid w:val="0000181C"/>
    <w:rsid w:val="0000215F"/>
    <w:rsid w:val="00002192"/>
    <w:rsid w:val="0000321D"/>
    <w:rsid w:val="00003A9A"/>
    <w:rsid w:val="00004DD4"/>
    <w:rsid w:val="0000562D"/>
    <w:rsid w:val="00005CC8"/>
    <w:rsid w:val="00007896"/>
    <w:rsid w:val="0001005C"/>
    <w:rsid w:val="00010325"/>
    <w:rsid w:val="00010FFA"/>
    <w:rsid w:val="00011185"/>
    <w:rsid w:val="000111CD"/>
    <w:rsid w:val="000119BF"/>
    <w:rsid w:val="00011E79"/>
    <w:rsid w:val="00012585"/>
    <w:rsid w:val="00012A54"/>
    <w:rsid w:val="00012B94"/>
    <w:rsid w:val="00013026"/>
    <w:rsid w:val="000132EF"/>
    <w:rsid w:val="000135B0"/>
    <w:rsid w:val="000138FF"/>
    <w:rsid w:val="000146E0"/>
    <w:rsid w:val="00014E13"/>
    <w:rsid w:val="00015265"/>
    <w:rsid w:val="00015620"/>
    <w:rsid w:val="000156B8"/>
    <w:rsid w:val="00015A0A"/>
    <w:rsid w:val="00015AD7"/>
    <w:rsid w:val="0001697E"/>
    <w:rsid w:val="00017576"/>
    <w:rsid w:val="000204BA"/>
    <w:rsid w:val="00021819"/>
    <w:rsid w:val="00021829"/>
    <w:rsid w:val="00021CED"/>
    <w:rsid w:val="000220D9"/>
    <w:rsid w:val="0002214A"/>
    <w:rsid w:val="00022278"/>
    <w:rsid w:val="00022EF7"/>
    <w:rsid w:val="00022FE5"/>
    <w:rsid w:val="0002360F"/>
    <w:rsid w:val="00023909"/>
    <w:rsid w:val="00023B6A"/>
    <w:rsid w:val="000240BB"/>
    <w:rsid w:val="0002425E"/>
    <w:rsid w:val="00024658"/>
    <w:rsid w:val="00024BF9"/>
    <w:rsid w:val="00024C1C"/>
    <w:rsid w:val="000253AC"/>
    <w:rsid w:val="00025762"/>
    <w:rsid w:val="0002580A"/>
    <w:rsid w:val="00025D8C"/>
    <w:rsid w:val="00025DF9"/>
    <w:rsid w:val="00025FA4"/>
    <w:rsid w:val="00026052"/>
    <w:rsid w:val="000261B8"/>
    <w:rsid w:val="000269EF"/>
    <w:rsid w:val="00026AD7"/>
    <w:rsid w:val="00027983"/>
    <w:rsid w:val="00027B77"/>
    <w:rsid w:val="0003014E"/>
    <w:rsid w:val="000304FE"/>
    <w:rsid w:val="00030D41"/>
    <w:rsid w:val="00030DBD"/>
    <w:rsid w:val="00030F02"/>
    <w:rsid w:val="000310E1"/>
    <w:rsid w:val="000319D7"/>
    <w:rsid w:val="00032041"/>
    <w:rsid w:val="0003260E"/>
    <w:rsid w:val="00032999"/>
    <w:rsid w:val="00032FB5"/>
    <w:rsid w:val="0003328C"/>
    <w:rsid w:val="0003329E"/>
    <w:rsid w:val="00033499"/>
    <w:rsid w:val="00033BD7"/>
    <w:rsid w:val="00033CAD"/>
    <w:rsid w:val="00033CB1"/>
    <w:rsid w:val="00034204"/>
    <w:rsid w:val="00034B61"/>
    <w:rsid w:val="00034E11"/>
    <w:rsid w:val="00034E54"/>
    <w:rsid w:val="00034F18"/>
    <w:rsid w:val="0003529F"/>
    <w:rsid w:val="000354A8"/>
    <w:rsid w:val="00035A66"/>
    <w:rsid w:val="00035BC7"/>
    <w:rsid w:val="00035BF9"/>
    <w:rsid w:val="000364C1"/>
    <w:rsid w:val="00036B71"/>
    <w:rsid w:val="00036DB2"/>
    <w:rsid w:val="00037A83"/>
    <w:rsid w:val="00037FCF"/>
    <w:rsid w:val="00040197"/>
    <w:rsid w:val="000404AA"/>
    <w:rsid w:val="0004113F"/>
    <w:rsid w:val="000415B5"/>
    <w:rsid w:val="00041825"/>
    <w:rsid w:val="00041A0B"/>
    <w:rsid w:val="00041C24"/>
    <w:rsid w:val="00041E83"/>
    <w:rsid w:val="00041FFA"/>
    <w:rsid w:val="000420FA"/>
    <w:rsid w:val="00042617"/>
    <w:rsid w:val="00042B20"/>
    <w:rsid w:val="00042D3A"/>
    <w:rsid w:val="000431A7"/>
    <w:rsid w:val="00043762"/>
    <w:rsid w:val="0004385E"/>
    <w:rsid w:val="00043B70"/>
    <w:rsid w:val="00044779"/>
    <w:rsid w:val="0004623C"/>
    <w:rsid w:val="00046344"/>
    <w:rsid w:val="00046558"/>
    <w:rsid w:val="000467AC"/>
    <w:rsid w:val="00046A6A"/>
    <w:rsid w:val="00046F75"/>
    <w:rsid w:val="00050958"/>
    <w:rsid w:val="00050EA8"/>
    <w:rsid w:val="000517BF"/>
    <w:rsid w:val="000517FB"/>
    <w:rsid w:val="00051873"/>
    <w:rsid w:val="00051AC1"/>
    <w:rsid w:val="00052486"/>
    <w:rsid w:val="00052B3C"/>
    <w:rsid w:val="000530D5"/>
    <w:rsid w:val="0005343D"/>
    <w:rsid w:val="00053E0B"/>
    <w:rsid w:val="00054796"/>
    <w:rsid w:val="00054831"/>
    <w:rsid w:val="0005494F"/>
    <w:rsid w:val="00054E88"/>
    <w:rsid w:val="00055C1E"/>
    <w:rsid w:val="00055CD6"/>
    <w:rsid w:val="00056023"/>
    <w:rsid w:val="00056556"/>
    <w:rsid w:val="00056705"/>
    <w:rsid w:val="00056FB9"/>
    <w:rsid w:val="000570A9"/>
    <w:rsid w:val="0006014E"/>
    <w:rsid w:val="00060A10"/>
    <w:rsid w:val="00060A2D"/>
    <w:rsid w:val="00060C46"/>
    <w:rsid w:val="00060F49"/>
    <w:rsid w:val="00061832"/>
    <w:rsid w:val="0006205E"/>
    <w:rsid w:val="000622B7"/>
    <w:rsid w:val="00062366"/>
    <w:rsid w:val="000628E1"/>
    <w:rsid w:val="00062E2E"/>
    <w:rsid w:val="00063060"/>
    <w:rsid w:val="0006316F"/>
    <w:rsid w:val="000633EA"/>
    <w:rsid w:val="00063746"/>
    <w:rsid w:val="00063F8A"/>
    <w:rsid w:val="00064B65"/>
    <w:rsid w:val="00064D87"/>
    <w:rsid w:val="00065793"/>
    <w:rsid w:val="00065C0D"/>
    <w:rsid w:val="00066588"/>
    <w:rsid w:val="00066C6A"/>
    <w:rsid w:val="00066F11"/>
    <w:rsid w:val="00067FAA"/>
    <w:rsid w:val="00070118"/>
    <w:rsid w:val="00070310"/>
    <w:rsid w:val="00070B6C"/>
    <w:rsid w:val="000713FE"/>
    <w:rsid w:val="000714C7"/>
    <w:rsid w:val="00071629"/>
    <w:rsid w:val="00071A8E"/>
    <w:rsid w:val="00072F9C"/>
    <w:rsid w:val="00073D33"/>
    <w:rsid w:val="0007448C"/>
    <w:rsid w:val="00075084"/>
    <w:rsid w:val="000759B8"/>
    <w:rsid w:val="00075E3F"/>
    <w:rsid w:val="00076EB6"/>
    <w:rsid w:val="00077016"/>
    <w:rsid w:val="00077717"/>
    <w:rsid w:val="0007797D"/>
    <w:rsid w:val="00077B96"/>
    <w:rsid w:val="00077BBF"/>
    <w:rsid w:val="00077E1B"/>
    <w:rsid w:val="000800B9"/>
    <w:rsid w:val="00080129"/>
    <w:rsid w:val="00080568"/>
    <w:rsid w:val="00080636"/>
    <w:rsid w:val="000810F3"/>
    <w:rsid w:val="00081432"/>
    <w:rsid w:val="000816BE"/>
    <w:rsid w:val="000816C3"/>
    <w:rsid w:val="00081B55"/>
    <w:rsid w:val="00081C7A"/>
    <w:rsid w:val="000833E3"/>
    <w:rsid w:val="00083868"/>
    <w:rsid w:val="000838F1"/>
    <w:rsid w:val="00083E54"/>
    <w:rsid w:val="000845E1"/>
    <w:rsid w:val="00085488"/>
    <w:rsid w:val="0008597A"/>
    <w:rsid w:val="00085FC7"/>
    <w:rsid w:val="00086D7F"/>
    <w:rsid w:val="00087238"/>
    <w:rsid w:val="0008759D"/>
    <w:rsid w:val="00090063"/>
    <w:rsid w:val="000903AC"/>
    <w:rsid w:val="00090B40"/>
    <w:rsid w:val="00090F01"/>
    <w:rsid w:val="00090F64"/>
    <w:rsid w:val="0009131C"/>
    <w:rsid w:val="0009194B"/>
    <w:rsid w:val="00091FEB"/>
    <w:rsid w:val="000924C0"/>
    <w:rsid w:val="00092C61"/>
    <w:rsid w:val="000930B4"/>
    <w:rsid w:val="00093584"/>
    <w:rsid w:val="00093B68"/>
    <w:rsid w:val="00093E5A"/>
    <w:rsid w:val="0009407F"/>
    <w:rsid w:val="000946AE"/>
    <w:rsid w:val="000949F6"/>
    <w:rsid w:val="00095A8F"/>
    <w:rsid w:val="00095EBA"/>
    <w:rsid w:val="00095FAF"/>
    <w:rsid w:val="00096331"/>
    <w:rsid w:val="00097773"/>
    <w:rsid w:val="00097A24"/>
    <w:rsid w:val="000A03D1"/>
    <w:rsid w:val="000A078D"/>
    <w:rsid w:val="000A1DC7"/>
    <w:rsid w:val="000A1E46"/>
    <w:rsid w:val="000A1EC7"/>
    <w:rsid w:val="000A41FF"/>
    <w:rsid w:val="000A4BD2"/>
    <w:rsid w:val="000A4D06"/>
    <w:rsid w:val="000A4E8F"/>
    <w:rsid w:val="000A5191"/>
    <w:rsid w:val="000A5509"/>
    <w:rsid w:val="000A5A5B"/>
    <w:rsid w:val="000A5AF2"/>
    <w:rsid w:val="000A5F1E"/>
    <w:rsid w:val="000A63AE"/>
    <w:rsid w:val="000A681E"/>
    <w:rsid w:val="000A6894"/>
    <w:rsid w:val="000A701D"/>
    <w:rsid w:val="000A7CFB"/>
    <w:rsid w:val="000A7E47"/>
    <w:rsid w:val="000B0CC9"/>
    <w:rsid w:val="000B0E00"/>
    <w:rsid w:val="000B15E4"/>
    <w:rsid w:val="000B1DC1"/>
    <w:rsid w:val="000B1FE5"/>
    <w:rsid w:val="000B2725"/>
    <w:rsid w:val="000B2AE1"/>
    <w:rsid w:val="000B2BB0"/>
    <w:rsid w:val="000B2E64"/>
    <w:rsid w:val="000B3381"/>
    <w:rsid w:val="000B35B9"/>
    <w:rsid w:val="000B3D3E"/>
    <w:rsid w:val="000B3D52"/>
    <w:rsid w:val="000B47B9"/>
    <w:rsid w:val="000B47CB"/>
    <w:rsid w:val="000B4F17"/>
    <w:rsid w:val="000B5726"/>
    <w:rsid w:val="000B64DE"/>
    <w:rsid w:val="000B6E4C"/>
    <w:rsid w:val="000C0491"/>
    <w:rsid w:val="000C0A09"/>
    <w:rsid w:val="000C0FAF"/>
    <w:rsid w:val="000C11C5"/>
    <w:rsid w:val="000C17AE"/>
    <w:rsid w:val="000C22BF"/>
    <w:rsid w:val="000C2AB3"/>
    <w:rsid w:val="000C2D99"/>
    <w:rsid w:val="000C2E72"/>
    <w:rsid w:val="000C2F17"/>
    <w:rsid w:val="000C2FED"/>
    <w:rsid w:val="000C3285"/>
    <w:rsid w:val="000C49C3"/>
    <w:rsid w:val="000C50A9"/>
    <w:rsid w:val="000C52A1"/>
    <w:rsid w:val="000C5C03"/>
    <w:rsid w:val="000C5CFD"/>
    <w:rsid w:val="000C5D3C"/>
    <w:rsid w:val="000C5E92"/>
    <w:rsid w:val="000C6030"/>
    <w:rsid w:val="000C628D"/>
    <w:rsid w:val="000C660E"/>
    <w:rsid w:val="000C6E29"/>
    <w:rsid w:val="000C7492"/>
    <w:rsid w:val="000D097D"/>
    <w:rsid w:val="000D1514"/>
    <w:rsid w:val="000D170A"/>
    <w:rsid w:val="000D171B"/>
    <w:rsid w:val="000D1758"/>
    <w:rsid w:val="000D1925"/>
    <w:rsid w:val="000D1BD5"/>
    <w:rsid w:val="000D1EDF"/>
    <w:rsid w:val="000D23FC"/>
    <w:rsid w:val="000D2B05"/>
    <w:rsid w:val="000D2C0B"/>
    <w:rsid w:val="000D5542"/>
    <w:rsid w:val="000D5E0E"/>
    <w:rsid w:val="000D5E92"/>
    <w:rsid w:val="000D6475"/>
    <w:rsid w:val="000D6846"/>
    <w:rsid w:val="000D7E04"/>
    <w:rsid w:val="000D7FA3"/>
    <w:rsid w:val="000E007F"/>
    <w:rsid w:val="000E04A2"/>
    <w:rsid w:val="000E04FA"/>
    <w:rsid w:val="000E14E3"/>
    <w:rsid w:val="000E1871"/>
    <w:rsid w:val="000E1892"/>
    <w:rsid w:val="000E209B"/>
    <w:rsid w:val="000E2719"/>
    <w:rsid w:val="000E2925"/>
    <w:rsid w:val="000E296D"/>
    <w:rsid w:val="000E2C35"/>
    <w:rsid w:val="000E3990"/>
    <w:rsid w:val="000E3E68"/>
    <w:rsid w:val="000E4B26"/>
    <w:rsid w:val="000E50B0"/>
    <w:rsid w:val="000E5125"/>
    <w:rsid w:val="000E52E6"/>
    <w:rsid w:val="000E5C50"/>
    <w:rsid w:val="000E6208"/>
    <w:rsid w:val="000E620D"/>
    <w:rsid w:val="000E6640"/>
    <w:rsid w:val="000E694A"/>
    <w:rsid w:val="000E6F3E"/>
    <w:rsid w:val="000E70F2"/>
    <w:rsid w:val="000E7466"/>
    <w:rsid w:val="000E76E9"/>
    <w:rsid w:val="000E76EC"/>
    <w:rsid w:val="000E76FA"/>
    <w:rsid w:val="000E7D45"/>
    <w:rsid w:val="000F0BDB"/>
    <w:rsid w:val="000F0EB0"/>
    <w:rsid w:val="000F15F3"/>
    <w:rsid w:val="000F1DEB"/>
    <w:rsid w:val="000F1F48"/>
    <w:rsid w:val="000F248D"/>
    <w:rsid w:val="000F2E50"/>
    <w:rsid w:val="000F3108"/>
    <w:rsid w:val="000F327A"/>
    <w:rsid w:val="000F3AFE"/>
    <w:rsid w:val="000F4EC5"/>
    <w:rsid w:val="000F5014"/>
    <w:rsid w:val="000F573B"/>
    <w:rsid w:val="000F587D"/>
    <w:rsid w:val="000F5B8F"/>
    <w:rsid w:val="000F5FAE"/>
    <w:rsid w:val="000F66D5"/>
    <w:rsid w:val="000F6CDA"/>
    <w:rsid w:val="000F7915"/>
    <w:rsid w:val="000F7B12"/>
    <w:rsid w:val="000F7B28"/>
    <w:rsid w:val="00100674"/>
    <w:rsid w:val="0010111A"/>
    <w:rsid w:val="0010130F"/>
    <w:rsid w:val="00101DAF"/>
    <w:rsid w:val="0010239A"/>
    <w:rsid w:val="00102776"/>
    <w:rsid w:val="00102FE3"/>
    <w:rsid w:val="00103BD1"/>
    <w:rsid w:val="001052B7"/>
    <w:rsid w:val="0010560A"/>
    <w:rsid w:val="0010566A"/>
    <w:rsid w:val="00105DBE"/>
    <w:rsid w:val="00106E65"/>
    <w:rsid w:val="00106EA8"/>
    <w:rsid w:val="00107351"/>
    <w:rsid w:val="001078E5"/>
    <w:rsid w:val="0010797F"/>
    <w:rsid w:val="00110428"/>
    <w:rsid w:val="001113FC"/>
    <w:rsid w:val="001116F7"/>
    <w:rsid w:val="001122A7"/>
    <w:rsid w:val="00112646"/>
    <w:rsid w:val="001127F5"/>
    <w:rsid w:val="0011281C"/>
    <w:rsid w:val="001136F1"/>
    <w:rsid w:val="00113738"/>
    <w:rsid w:val="0011460F"/>
    <w:rsid w:val="001146E6"/>
    <w:rsid w:val="00114B73"/>
    <w:rsid w:val="00114F80"/>
    <w:rsid w:val="0011588A"/>
    <w:rsid w:val="00115FB9"/>
    <w:rsid w:val="00116697"/>
    <w:rsid w:val="001168E4"/>
    <w:rsid w:val="0011767C"/>
    <w:rsid w:val="001200C3"/>
    <w:rsid w:val="00120E5B"/>
    <w:rsid w:val="0012231E"/>
    <w:rsid w:val="0012326C"/>
    <w:rsid w:val="0012335F"/>
    <w:rsid w:val="00123D21"/>
    <w:rsid w:val="0012410E"/>
    <w:rsid w:val="00124B56"/>
    <w:rsid w:val="00124BD3"/>
    <w:rsid w:val="00124CAD"/>
    <w:rsid w:val="00125BD4"/>
    <w:rsid w:val="00126115"/>
    <w:rsid w:val="001277FE"/>
    <w:rsid w:val="001279DE"/>
    <w:rsid w:val="00127C13"/>
    <w:rsid w:val="0013037E"/>
    <w:rsid w:val="00130470"/>
    <w:rsid w:val="00130CF8"/>
    <w:rsid w:val="00130D4E"/>
    <w:rsid w:val="00132519"/>
    <w:rsid w:val="00132E5E"/>
    <w:rsid w:val="0013394A"/>
    <w:rsid w:val="00134136"/>
    <w:rsid w:val="0013507E"/>
    <w:rsid w:val="00135838"/>
    <w:rsid w:val="001363C5"/>
    <w:rsid w:val="00136467"/>
    <w:rsid w:val="00136665"/>
    <w:rsid w:val="0013676E"/>
    <w:rsid w:val="00136E6B"/>
    <w:rsid w:val="001373FE"/>
    <w:rsid w:val="0013789A"/>
    <w:rsid w:val="00137FE7"/>
    <w:rsid w:val="00140429"/>
    <w:rsid w:val="001410C9"/>
    <w:rsid w:val="001413EB"/>
    <w:rsid w:val="00141671"/>
    <w:rsid w:val="00141B34"/>
    <w:rsid w:val="00141F5E"/>
    <w:rsid w:val="00142453"/>
    <w:rsid w:val="001426EE"/>
    <w:rsid w:val="0014291A"/>
    <w:rsid w:val="00142A93"/>
    <w:rsid w:val="00143004"/>
    <w:rsid w:val="00143050"/>
    <w:rsid w:val="0014379C"/>
    <w:rsid w:val="00143C39"/>
    <w:rsid w:val="00143E5C"/>
    <w:rsid w:val="00144033"/>
    <w:rsid w:val="001440CA"/>
    <w:rsid w:val="00144190"/>
    <w:rsid w:val="001442DC"/>
    <w:rsid w:val="00144828"/>
    <w:rsid w:val="00144A02"/>
    <w:rsid w:val="001455A9"/>
    <w:rsid w:val="001459A9"/>
    <w:rsid w:val="001467C8"/>
    <w:rsid w:val="00146F05"/>
    <w:rsid w:val="0014718F"/>
    <w:rsid w:val="00147201"/>
    <w:rsid w:val="0014781E"/>
    <w:rsid w:val="00147A82"/>
    <w:rsid w:val="00147AA9"/>
    <w:rsid w:val="00147C60"/>
    <w:rsid w:val="00147E20"/>
    <w:rsid w:val="0015029F"/>
    <w:rsid w:val="00150D46"/>
    <w:rsid w:val="00150DAD"/>
    <w:rsid w:val="0015212F"/>
    <w:rsid w:val="00152CFA"/>
    <w:rsid w:val="001533B8"/>
    <w:rsid w:val="001533C2"/>
    <w:rsid w:val="00154265"/>
    <w:rsid w:val="001542AB"/>
    <w:rsid w:val="00154310"/>
    <w:rsid w:val="00154662"/>
    <w:rsid w:val="00154CCF"/>
    <w:rsid w:val="00154FD3"/>
    <w:rsid w:val="0015500C"/>
    <w:rsid w:val="0015556A"/>
    <w:rsid w:val="001562E1"/>
    <w:rsid w:val="0015633B"/>
    <w:rsid w:val="0015639C"/>
    <w:rsid w:val="001565EC"/>
    <w:rsid w:val="00157398"/>
    <w:rsid w:val="001574E1"/>
    <w:rsid w:val="00157505"/>
    <w:rsid w:val="00157838"/>
    <w:rsid w:val="00157B5D"/>
    <w:rsid w:val="00157C79"/>
    <w:rsid w:val="00157EF5"/>
    <w:rsid w:val="001605F0"/>
    <w:rsid w:val="00160BED"/>
    <w:rsid w:val="001616D2"/>
    <w:rsid w:val="001631B3"/>
    <w:rsid w:val="00163CFD"/>
    <w:rsid w:val="00163EBC"/>
    <w:rsid w:val="0016444A"/>
    <w:rsid w:val="0016481E"/>
    <w:rsid w:val="00164BA1"/>
    <w:rsid w:val="00164D25"/>
    <w:rsid w:val="001652F8"/>
    <w:rsid w:val="0016632D"/>
    <w:rsid w:val="00166550"/>
    <w:rsid w:val="00166753"/>
    <w:rsid w:val="00166A06"/>
    <w:rsid w:val="00167862"/>
    <w:rsid w:val="001701DC"/>
    <w:rsid w:val="00170608"/>
    <w:rsid w:val="00170637"/>
    <w:rsid w:val="00171580"/>
    <w:rsid w:val="00171B17"/>
    <w:rsid w:val="00171BBD"/>
    <w:rsid w:val="00172475"/>
    <w:rsid w:val="00172AC4"/>
    <w:rsid w:val="0017446E"/>
    <w:rsid w:val="00174717"/>
    <w:rsid w:val="00174AC6"/>
    <w:rsid w:val="00174CE6"/>
    <w:rsid w:val="001752DA"/>
    <w:rsid w:val="00175463"/>
    <w:rsid w:val="00175D1E"/>
    <w:rsid w:val="00176993"/>
    <w:rsid w:val="0017794A"/>
    <w:rsid w:val="001779AB"/>
    <w:rsid w:val="00180B12"/>
    <w:rsid w:val="00180BBE"/>
    <w:rsid w:val="00181065"/>
    <w:rsid w:val="001811AC"/>
    <w:rsid w:val="00181AC3"/>
    <w:rsid w:val="00181ADD"/>
    <w:rsid w:val="00181B08"/>
    <w:rsid w:val="0018324E"/>
    <w:rsid w:val="00183386"/>
    <w:rsid w:val="00183D5D"/>
    <w:rsid w:val="00184361"/>
    <w:rsid w:val="001843EB"/>
    <w:rsid w:val="00184B0A"/>
    <w:rsid w:val="00184B7C"/>
    <w:rsid w:val="00184EAA"/>
    <w:rsid w:val="00184ECF"/>
    <w:rsid w:val="00184F38"/>
    <w:rsid w:val="00185D6B"/>
    <w:rsid w:val="0018653B"/>
    <w:rsid w:val="00186944"/>
    <w:rsid w:val="00186C67"/>
    <w:rsid w:val="001871A9"/>
    <w:rsid w:val="0018780C"/>
    <w:rsid w:val="0018784E"/>
    <w:rsid w:val="00187B57"/>
    <w:rsid w:val="00187BC5"/>
    <w:rsid w:val="0019051A"/>
    <w:rsid w:val="00190764"/>
    <w:rsid w:val="00190A21"/>
    <w:rsid w:val="00191378"/>
    <w:rsid w:val="001914B4"/>
    <w:rsid w:val="00191B17"/>
    <w:rsid w:val="00192771"/>
    <w:rsid w:val="0019278B"/>
    <w:rsid w:val="00192FC6"/>
    <w:rsid w:val="00193441"/>
    <w:rsid w:val="00193507"/>
    <w:rsid w:val="001936EE"/>
    <w:rsid w:val="00194796"/>
    <w:rsid w:val="00194926"/>
    <w:rsid w:val="00194D4D"/>
    <w:rsid w:val="0019520D"/>
    <w:rsid w:val="001954E2"/>
    <w:rsid w:val="0019596D"/>
    <w:rsid w:val="00195B8C"/>
    <w:rsid w:val="00195F94"/>
    <w:rsid w:val="001976F1"/>
    <w:rsid w:val="001979CD"/>
    <w:rsid w:val="00197C94"/>
    <w:rsid w:val="001A01AD"/>
    <w:rsid w:val="001A01FD"/>
    <w:rsid w:val="001A05E6"/>
    <w:rsid w:val="001A0AED"/>
    <w:rsid w:val="001A0CEE"/>
    <w:rsid w:val="001A0EC4"/>
    <w:rsid w:val="001A17DF"/>
    <w:rsid w:val="001A1D6F"/>
    <w:rsid w:val="001A1F5D"/>
    <w:rsid w:val="001A2604"/>
    <w:rsid w:val="001A26AA"/>
    <w:rsid w:val="001A3B05"/>
    <w:rsid w:val="001A3E3E"/>
    <w:rsid w:val="001A4402"/>
    <w:rsid w:val="001A4B2F"/>
    <w:rsid w:val="001A5432"/>
    <w:rsid w:val="001A548B"/>
    <w:rsid w:val="001A58A4"/>
    <w:rsid w:val="001A6263"/>
    <w:rsid w:val="001A650A"/>
    <w:rsid w:val="001A669C"/>
    <w:rsid w:val="001A6975"/>
    <w:rsid w:val="001A780D"/>
    <w:rsid w:val="001B0352"/>
    <w:rsid w:val="001B0505"/>
    <w:rsid w:val="001B0519"/>
    <w:rsid w:val="001B0AC7"/>
    <w:rsid w:val="001B0FAB"/>
    <w:rsid w:val="001B1B62"/>
    <w:rsid w:val="001B1BDC"/>
    <w:rsid w:val="001B2850"/>
    <w:rsid w:val="001B2D7C"/>
    <w:rsid w:val="001B3628"/>
    <w:rsid w:val="001B40BD"/>
    <w:rsid w:val="001B5E8D"/>
    <w:rsid w:val="001B6417"/>
    <w:rsid w:val="001B6939"/>
    <w:rsid w:val="001B6DBC"/>
    <w:rsid w:val="001B70A1"/>
    <w:rsid w:val="001B717B"/>
    <w:rsid w:val="001B7301"/>
    <w:rsid w:val="001B7F14"/>
    <w:rsid w:val="001C01AE"/>
    <w:rsid w:val="001C0E49"/>
    <w:rsid w:val="001C0E6B"/>
    <w:rsid w:val="001C1022"/>
    <w:rsid w:val="001C1D57"/>
    <w:rsid w:val="001C1D85"/>
    <w:rsid w:val="001C210B"/>
    <w:rsid w:val="001C247A"/>
    <w:rsid w:val="001C2B74"/>
    <w:rsid w:val="001C4F18"/>
    <w:rsid w:val="001C5575"/>
    <w:rsid w:val="001C5AC7"/>
    <w:rsid w:val="001C611C"/>
    <w:rsid w:val="001C67C0"/>
    <w:rsid w:val="001C699E"/>
    <w:rsid w:val="001C6A62"/>
    <w:rsid w:val="001C6D1A"/>
    <w:rsid w:val="001C70DD"/>
    <w:rsid w:val="001C71D8"/>
    <w:rsid w:val="001C72D9"/>
    <w:rsid w:val="001C7968"/>
    <w:rsid w:val="001D0283"/>
    <w:rsid w:val="001D039C"/>
    <w:rsid w:val="001D03F9"/>
    <w:rsid w:val="001D0444"/>
    <w:rsid w:val="001D0CAA"/>
    <w:rsid w:val="001D0D76"/>
    <w:rsid w:val="001D116D"/>
    <w:rsid w:val="001D135C"/>
    <w:rsid w:val="001D1384"/>
    <w:rsid w:val="001D1386"/>
    <w:rsid w:val="001D2B05"/>
    <w:rsid w:val="001D2CBF"/>
    <w:rsid w:val="001D2F2A"/>
    <w:rsid w:val="001D32A5"/>
    <w:rsid w:val="001D34FE"/>
    <w:rsid w:val="001D3515"/>
    <w:rsid w:val="001D3E55"/>
    <w:rsid w:val="001D459F"/>
    <w:rsid w:val="001D5275"/>
    <w:rsid w:val="001D57FD"/>
    <w:rsid w:val="001D61AF"/>
    <w:rsid w:val="001D6518"/>
    <w:rsid w:val="001D736A"/>
    <w:rsid w:val="001D76C6"/>
    <w:rsid w:val="001D7E3C"/>
    <w:rsid w:val="001D7F42"/>
    <w:rsid w:val="001E00C4"/>
    <w:rsid w:val="001E0542"/>
    <w:rsid w:val="001E0622"/>
    <w:rsid w:val="001E0A5B"/>
    <w:rsid w:val="001E0BFD"/>
    <w:rsid w:val="001E0F18"/>
    <w:rsid w:val="001E13DF"/>
    <w:rsid w:val="001E1403"/>
    <w:rsid w:val="001E166F"/>
    <w:rsid w:val="001E1D69"/>
    <w:rsid w:val="001E2FF6"/>
    <w:rsid w:val="001E3369"/>
    <w:rsid w:val="001E33B1"/>
    <w:rsid w:val="001E3891"/>
    <w:rsid w:val="001E38CE"/>
    <w:rsid w:val="001E3BE5"/>
    <w:rsid w:val="001E3FC0"/>
    <w:rsid w:val="001E4178"/>
    <w:rsid w:val="001E4367"/>
    <w:rsid w:val="001E4863"/>
    <w:rsid w:val="001E4BA2"/>
    <w:rsid w:val="001E4C1C"/>
    <w:rsid w:val="001E581A"/>
    <w:rsid w:val="001E5E06"/>
    <w:rsid w:val="001E5E29"/>
    <w:rsid w:val="001E6E71"/>
    <w:rsid w:val="001E7354"/>
    <w:rsid w:val="001E7C15"/>
    <w:rsid w:val="001F0D0D"/>
    <w:rsid w:val="001F10B4"/>
    <w:rsid w:val="001F156B"/>
    <w:rsid w:val="001F1BC4"/>
    <w:rsid w:val="001F20F9"/>
    <w:rsid w:val="001F2141"/>
    <w:rsid w:val="001F240C"/>
    <w:rsid w:val="001F2D21"/>
    <w:rsid w:val="001F317B"/>
    <w:rsid w:val="001F31BF"/>
    <w:rsid w:val="001F3364"/>
    <w:rsid w:val="001F43F5"/>
    <w:rsid w:val="001F4F40"/>
    <w:rsid w:val="001F5165"/>
    <w:rsid w:val="001F5745"/>
    <w:rsid w:val="001F5A9C"/>
    <w:rsid w:val="001F5FE2"/>
    <w:rsid w:val="001F640B"/>
    <w:rsid w:val="001F685B"/>
    <w:rsid w:val="001F6A68"/>
    <w:rsid w:val="001F7BF4"/>
    <w:rsid w:val="002017B4"/>
    <w:rsid w:val="00201E9D"/>
    <w:rsid w:val="00202671"/>
    <w:rsid w:val="002026CB"/>
    <w:rsid w:val="00202A5F"/>
    <w:rsid w:val="0020309E"/>
    <w:rsid w:val="00203581"/>
    <w:rsid w:val="0020368C"/>
    <w:rsid w:val="002038A4"/>
    <w:rsid w:val="00203D53"/>
    <w:rsid w:val="00203FC9"/>
    <w:rsid w:val="0020442E"/>
    <w:rsid w:val="0020462A"/>
    <w:rsid w:val="002047DC"/>
    <w:rsid w:val="0020489E"/>
    <w:rsid w:val="00204BA1"/>
    <w:rsid w:val="002058EA"/>
    <w:rsid w:val="002058F2"/>
    <w:rsid w:val="002059BB"/>
    <w:rsid w:val="00206310"/>
    <w:rsid w:val="0020686A"/>
    <w:rsid w:val="00207581"/>
    <w:rsid w:val="0020762B"/>
    <w:rsid w:val="002077D7"/>
    <w:rsid w:val="00207D8F"/>
    <w:rsid w:val="00210038"/>
    <w:rsid w:val="00210B83"/>
    <w:rsid w:val="00210C83"/>
    <w:rsid w:val="00210F9E"/>
    <w:rsid w:val="0021151B"/>
    <w:rsid w:val="00211A0C"/>
    <w:rsid w:val="00212786"/>
    <w:rsid w:val="00212EA3"/>
    <w:rsid w:val="0021375C"/>
    <w:rsid w:val="00213966"/>
    <w:rsid w:val="00215258"/>
    <w:rsid w:val="00215D18"/>
    <w:rsid w:val="002160EB"/>
    <w:rsid w:val="00216230"/>
    <w:rsid w:val="002162A5"/>
    <w:rsid w:val="00220795"/>
    <w:rsid w:val="00220E47"/>
    <w:rsid w:val="002214D4"/>
    <w:rsid w:val="00221AF9"/>
    <w:rsid w:val="00221D7E"/>
    <w:rsid w:val="002223B7"/>
    <w:rsid w:val="00222C74"/>
    <w:rsid w:val="00222E2E"/>
    <w:rsid w:val="00223120"/>
    <w:rsid w:val="00223882"/>
    <w:rsid w:val="0022395F"/>
    <w:rsid w:val="002239A7"/>
    <w:rsid w:val="00224097"/>
    <w:rsid w:val="00224F71"/>
    <w:rsid w:val="002256E9"/>
    <w:rsid w:val="0022695C"/>
    <w:rsid w:val="00226B9B"/>
    <w:rsid w:val="00227577"/>
    <w:rsid w:val="002275F9"/>
    <w:rsid w:val="0023044E"/>
    <w:rsid w:val="00230A60"/>
    <w:rsid w:val="002312A8"/>
    <w:rsid w:val="00232084"/>
    <w:rsid w:val="00232909"/>
    <w:rsid w:val="00232F97"/>
    <w:rsid w:val="00232FFF"/>
    <w:rsid w:val="002330ED"/>
    <w:rsid w:val="002335E5"/>
    <w:rsid w:val="002336B4"/>
    <w:rsid w:val="00233A56"/>
    <w:rsid w:val="00233DF2"/>
    <w:rsid w:val="002343DF"/>
    <w:rsid w:val="00234847"/>
    <w:rsid w:val="00235103"/>
    <w:rsid w:val="00235477"/>
    <w:rsid w:val="00235ACA"/>
    <w:rsid w:val="00236DAA"/>
    <w:rsid w:val="00237E97"/>
    <w:rsid w:val="002400C0"/>
    <w:rsid w:val="00240BD4"/>
    <w:rsid w:val="00240CFB"/>
    <w:rsid w:val="0024192D"/>
    <w:rsid w:val="00241D0A"/>
    <w:rsid w:val="002428AF"/>
    <w:rsid w:val="00242A2C"/>
    <w:rsid w:val="00242AE7"/>
    <w:rsid w:val="00242CC8"/>
    <w:rsid w:val="00242F0C"/>
    <w:rsid w:val="002431B7"/>
    <w:rsid w:val="00244294"/>
    <w:rsid w:val="00245830"/>
    <w:rsid w:val="00245CF9"/>
    <w:rsid w:val="0024647F"/>
    <w:rsid w:val="0024776E"/>
    <w:rsid w:val="00250193"/>
    <w:rsid w:val="00251460"/>
    <w:rsid w:val="00251594"/>
    <w:rsid w:val="002526C3"/>
    <w:rsid w:val="0025291F"/>
    <w:rsid w:val="00252A48"/>
    <w:rsid w:val="00253258"/>
    <w:rsid w:val="00253356"/>
    <w:rsid w:val="00253D15"/>
    <w:rsid w:val="00253EB8"/>
    <w:rsid w:val="00253F0F"/>
    <w:rsid w:val="00253F82"/>
    <w:rsid w:val="002545D8"/>
    <w:rsid w:val="00254DC6"/>
    <w:rsid w:val="00255AA8"/>
    <w:rsid w:val="00255ADE"/>
    <w:rsid w:val="0025642D"/>
    <w:rsid w:val="0025680C"/>
    <w:rsid w:val="002573A5"/>
    <w:rsid w:val="0025763C"/>
    <w:rsid w:val="00257B5B"/>
    <w:rsid w:val="00260486"/>
    <w:rsid w:val="00260F54"/>
    <w:rsid w:val="00262149"/>
    <w:rsid w:val="00262494"/>
    <w:rsid w:val="00262EF1"/>
    <w:rsid w:val="00263A33"/>
    <w:rsid w:val="00264113"/>
    <w:rsid w:val="0026443F"/>
    <w:rsid w:val="002647BE"/>
    <w:rsid w:val="00264C85"/>
    <w:rsid w:val="002653C3"/>
    <w:rsid w:val="00265735"/>
    <w:rsid w:val="00265A84"/>
    <w:rsid w:val="00265D51"/>
    <w:rsid w:val="00267027"/>
    <w:rsid w:val="00267353"/>
    <w:rsid w:val="00267DA7"/>
    <w:rsid w:val="0027068B"/>
    <w:rsid w:val="00271289"/>
    <w:rsid w:val="002715A0"/>
    <w:rsid w:val="00271EAD"/>
    <w:rsid w:val="00272271"/>
    <w:rsid w:val="00273A33"/>
    <w:rsid w:val="00273A3F"/>
    <w:rsid w:val="00273EE2"/>
    <w:rsid w:val="002740CB"/>
    <w:rsid w:val="00274323"/>
    <w:rsid w:val="00274380"/>
    <w:rsid w:val="00274924"/>
    <w:rsid w:val="00274FC6"/>
    <w:rsid w:val="00275E7C"/>
    <w:rsid w:val="002761C7"/>
    <w:rsid w:val="0027693A"/>
    <w:rsid w:val="00276AD6"/>
    <w:rsid w:val="00277055"/>
    <w:rsid w:val="00277EE0"/>
    <w:rsid w:val="0028190B"/>
    <w:rsid w:val="0028281E"/>
    <w:rsid w:val="00284152"/>
    <w:rsid w:val="00285298"/>
    <w:rsid w:val="002869F2"/>
    <w:rsid w:val="00287154"/>
    <w:rsid w:val="002871D3"/>
    <w:rsid w:val="002874B7"/>
    <w:rsid w:val="002908A3"/>
    <w:rsid w:val="00291189"/>
    <w:rsid w:val="002914C4"/>
    <w:rsid w:val="0029166B"/>
    <w:rsid w:val="00291699"/>
    <w:rsid w:val="00291754"/>
    <w:rsid w:val="002926BE"/>
    <w:rsid w:val="002928F9"/>
    <w:rsid w:val="00293060"/>
    <w:rsid w:val="002938E6"/>
    <w:rsid w:val="0029394A"/>
    <w:rsid w:val="0029442B"/>
    <w:rsid w:val="00295852"/>
    <w:rsid w:val="00295862"/>
    <w:rsid w:val="002959F4"/>
    <w:rsid w:val="002961D3"/>
    <w:rsid w:val="002962EE"/>
    <w:rsid w:val="00296651"/>
    <w:rsid w:val="00296816"/>
    <w:rsid w:val="00296888"/>
    <w:rsid w:val="00296939"/>
    <w:rsid w:val="00296AC9"/>
    <w:rsid w:val="002974D2"/>
    <w:rsid w:val="00297570"/>
    <w:rsid w:val="00297604"/>
    <w:rsid w:val="00297A0C"/>
    <w:rsid w:val="00297E3F"/>
    <w:rsid w:val="002A02E3"/>
    <w:rsid w:val="002A08AF"/>
    <w:rsid w:val="002A0CC8"/>
    <w:rsid w:val="002A0E77"/>
    <w:rsid w:val="002A1A02"/>
    <w:rsid w:val="002A2144"/>
    <w:rsid w:val="002A275C"/>
    <w:rsid w:val="002A31B6"/>
    <w:rsid w:val="002A31F1"/>
    <w:rsid w:val="002A36BC"/>
    <w:rsid w:val="002A399D"/>
    <w:rsid w:val="002A3B8C"/>
    <w:rsid w:val="002A3E71"/>
    <w:rsid w:val="002A4455"/>
    <w:rsid w:val="002A47AD"/>
    <w:rsid w:val="002A4C59"/>
    <w:rsid w:val="002A4EE8"/>
    <w:rsid w:val="002A559B"/>
    <w:rsid w:val="002A5E73"/>
    <w:rsid w:val="002A60F1"/>
    <w:rsid w:val="002A6172"/>
    <w:rsid w:val="002A6416"/>
    <w:rsid w:val="002A67CD"/>
    <w:rsid w:val="002A6E33"/>
    <w:rsid w:val="002A70FC"/>
    <w:rsid w:val="002A726F"/>
    <w:rsid w:val="002A78C9"/>
    <w:rsid w:val="002A7901"/>
    <w:rsid w:val="002A7D4F"/>
    <w:rsid w:val="002B1790"/>
    <w:rsid w:val="002B17DF"/>
    <w:rsid w:val="002B187C"/>
    <w:rsid w:val="002B2939"/>
    <w:rsid w:val="002B2ED3"/>
    <w:rsid w:val="002B3222"/>
    <w:rsid w:val="002B354E"/>
    <w:rsid w:val="002B3897"/>
    <w:rsid w:val="002B3FFC"/>
    <w:rsid w:val="002B41E5"/>
    <w:rsid w:val="002B50E8"/>
    <w:rsid w:val="002B5729"/>
    <w:rsid w:val="002B5FDA"/>
    <w:rsid w:val="002B6340"/>
    <w:rsid w:val="002B67F2"/>
    <w:rsid w:val="002C0218"/>
    <w:rsid w:val="002C13F6"/>
    <w:rsid w:val="002C153A"/>
    <w:rsid w:val="002C15E1"/>
    <w:rsid w:val="002C2584"/>
    <w:rsid w:val="002C3093"/>
    <w:rsid w:val="002C3B1F"/>
    <w:rsid w:val="002C4315"/>
    <w:rsid w:val="002C4598"/>
    <w:rsid w:val="002C4B48"/>
    <w:rsid w:val="002C4B68"/>
    <w:rsid w:val="002C4C8E"/>
    <w:rsid w:val="002C4EE8"/>
    <w:rsid w:val="002C50BA"/>
    <w:rsid w:val="002C52CD"/>
    <w:rsid w:val="002C544D"/>
    <w:rsid w:val="002C5510"/>
    <w:rsid w:val="002C5573"/>
    <w:rsid w:val="002C667D"/>
    <w:rsid w:val="002C68F4"/>
    <w:rsid w:val="002C6BF3"/>
    <w:rsid w:val="002C6FE9"/>
    <w:rsid w:val="002C7090"/>
    <w:rsid w:val="002C76FF"/>
    <w:rsid w:val="002D019C"/>
    <w:rsid w:val="002D05A6"/>
    <w:rsid w:val="002D0778"/>
    <w:rsid w:val="002D0A94"/>
    <w:rsid w:val="002D0B72"/>
    <w:rsid w:val="002D2E69"/>
    <w:rsid w:val="002D39EB"/>
    <w:rsid w:val="002D3C91"/>
    <w:rsid w:val="002D404C"/>
    <w:rsid w:val="002D4635"/>
    <w:rsid w:val="002D4844"/>
    <w:rsid w:val="002D5864"/>
    <w:rsid w:val="002D58F2"/>
    <w:rsid w:val="002D59FA"/>
    <w:rsid w:val="002D5AF4"/>
    <w:rsid w:val="002D623B"/>
    <w:rsid w:val="002D6ACD"/>
    <w:rsid w:val="002D6B4A"/>
    <w:rsid w:val="002D6DC7"/>
    <w:rsid w:val="002E0495"/>
    <w:rsid w:val="002E06F5"/>
    <w:rsid w:val="002E07D3"/>
    <w:rsid w:val="002E0BEC"/>
    <w:rsid w:val="002E0C72"/>
    <w:rsid w:val="002E1381"/>
    <w:rsid w:val="002E1C08"/>
    <w:rsid w:val="002E1C3E"/>
    <w:rsid w:val="002E1CE5"/>
    <w:rsid w:val="002E22FB"/>
    <w:rsid w:val="002E23E8"/>
    <w:rsid w:val="002E256C"/>
    <w:rsid w:val="002E25E5"/>
    <w:rsid w:val="002E2798"/>
    <w:rsid w:val="002E28EB"/>
    <w:rsid w:val="002E305F"/>
    <w:rsid w:val="002E316A"/>
    <w:rsid w:val="002E31EA"/>
    <w:rsid w:val="002E47DF"/>
    <w:rsid w:val="002E4AD8"/>
    <w:rsid w:val="002E4BE3"/>
    <w:rsid w:val="002E4CDB"/>
    <w:rsid w:val="002E5289"/>
    <w:rsid w:val="002E60DE"/>
    <w:rsid w:val="002E64BF"/>
    <w:rsid w:val="002E71E2"/>
    <w:rsid w:val="002E7276"/>
    <w:rsid w:val="002E7890"/>
    <w:rsid w:val="002E78D4"/>
    <w:rsid w:val="002E7D50"/>
    <w:rsid w:val="002F04BE"/>
    <w:rsid w:val="002F07B9"/>
    <w:rsid w:val="002F0DDF"/>
    <w:rsid w:val="002F10FA"/>
    <w:rsid w:val="002F1329"/>
    <w:rsid w:val="002F1429"/>
    <w:rsid w:val="002F2512"/>
    <w:rsid w:val="002F26DE"/>
    <w:rsid w:val="002F2ABC"/>
    <w:rsid w:val="002F2C7E"/>
    <w:rsid w:val="002F417D"/>
    <w:rsid w:val="002F44F4"/>
    <w:rsid w:val="002F4691"/>
    <w:rsid w:val="002F4843"/>
    <w:rsid w:val="002F4CAF"/>
    <w:rsid w:val="002F4CE3"/>
    <w:rsid w:val="002F5B21"/>
    <w:rsid w:val="002F5BF5"/>
    <w:rsid w:val="002F6E29"/>
    <w:rsid w:val="002F6E3E"/>
    <w:rsid w:val="002F70A3"/>
    <w:rsid w:val="002F7876"/>
    <w:rsid w:val="002F7985"/>
    <w:rsid w:val="002F7BC3"/>
    <w:rsid w:val="00300AE7"/>
    <w:rsid w:val="00301473"/>
    <w:rsid w:val="00301558"/>
    <w:rsid w:val="00301793"/>
    <w:rsid w:val="00301E92"/>
    <w:rsid w:val="0030212E"/>
    <w:rsid w:val="00302676"/>
    <w:rsid w:val="00302818"/>
    <w:rsid w:val="00302A2A"/>
    <w:rsid w:val="00303A7B"/>
    <w:rsid w:val="003043C1"/>
    <w:rsid w:val="00305013"/>
    <w:rsid w:val="00305562"/>
    <w:rsid w:val="00305B7B"/>
    <w:rsid w:val="00306115"/>
    <w:rsid w:val="00306239"/>
    <w:rsid w:val="00306642"/>
    <w:rsid w:val="003068CE"/>
    <w:rsid w:val="0030691E"/>
    <w:rsid w:val="003069C7"/>
    <w:rsid w:val="00306A0B"/>
    <w:rsid w:val="00306CF9"/>
    <w:rsid w:val="00306D6D"/>
    <w:rsid w:val="00307819"/>
    <w:rsid w:val="0030794A"/>
    <w:rsid w:val="00310154"/>
    <w:rsid w:val="003101C3"/>
    <w:rsid w:val="003103D6"/>
    <w:rsid w:val="00310E33"/>
    <w:rsid w:val="00311CF2"/>
    <w:rsid w:val="00312791"/>
    <w:rsid w:val="003132FE"/>
    <w:rsid w:val="00313884"/>
    <w:rsid w:val="00313982"/>
    <w:rsid w:val="00315095"/>
    <w:rsid w:val="00315301"/>
    <w:rsid w:val="0031549F"/>
    <w:rsid w:val="00315777"/>
    <w:rsid w:val="0031594F"/>
    <w:rsid w:val="00316341"/>
    <w:rsid w:val="00316D73"/>
    <w:rsid w:val="00317487"/>
    <w:rsid w:val="00317589"/>
    <w:rsid w:val="00317770"/>
    <w:rsid w:val="00320286"/>
    <w:rsid w:val="00320484"/>
    <w:rsid w:val="00320F16"/>
    <w:rsid w:val="0032126A"/>
    <w:rsid w:val="003213A9"/>
    <w:rsid w:val="00321423"/>
    <w:rsid w:val="003217DC"/>
    <w:rsid w:val="003223FC"/>
    <w:rsid w:val="0032274E"/>
    <w:rsid w:val="0032275A"/>
    <w:rsid w:val="0032291B"/>
    <w:rsid w:val="00322AFE"/>
    <w:rsid w:val="00322D28"/>
    <w:rsid w:val="00323DFE"/>
    <w:rsid w:val="00324D3D"/>
    <w:rsid w:val="00324EF2"/>
    <w:rsid w:val="0032526C"/>
    <w:rsid w:val="003252C7"/>
    <w:rsid w:val="00325521"/>
    <w:rsid w:val="00325772"/>
    <w:rsid w:val="00326422"/>
    <w:rsid w:val="00326D72"/>
    <w:rsid w:val="00327973"/>
    <w:rsid w:val="00327C64"/>
    <w:rsid w:val="00327FD4"/>
    <w:rsid w:val="0033066F"/>
    <w:rsid w:val="00330877"/>
    <w:rsid w:val="00331033"/>
    <w:rsid w:val="003313DB"/>
    <w:rsid w:val="00331AA5"/>
    <w:rsid w:val="00332C50"/>
    <w:rsid w:val="00333479"/>
    <w:rsid w:val="00333E17"/>
    <w:rsid w:val="003347C9"/>
    <w:rsid w:val="00334CAF"/>
    <w:rsid w:val="0033529C"/>
    <w:rsid w:val="003352C0"/>
    <w:rsid w:val="003355E9"/>
    <w:rsid w:val="0033570D"/>
    <w:rsid w:val="00335858"/>
    <w:rsid w:val="00335EC8"/>
    <w:rsid w:val="00336086"/>
    <w:rsid w:val="00336832"/>
    <w:rsid w:val="00336A16"/>
    <w:rsid w:val="00336A78"/>
    <w:rsid w:val="00337414"/>
    <w:rsid w:val="00337CC7"/>
    <w:rsid w:val="00337D8D"/>
    <w:rsid w:val="0034022A"/>
    <w:rsid w:val="00340676"/>
    <w:rsid w:val="00340A0F"/>
    <w:rsid w:val="00340A42"/>
    <w:rsid w:val="00340AF6"/>
    <w:rsid w:val="003415F4"/>
    <w:rsid w:val="003427CC"/>
    <w:rsid w:val="00342E70"/>
    <w:rsid w:val="003432AE"/>
    <w:rsid w:val="003433D2"/>
    <w:rsid w:val="003442C7"/>
    <w:rsid w:val="00344674"/>
    <w:rsid w:val="00344950"/>
    <w:rsid w:val="00344B69"/>
    <w:rsid w:val="00344D97"/>
    <w:rsid w:val="00346356"/>
    <w:rsid w:val="003466E9"/>
    <w:rsid w:val="00346A00"/>
    <w:rsid w:val="00347B8F"/>
    <w:rsid w:val="00350260"/>
    <w:rsid w:val="00350871"/>
    <w:rsid w:val="003509DD"/>
    <w:rsid w:val="00350F17"/>
    <w:rsid w:val="00351283"/>
    <w:rsid w:val="003512D3"/>
    <w:rsid w:val="00351AE4"/>
    <w:rsid w:val="00352038"/>
    <w:rsid w:val="00352AC6"/>
    <w:rsid w:val="003530CF"/>
    <w:rsid w:val="00353174"/>
    <w:rsid w:val="00354275"/>
    <w:rsid w:val="003545E2"/>
    <w:rsid w:val="0035486B"/>
    <w:rsid w:val="0035486F"/>
    <w:rsid w:val="00354CE1"/>
    <w:rsid w:val="00355325"/>
    <w:rsid w:val="003558C5"/>
    <w:rsid w:val="00355C6F"/>
    <w:rsid w:val="00357AA4"/>
    <w:rsid w:val="003600FB"/>
    <w:rsid w:val="003609B2"/>
    <w:rsid w:val="00361EE6"/>
    <w:rsid w:val="00362239"/>
    <w:rsid w:val="0036292D"/>
    <w:rsid w:val="0036378A"/>
    <w:rsid w:val="003637BE"/>
    <w:rsid w:val="003637C2"/>
    <w:rsid w:val="003640C8"/>
    <w:rsid w:val="0036546E"/>
    <w:rsid w:val="003673B1"/>
    <w:rsid w:val="00367A51"/>
    <w:rsid w:val="003705C5"/>
    <w:rsid w:val="003714B0"/>
    <w:rsid w:val="00371F2A"/>
    <w:rsid w:val="00372245"/>
    <w:rsid w:val="00372568"/>
    <w:rsid w:val="003729CA"/>
    <w:rsid w:val="0037325F"/>
    <w:rsid w:val="00373B55"/>
    <w:rsid w:val="00373E76"/>
    <w:rsid w:val="003741BC"/>
    <w:rsid w:val="00374658"/>
    <w:rsid w:val="00374F26"/>
    <w:rsid w:val="00375D87"/>
    <w:rsid w:val="0037635E"/>
    <w:rsid w:val="003767CB"/>
    <w:rsid w:val="00376FC9"/>
    <w:rsid w:val="003771A8"/>
    <w:rsid w:val="00377B1C"/>
    <w:rsid w:val="00377FA6"/>
    <w:rsid w:val="00380150"/>
    <w:rsid w:val="003803CE"/>
    <w:rsid w:val="003808EC"/>
    <w:rsid w:val="00381095"/>
    <w:rsid w:val="00381A90"/>
    <w:rsid w:val="00382E54"/>
    <w:rsid w:val="00382F94"/>
    <w:rsid w:val="00383070"/>
    <w:rsid w:val="003831E7"/>
    <w:rsid w:val="0038369D"/>
    <w:rsid w:val="003838D7"/>
    <w:rsid w:val="00383B1F"/>
    <w:rsid w:val="0038458D"/>
    <w:rsid w:val="00384C05"/>
    <w:rsid w:val="003854C6"/>
    <w:rsid w:val="00385668"/>
    <w:rsid w:val="00385BA5"/>
    <w:rsid w:val="003868DE"/>
    <w:rsid w:val="00386A72"/>
    <w:rsid w:val="00386B0D"/>
    <w:rsid w:val="00386F55"/>
    <w:rsid w:val="00387744"/>
    <w:rsid w:val="003909B0"/>
    <w:rsid w:val="00390A67"/>
    <w:rsid w:val="00391006"/>
    <w:rsid w:val="003912BA"/>
    <w:rsid w:val="003918D8"/>
    <w:rsid w:val="00391A01"/>
    <w:rsid w:val="00392408"/>
    <w:rsid w:val="00393A61"/>
    <w:rsid w:val="00393DC6"/>
    <w:rsid w:val="00394519"/>
    <w:rsid w:val="003951D8"/>
    <w:rsid w:val="003960A6"/>
    <w:rsid w:val="00396A85"/>
    <w:rsid w:val="00397990"/>
    <w:rsid w:val="00397B67"/>
    <w:rsid w:val="003A08C1"/>
    <w:rsid w:val="003A0941"/>
    <w:rsid w:val="003A17FA"/>
    <w:rsid w:val="003A190A"/>
    <w:rsid w:val="003A273F"/>
    <w:rsid w:val="003A30C3"/>
    <w:rsid w:val="003A32EA"/>
    <w:rsid w:val="003A3A41"/>
    <w:rsid w:val="003A3F14"/>
    <w:rsid w:val="003A48C6"/>
    <w:rsid w:val="003A4DF2"/>
    <w:rsid w:val="003A599B"/>
    <w:rsid w:val="003A6627"/>
    <w:rsid w:val="003A6E06"/>
    <w:rsid w:val="003A76B7"/>
    <w:rsid w:val="003A7D45"/>
    <w:rsid w:val="003A7EC1"/>
    <w:rsid w:val="003B014A"/>
    <w:rsid w:val="003B07C5"/>
    <w:rsid w:val="003B0928"/>
    <w:rsid w:val="003B097C"/>
    <w:rsid w:val="003B09FB"/>
    <w:rsid w:val="003B1167"/>
    <w:rsid w:val="003B1456"/>
    <w:rsid w:val="003B1862"/>
    <w:rsid w:val="003B1DAE"/>
    <w:rsid w:val="003B1F9D"/>
    <w:rsid w:val="003B2BA1"/>
    <w:rsid w:val="003B3353"/>
    <w:rsid w:val="003B35AA"/>
    <w:rsid w:val="003B3643"/>
    <w:rsid w:val="003B38EC"/>
    <w:rsid w:val="003B3C5A"/>
    <w:rsid w:val="003B3FD6"/>
    <w:rsid w:val="003B4945"/>
    <w:rsid w:val="003B4F4A"/>
    <w:rsid w:val="003B4FBF"/>
    <w:rsid w:val="003B54B0"/>
    <w:rsid w:val="003B6343"/>
    <w:rsid w:val="003B6763"/>
    <w:rsid w:val="003B684A"/>
    <w:rsid w:val="003B6CEE"/>
    <w:rsid w:val="003B6E46"/>
    <w:rsid w:val="003C0553"/>
    <w:rsid w:val="003C05EE"/>
    <w:rsid w:val="003C09CB"/>
    <w:rsid w:val="003C1120"/>
    <w:rsid w:val="003C1ABC"/>
    <w:rsid w:val="003C239C"/>
    <w:rsid w:val="003C2440"/>
    <w:rsid w:val="003C270A"/>
    <w:rsid w:val="003C28AA"/>
    <w:rsid w:val="003C525A"/>
    <w:rsid w:val="003C62CA"/>
    <w:rsid w:val="003C6D0D"/>
    <w:rsid w:val="003C7007"/>
    <w:rsid w:val="003C7F64"/>
    <w:rsid w:val="003D17BA"/>
    <w:rsid w:val="003D1EA2"/>
    <w:rsid w:val="003D26C7"/>
    <w:rsid w:val="003D30D2"/>
    <w:rsid w:val="003D3648"/>
    <w:rsid w:val="003D3654"/>
    <w:rsid w:val="003D4795"/>
    <w:rsid w:val="003D49DA"/>
    <w:rsid w:val="003D4FE8"/>
    <w:rsid w:val="003D5BFE"/>
    <w:rsid w:val="003D5CAB"/>
    <w:rsid w:val="003D69A8"/>
    <w:rsid w:val="003D7837"/>
    <w:rsid w:val="003D7EBA"/>
    <w:rsid w:val="003E0085"/>
    <w:rsid w:val="003E0758"/>
    <w:rsid w:val="003E09F9"/>
    <w:rsid w:val="003E0EA6"/>
    <w:rsid w:val="003E18B2"/>
    <w:rsid w:val="003E20B9"/>
    <w:rsid w:val="003E2548"/>
    <w:rsid w:val="003E2567"/>
    <w:rsid w:val="003E2648"/>
    <w:rsid w:val="003E2BC3"/>
    <w:rsid w:val="003E2DB7"/>
    <w:rsid w:val="003E40E4"/>
    <w:rsid w:val="003E4252"/>
    <w:rsid w:val="003E4EF9"/>
    <w:rsid w:val="003E4FAE"/>
    <w:rsid w:val="003E5196"/>
    <w:rsid w:val="003E51B6"/>
    <w:rsid w:val="003E58DE"/>
    <w:rsid w:val="003E5B03"/>
    <w:rsid w:val="003E5B0E"/>
    <w:rsid w:val="003E5B88"/>
    <w:rsid w:val="003E76B6"/>
    <w:rsid w:val="003E7C5D"/>
    <w:rsid w:val="003F0093"/>
    <w:rsid w:val="003F06F3"/>
    <w:rsid w:val="003F12FB"/>
    <w:rsid w:val="003F18E1"/>
    <w:rsid w:val="003F199C"/>
    <w:rsid w:val="003F1D6B"/>
    <w:rsid w:val="003F28BC"/>
    <w:rsid w:val="003F2BC4"/>
    <w:rsid w:val="003F2CF4"/>
    <w:rsid w:val="003F3593"/>
    <w:rsid w:val="003F3C78"/>
    <w:rsid w:val="003F4019"/>
    <w:rsid w:val="003F4071"/>
    <w:rsid w:val="003F42EE"/>
    <w:rsid w:val="003F5C3E"/>
    <w:rsid w:val="003F60C2"/>
    <w:rsid w:val="003F6B90"/>
    <w:rsid w:val="003F704A"/>
    <w:rsid w:val="003F70C3"/>
    <w:rsid w:val="003F714B"/>
    <w:rsid w:val="00400108"/>
    <w:rsid w:val="00400319"/>
    <w:rsid w:val="004003D1"/>
    <w:rsid w:val="004005FA"/>
    <w:rsid w:val="0040062E"/>
    <w:rsid w:val="00400CA3"/>
    <w:rsid w:val="0040175A"/>
    <w:rsid w:val="00401946"/>
    <w:rsid w:val="00401AA5"/>
    <w:rsid w:val="00401B7D"/>
    <w:rsid w:val="0040265A"/>
    <w:rsid w:val="004027C0"/>
    <w:rsid w:val="00402AEE"/>
    <w:rsid w:val="00403006"/>
    <w:rsid w:val="00403922"/>
    <w:rsid w:val="00403E63"/>
    <w:rsid w:val="004045D1"/>
    <w:rsid w:val="00404F39"/>
    <w:rsid w:val="00406414"/>
    <w:rsid w:val="00407653"/>
    <w:rsid w:val="00410E39"/>
    <w:rsid w:val="004110E2"/>
    <w:rsid w:val="00411292"/>
    <w:rsid w:val="004115B2"/>
    <w:rsid w:val="004121F7"/>
    <w:rsid w:val="00412FB6"/>
    <w:rsid w:val="00412FCD"/>
    <w:rsid w:val="0041327D"/>
    <w:rsid w:val="0041421A"/>
    <w:rsid w:val="00414302"/>
    <w:rsid w:val="00415503"/>
    <w:rsid w:val="00415523"/>
    <w:rsid w:val="0041567E"/>
    <w:rsid w:val="00415A2E"/>
    <w:rsid w:val="00415B47"/>
    <w:rsid w:val="00415B75"/>
    <w:rsid w:val="00415E45"/>
    <w:rsid w:val="00416278"/>
    <w:rsid w:val="00416E34"/>
    <w:rsid w:val="004200BB"/>
    <w:rsid w:val="00420690"/>
    <w:rsid w:val="00421272"/>
    <w:rsid w:val="0042130C"/>
    <w:rsid w:val="00421496"/>
    <w:rsid w:val="004217FC"/>
    <w:rsid w:val="00421881"/>
    <w:rsid w:val="004218EB"/>
    <w:rsid w:val="00421AAD"/>
    <w:rsid w:val="00421B35"/>
    <w:rsid w:val="00423317"/>
    <w:rsid w:val="00423E43"/>
    <w:rsid w:val="004242FF"/>
    <w:rsid w:val="00424320"/>
    <w:rsid w:val="0042494C"/>
    <w:rsid w:val="0042518C"/>
    <w:rsid w:val="00425271"/>
    <w:rsid w:val="0042577B"/>
    <w:rsid w:val="004262C4"/>
    <w:rsid w:val="00426F41"/>
    <w:rsid w:val="0042744E"/>
    <w:rsid w:val="00427822"/>
    <w:rsid w:val="004302E1"/>
    <w:rsid w:val="0043169A"/>
    <w:rsid w:val="0043197B"/>
    <w:rsid w:val="00431C4E"/>
    <w:rsid w:val="00431F8D"/>
    <w:rsid w:val="004323D9"/>
    <w:rsid w:val="0043279F"/>
    <w:rsid w:val="00432D0A"/>
    <w:rsid w:val="00433088"/>
    <w:rsid w:val="00433C90"/>
    <w:rsid w:val="00433CD3"/>
    <w:rsid w:val="004346FE"/>
    <w:rsid w:val="0043494A"/>
    <w:rsid w:val="00434BBD"/>
    <w:rsid w:val="00435126"/>
    <w:rsid w:val="0043593B"/>
    <w:rsid w:val="00435B99"/>
    <w:rsid w:val="00435E52"/>
    <w:rsid w:val="0043607F"/>
    <w:rsid w:val="004361AC"/>
    <w:rsid w:val="0043663A"/>
    <w:rsid w:val="00436BC4"/>
    <w:rsid w:val="00437E7A"/>
    <w:rsid w:val="00440FC6"/>
    <w:rsid w:val="004412DE"/>
    <w:rsid w:val="00441AFB"/>
    <w:rsid w:val="004425A7"/>
    <w:rsid w:val="00442957"/>
    <w:rsid w:val="00442DE8"/>
    <w:rsid w:val="00443B7E"/>
    <w:rsid w:val="00445596"/>
    <w:rsid w:val="00446895"/>
    <w:rsid w:val="0044737F"/>
    <w:rsid w:val="00447840"/>
    <w:rsid w:val="00447C4E"/>
    <w:rsid w:val="004505A5"/>
    <w:rsid w:val="00451285"/>
    <w:rsid w:val="004517F4"/>
    <w:rsid w:val="00451B02"/>
    <w:rsid w:val="00451C0E"/>
    <w:rsid w:val="00451DFD"/>
    <w:rsid w:val="00451EE0"/>
    <w:rsid w:val="004525D3"/>
    <w:rsid w:val="004526F2"/>
    <w:rsid w:val="00453092"/>
    <w:rsid w:val="00454260"/>
    <w:rsid w:val="00454B89"/>
    <w:rsid w:val="004551C4"/>
    <w:rsid w:val="004552CB"/>
    <w:rsid w:val="00455331"/>
    <w:rsid w:val="004557B4"/>
    <w:rsid w:val="00455DF1"/>
    <w:rsid w:val="004563C1"/>
    <w:rsid w:val="004567F8"/>
    <w:rsid w:val="00456CAE"/>
    <w:rsid w:val="004601B3"/>
    <w:rsid w:val="00460381"/>
    <w:rsid w:val="004606EF"/>
    <w:rsid w:val="00460A62"/>
    <w:rsid w:val="00461D0D"/>
    <w:rsid w:val="0046210F"/>
    <w:rsid w:val="00462C17"/>
    <w:rsid w:val="00463008"/>
    <w:rsid w:val="004630BC"/>
    <w:rsid w:val="0046359A"/>
    <w:rsid w:val="004635DF"/>
    <w:rsid w:val="0046362F"/>
    <w:rsid w:val="00463688"/>
    <w:rsid w:val="00463AC5"/>
    <w:rsid w:val="00463EEF"/>
    <w:rsid w:val="00464384"/>
    <w:rsid w:val="00465618"/>
    <w:rsid w:val="00465815"/>
    <w:rsid w:val="004659E1"/>
    <w:rsid w:val="00465DC4"/>
    <w:rsid w:val="00465F08"/>
    <w:rsid w:val="00466D3A"/>
    <w:rsid w:val="0046758F"/>
    <w:rsid w:val="00467BE9"/>
    <w:rsid w:val="00467C0A"/>
    <w:rsid w:val="00467E31"/>
    <w:rsid w:val="00470383"/>
    <w:rsid w:val="004707CA"/>
    <w:rsid w:val="0047116B"/>
    <w:rsid w:val="00471180"/>
    <w:rsid w:val="004713D9"/>
    <w:rsid w:val="00471428"/>
    <w:rsid w:val="0047186E"/>
    <w:rsid w:val="00471EFA"/>
    <w:rsid w:val="004728AD"/>
    <w:rsid w:val="00472E28"/>
    <w:rsid w:val="00473783"/>
    <w:rsid w:val="00473886"/>
    <w:rsid w:val="004739D3"/>
    <w:rsid w:val="00474237"/>
    <w:rsid w:val="00474281"/>
    <w:rsid w:val="00475418"/>
    <w:rsid w:val="0047591A"/>
    <w:rsid w:val="00475F50"/>
    <w:rsid w:val="004761EC"/>
    <w:rsid w:val="00476570"/>
    <w:rsid w:val="0047691C"/>
    <w:rsid w:val="00476BBB"/>
    <w:rsid w:val="00476DB5"/>
    <w:rsid w:val="0048002A"/>
    <w:rsid w:val="00480133"/>
    <w:rsid w:val="00480E93"/>
    <w:rsid w:val="00480FA4"/>
    <w:rsid w:val="00481631"/>
    <w:rsid w:val="00482485"/>
    <w:rsid w:val="00482980"/>
    <w:rsid w:val="00482FEC"/>
    <w:rsid w:val="0048306B"/>
    <w:rsid w:val="004833E5"/>
    <w:rsid w:val="00484131"/>
    <w:rsid w:val="00484375"/>
    <w:rsid w:val="00484C53"/>
    <w:rsid w:val="00484CD2"/>
    <w:rsid w:val="00485604"/>
    <w:rsid w:val="004857F0"/>
    <w:rsid w:val="0048596E"/>
    <w:rsid w:val="00485A64"/>
    <w:rsid w:val="00485B33"/>
    <w:rsid w:val="00486074"/>
    <w:rsid w:val="00486639"/>
    <w:rsid w:val="00486DD1"/>
    <w:rsid w:val="004871D0"/>
    <w:rsid w:val="0048739F"/>
    <w:rsid w:val="004900DE"/>
    <w:rsid w:val="00490389"/>
    <w:rsid w:val="00490922"/>
    <w:rsid w:val="00491596"/>
    <w:rsid w:val="00492234"/>
    <w:rsid w:val="004925E2"/>
    <w:rsid w:val="00492C00"/>
    <w:rsid w:val="00492C41"/>
    <w:rsid w:val="00492D47"/>
    <w:rsid w:val="00492DCB"/>
    <w:rsid w:val="0049313D"/>
    <w:rsid w:val="00493F84"/>
    <w:rsid w:val="00494591"/>
    <w:rsid w:val="00495BF3"/>
    <w:rsid w:val="00495F15"/>
    <w:rsid w:val="00496046"/>
    <w:rsid w:val="00496965"/>
    <w:rsid w:val="00496ED3"/>
    <w:rsid w:val="004976E5"/>
    <w:rsid w:val="00497A8F"/>
    <w:rsid w:val="004A035E"/>
    <w:rsid w:val="004A03B2"/>
    <w:rsid w:val="004A0C1A"/>
    <w:rsid w:val="004A1059"/>
    <w:rsid w:val="004A186F"/>
    <w:rsid w:val="004A19B8"/>
    <w:rsid w:val="004A2116"/>
    <w:rsid w:val="004A216E"/>
    <w:rsid w:val="004A28FB"/>
    <w:rsid w:val="004A303D"/>
    <w:rsid w:val="004A33D9"/>
    <w:rsid w:val="004A3BA3"/>
    <w:rsid w:val="004A4851"/>
    <w:rsid w:val="004A4B01"/>
    <w:rsid w:val="004A4E2F"/>
    <w:rsid w:val="004A4F4F"/>
    <w:rsid w:val="004A53F8"/>
    <w:rsid w:val="004A5CB2"/>
    <w:rsid w:val="004A6500"/>
    <w:rsid w:val="004A66A4"/>
    <w:rsid w:val="004A6FF5"/>
    <w:rsid w:val="004A7623"/>
    <w:rsid w:val="004B0031"/>
    <w:rsid w:val="004B0237"/>
    <w:rsid w:val="004B0552"/>
    <w:rsid w:val="004B0CF7"/>
    <w:rsid w:val="004B151B"/>
    <w:rsid w:val="004B1E0D"/>
    <w:rsid w:val="004B2C4D"/>
    <w:rsid w:val="004B2EC6"/>
    <w:rsid w:val="004B30E9"/>
    <w:rsid w:val="004B31F3"/>
    <w:rsid w:val="004B326E"/>
    <w:rsid w:val="004B3313"/>
    <w:rsid w:val="004B3733"/>
    <w:rsid w:val="004B3E35"/>
    <w:rsid w:val="004B4294"/>
    <w:rsid w:val="004B4EE6"/>
    <w:rsid w:val="004B5339"/>
    <w:rsid w:val="004B5434"/>
    <w:rsid w:val="004B5854"/>
    <w:rsid w:val="004B5929"/>
    <w:rsid w:val="004B658A"/>
    <w:rsid w:val="004B6B1F"/>
    <w:rsid w:val="004B7328"/>
    <w:rsid w:val="004B73D5"/>
    <w:rsid w:val="004B7DC3"/>
    <w:rsid w:val="004C048D"/>
    <w:rsid w:val="004C04BA"/>
    <w:rsid w:val="004C0968"/>
    <w:rsid w:val="004C0C55"/>
    <w:rsid w:val="004C1048"/>
    <w:rsid w:val="004C1D1C"/>
    <w:rsid w:val="004C1E56"/>
    <w:rsid w:val="004C217C"/>
    <w:rsid w:val="004C2304"/>
    <w:rsid w:val="004C38D7"/>
    <w:rsid w:val="004C3B72"/>
    <w:rsid w:val="004C3CE5"/>
    <w:rsid w:val="004C441B"/>
    <w:rsid w:val="004C4A73"/>
    <w:rsid w:val="004C5D11"/>
    <w:rsid w:val="004C6007"/>
    <w:rsid w:val="004C6B95"/>
    <w:rsid w:val="004C6F33"/>
    <w:rsid w:val="004C7652"/>
    <w:rsid w:val="004D025C"/>
    <w:rsid w:val="004D046D"/>
    <w:rsid w:val="004D0B71"/>
    <w:rsid w:val="004D1482"/>
    <w:rsid w:val="004D14E1"/>
    <w:rsid w:val="004D165B"/>
    <w:rsid w:val="004D1C89"/>
    <w:rsid w:val="004D1D8B"/>
    <w:rsid w:val="004D2C09"/>
    <w:rsid w:val="004D2C1F"/>
    <w:rsid w:val="004D2FFF"/>
    <w:rsid w:val="004D34E4"/>
    <w:rsid w:val="004D3DF9"/>
    <w:rsid w:val="004D3ED0"/>
    <w:rsid w:val="004D45B2"/>
    <w:rsid w:val="004D4DAA"/>
    <w:rsid w:val="004D69C9"/>
    <w:rsid w:val="004D77F5"/>
    <w:rsid w:val="004D7D85"/>
    <w:rsid w:val="004E0470"/>
    <w:rsid w:val="004E155A"/>
    <w:rsid w:val="004E19EF"/>
    <w:rsid w:val="004E1A9D"/>
    <w:rsid w:val="004E1E92"/>
    <w:rsid w:val="004E296F"/>
    <w:rsid w:val="004E3431"/>
    <w:rsid w:val="004E3AD0"/>
    <w:rsid w:val="004E5135"/>
    <w:rsid w:val="004E5558"/>
    <w:rsid w:val="004E59E2"/>
    <w:rsid w:val="004E5DCB"/>
    <w:rsid w:val="004E6BCC"/>
    <w:rsid w:val="004E6CA2"/>
    <w:rsid w:val="004E7096"/>
    <w:rsid w:val="004E7BD9"/>
    <w:rsid w:val="004F098B"/>
    <w:rsid w:val="004F0E0F"/>
    <w:rsid w:val="004F1401"/>
    <w:rsid w:val="004F1686"/>
    <w:rsid w:val="004F16D6"/>
    <w:rsid w:val="004F3223"/>
    <w:rsid w:val="004F3244"/>
    <w:rsid w:val="004F4302"/>
    <w:rsid w:val="004F534A"/>
    <w:rsid w:val="004F53C7"/>
    <w:rsid w:val="004F5BA2"/>
    <w:rsid w:val="004F5DE8"/>
    <w:rsid w:val="004F6499"/>
    <w:rsid w:val="004F6FCA"/>
    <w:rsid w:val="004F7016"/>
    <w:rsid w:val="004F78DA"/>
    <w:rsid w:val="004F793D"/>
    <w:rsid w:val="004F7E8E"/>
    <w:rsid w:val="005008AA"/>
    <w:rsid w:val="00500E88"/>
    <w:rsid w:val="005013CB"/>
    <w:rsid w:val="005024C3"/>
    <w:rsid w:val="0050278F"/>
    <w:rsid w:val="0050349E"/>
    <w:rsid w:val="005039AA"/>
    <w:rsid w:val="005040A5"/>
    <w:rsid w:val="00504114"/>
    <w:rsid w:val="005046E2"/>
    <w:rsid w:val="005054BA"/>
    <w:rsid w:val="005060AA"/>
    <w:rsid w:val="005064C6"/>
    <w:rsid w:val="00506626"/>
    <w:rsid w:val="00506E81"/>
    <w:rsid w:val="00507243"/>
    <w:rsid w:val="005100CD"/>
    <w:rsid w:val="00510AB7"/>
    <w:rsid w:val="00510CE0"/>
    <w:rsid w:val="0051137C"/>
    <w:rsid w:val="005113DB"/>
    <w:rsid w:val="00511C25"/>
    <w:rsid w:val="00512373"/>
    <w:rsid w:val="00512614"/>
    <w:rsid w:val="005127F9"/>
    <w:rsid w:val="00512956"/>
    <w:rsid w:val="00512C3B"/>
    <w:rsid w:val="00513536"/>
    <w:rsid w:val="00514A28"/>
    <w:rsid w:val="00514AE9"/>
    <w:rsid w:val="00514C72"/>
    <w:rsid w:val="005152BC"/>
    <w:rsid w:val="005156CE"/>
    <w:rsid w:val="00516086"/>
    <w:rsid w:val="00516900"/>
    <w:rsid w:val="00516B16"/>
    <w:rsid w:val="00516D86"/>
    <w:rsid w:val="00517AE7"/>
    <w:rsid w:val="00521ED6"/>
    <w:rsid w:val="005220C9"/>
    <w:rsid w:val="00522C16"/>
    <w:rsid w:val="00522EB8"/>
    <w:rsid w:val="005237AD"/>
    <w:rsid w:val="00523D03"/>
    <w:rsid w:val="0052421C"/>
    <w:rsid w:val="00524453"/>
    <w:rsid w:val="005244D5"/>
    <w:rsid w:val="00524F71"/>
    <w:rsid w:val="005250BE"/>
    <w:rsid w:val="00525971"/>
    <w:rsid w:val="00525BA9"/>
    <w:rsid w:val="005266F4"/>
    <w:rsid w:val="0052675D"/>
    <w:rsid w:val="00527895"/>
    <w:rsid w:val="005278BA"/>
    <w:rsid w:val="005300B8"/>
    <w:rsid w:val="00530101"/>
    <w:rsid w:val="0053021F"/>
    <w:rsid w:val="00530C7B"/>
    <w:rsid w:val="00530FA8"/>
    <w:rsid w:val="0053136C"/>
    <w:rsid w:val="005313F8"/>
    <w:rsid w:val="00531890"/>
    <w:rsid w:val="0053194C"/>
    <w:rsid w:val="00531C68"/>
    <w:rsid w:val="00531FA2"/>
    <w:rsid w:val="00532836"/>
    <w:rsid w:val="00532B2B"/>
    <w:rsid w:val="00533C8E"/>
    <w:rsid w:val="0053508A"/>
    <w:rsid w:val="00535144"/>
    <w:rsid w:val="0053521A"/>
    <w:rsid w:val="00535440"/>
    <w:rsid w:val="00535BBE"/>
    <w:rsid w:val="00536A42"/>
    <w:rsid w:val="0053703B"/>
    <w:rsid w:val="00537172"/>
    <w:rsid w:val="005376EF"/>
    <w:rsid w:val="005377FE"/>
    <w:rsid w:val="00537828"/>
    <w:rsid w:val="0054043F"/>
    <w:rsid w:val="00540ABD"/>
    <w:rsid w:val="00540BC4"/>
    <w:rsid w:val="00540DC3"/>
    <w:rsid w:val="005412A2"/>
    <w:rsid w:val="005412C1"/>
    <w:rsid w:val="005413D4"/>
    <w:rsid w:val="00541967"/>
    <w:rsid w:val="0054197A"/>
    <w:rsid w:val="00541C42"/>
    <w:rsid w:val="005420BD"/>
    <w:rsid w:val="0054226B"/>
    <w:rsid w:val="00542773"/>
    <w:rsid w:val="005429F3"/>
    <w:rsid w:val="005432C0"/>
    <w:rsid w:val="005438A6"/>
    <w:rsid w:val="0054416B"/>
    <w:rsid w:val="0054427E"/>
    <w:rsid w:val="00544302"/>
    <w:rsid w:val="005445B6"/>
    <w:rsid w:val="00544A75"/>
    <w:rsid w:val="005456FC"/>
    <w:rsid w:val="005457C5"/>
    <w:rsid w:val="00545B5F"/>
    <w:rsid w:val="005503BA"/>
    <w:rsid w:val="005508D9"/>
    <w:rsid w:val="00550A1D"/>
    <w:rsid w:val="00551BE1"/>
    <w:rsid w:val="00551DD9"/>
    <w:rsid w:val="00552079"/>
    <w:rsid w:val="00552D3E"/>
    <w:rsid w:val="00553336"/>
    <w:rsid w:val="005533A4"/>
    <w:rsid w:val="005536A5"/>
    <w:rsid w:val="00553FB9"/>
    <w:rsid w:val="005547BD"/>
    <w:rsid w:val="00555724"/>
    <w:rsid w:val="005557CF"/>
    <w:rsid w:val="00555969"/>
    <w:rsid w:val="0055598D"/>
    <w:rsid w:val="00555A1D"/>
    <w:rsid w:val="00555E07"/>
    <w:rsid w:val="00555F71"/>
    <w:rsid w:val="005564B5"/>
    <w:rsid w:val="0055740B"/>
    <w:rsid w:val="00557610"/>
    <w:rsid w:val="00557C18"/>
    <w:rsid w:val="00560105"/>
    <w:rsid w:val="005602B5"/>
    <w:rsid w:val="00560699"/>
    <w:rsid w:val="00560EBE"/>
    <w:rsid w:val="00561A2B"/>
    <w:rsid w:val="005626B4"/>
    <w:rsid w:val="00562A78"/>
    <w:rsid w:val="00562CF0"/>
    <w:rsid w:val="00563B21"/>
    <w:rsid w:val="00563D78"/>
    <w:rsid w:val="005641EA"/>
    <w:rsid w:val="005643D6"/>
    <w:rsid w:val="005645C3"/>
    <w:rsid w:val="00564F29"/>
    <w:rsid w:val="00565543"/>
    <w:rsid w:val="005658C6"/>
    <w:rsid w:val="00565AFF"/>
    <w:rsid w:val="00565B69"/>
    <w:rsid w:val="00565EC8"/>
    <w:rsid w:val="0056637F"/>
    <w:rsid w:val="00566DB7"/>
    <w:rsid w:val="00566E47"/>
    <w:rsid w:val="00567F38"/>
    <w:rsid w:val="00567FEF"/>
    <w:rsid w:val="0057043D"/>
    <w:rsid w:val="0057050D"/>
    <w:rsid w:val="00570564"/>
    <w:rsid w:val="00570856"/>
    <w:rsid w:val="005708BA"/>
    <w:rsid w:val="0057178A"/>
    <w:rsid w:val="00571B83"/>
    <w:rsid w:val="00571EF2"/>
    <w:rsid w:val="00572889"/>
    <w:rsid w:val="00572B94"/>
    <w:rsid w:val="00572EE5"/>
    <w:rsid w:val="005735BF"/>
    <w:rsid w:val="00573D51"/>
    <w:rsid w:val="005742FE"/>
    <w:rsid w:val="00574FE0"/>
    <w:rsid w:val="00575137"/>
    <w:rsid w:val="0057533C"/>
    <w:rsid w:val="0057535C"/>
    <w:rsid w:val="0057550C"/>
    <w:rsid w:val="00575594"/>
    <w:rsid w:val="005761D2"/>
    <w:rsid w:val="00576D82"/>
    <w:rsid w:val="00576EFB"/>
    <w:rsid w:val="0057772D"/>
    <w:rsid w:val="00577A46"/>
    <w:rsid w:val="00577EFD"/>
    <w:rsid w:val="005802D5"/>
    <w:rsid w:val="005806A4"/>
    <w:rsid w:val="0058081D"/>
    <w:rsid w:val="00580883"/>
    <w:rsid w:val="005814E9"/>
    <w:rsid w:val="00581F05"/>
    <w:rsid w:val="005821D5"/>
    <w:rsid w:val="005824A8"/>
    <w:rsid w:val="00582AA5"/>
    <w:rsid w:val="00582AFC"/>
    <w:rsid w:val="005838BC"/>
    <w:rsid w:val="005838F2"/>
    <w:rsid w:val="005844F9"/>
    <w:rsid w:val="00584DEB"/>
    <w:rsid w:val="00584F2D"/>
    <w:rsid w:val="005850D3"/>
    <w:rsid w:val="005856C2"/>
    <w:rsid w:val="00585CDE"/>
    <w:rsid w:val="00586501"/>
    <w:rsid w:val="00586547"/>
    <w:rsid w:val="00586CCC"/>
    <w:rsid w:val="005900B2"/>
    <w:rsid w:val="005903C8"/>
    <w:rsid w:val="0059091A"/>
    <w:rsid w:val="00590C6D"/>
    <w:rsid w:val="005912E1"/>
    <w:rsid w:val="00591777"/>
    <w:rsid w:val="00591D1C"/>
    <w:rsid w:val="00592100"/>
    <w:rsid w:val="0059210F"/>
    <w:rsid w:val="00592D75"/>
    <w:rsid w:val="00592E61"/>
    <w:rsid w:val="005935B4"/>
    <w:rsid w:val="005937AD"/>
    <w:rsid w:val="00593B0D"/>
    <w:rsid w:val="00593BFC"/>
    <w:rsid w:val="00594212"/>
    <w:rsid w:val="00594255"/>
    <w:rsid w:val="005945AA"/>
    <w:rsid w:val="00594933"/>
    <w:rsid w:val="00594B97"/>
    <w:rsid w:val="005953F5"/>
    <w:rsid w:val="005956BF"/>
    <w:rsid w:val="005967BA"/>
    <w:rsid w:val="005971D0"/>
    <w:rsid w:val="005971E7"/>
    <w:rsid w:val="00597BCF"/>
    <w:rsid w:val="00597DF2"/>
    <w:rsid w:val="005A1555"/>
    <w:rsid w:val="005A15C2"/>
    <w:rsid w:val="005A1C31"/>
    <w:rsid w:val="005A1E98"/>
    <w:rsid w:val="005A220C"/>
    <w:rsid w:val="005A26BC"/>
    <w:rsid w:val="005A27E0"/>
    <w:rsid w:val="005A2C1E"/>
    <w:rsid w:val="005A383D"/>
    <w:rsid w:val="005A3E91"/>
    <w:rsid w:val="005A4D1F"/>
    <w:rsid w:val="005A4F18"/>
    <w:rsid w:val="005A55AA"/>
    <w:rsid w:val="005A600D"/>
    <w:rsid w:val="005A6215"/>
    <w:rsid w:val="005A638D"/>
    <w:rsid w:val="005A64C5"/>
    <w:rsid w:val="005A6D61"/>
    <w:rsid w:val="005A6DAC"/>
    <w:rsid w:val="005A7252"/>
    <w:rsid w:val="005B0303"/>
    <w:rsid w:val="005B1178"/>
    <w:rsid w:val="005B138C"/>
    <w:rsid w:val="005B1CAF"/>
    <w:rsid w:val="005B2905"/>
    <w:rsid w:val="005B2BB4"/>
    <w:rsid w:val="005B3AF3"/>
    <w:rsid w:val="005B425E"/>
    <w:rsid w:val="005B464B"/>
    <w:rsid w:val="005B4A26"/>
    <w:rsid w:val="005B4ACB"/>
    <w:rsid w:val="005B52FD"/>
    <w:rsid w:val="005B5C52"/>
    <w:rsid w:val="005B62FB"/>
    <w:rsid w:val="005B6C19"/>
    <w:rsid w:val="005C0D4A"/>
    <w:rsid w:val="005C0D92"/>
    <w:rsid w:val="005C10B4"/>
    <w:rsid w:val="005C1257"/>
    <w:rsid w:val="005C1846"/>
    <w:rsid w:val="005C1E12"/>
    <w:rsid w:val="005C21E5"/>
    <w:rsid w:val="005C26C3"/>
    <w:rsid w:val="005C275F"/>
    <w:rsid w:val="005C276B"/>
    <w:rsid w:val="005C2B19"/>
    <w:rsid w:val="005C2CDE"/>
    <w:rsid w:val="005C2F3F"/>
    <w:rsid w:val="005C3BCA"/>
    <w:rsid w:val="005C3F80"/>
    <w:rsid w:val="005C4369"/>
    <w:rsid w:val="005C48BF"/>
    <w:rsid w:val="005C4FF9"/>
    <w:rsid w:val="005C54F6"/>
    <w:rsid w:val="005C5B6A"/>
    <w:rsid w:val="005C63CA"/>
    <w:rsid w:val="005C6530"/>
    <w:rsid w:val="005C6782"/>
    <w:rsid w:val="005C6B10"/>
    <w:rsid w:val="005C7C71"/>
    <w:rsid w:val="005D0869"/>
    <w:rsid w:val="005D0C6D"/>
    <w:rsid w:val="005D0DF4"/>
    <w:rsid w:val="005D19FD"/>
    <w:rsid w:val="005D1B0E"/>
    <w:rsid w:val="005D2628"/>
    <w:rsid w:val="005D3E75"/>
    <w:rsid w:val="005D3F0A"/>
    <w:rsid w:val="005D3FB8"/>
    <w:rsid w:val="005D40EA"/>
    <w:rsid w:val="005D452D"/>
    <w:rsid w:val="005D46C3"/>
    <w:rsid w:val="005D4AE6"/>
    <w:rsid w:val="005D4C61"/>
    <w:rsid w:val="005D4DE2"/>
    <w:rsid w:val="005D4F6E"/>
    <w:rsid w:val="005D53FF"/>
    <w:rsid w:val="005D5588"/>
    <w:rsid w:val="005D5F69"/>
    <w:rsid w:val="005D6672"/>
    <w:rsid w:val="005D77E8"/>
    <w:rsid w:val="005E076F"/>
    <w:rsid w:val="005E177B"/>
    <w:rsid w:val="005E287D"/>
    <w:rsid w:val="005E4092"/>
    <w:rsid w:val="005E4783"/>
    <w:rsid w:val="005E5A4F"/>
    <w:rsid w:val="005E6170"/>
    <w:rsid w:val="005E65D6"/>
    <w:rsid w:val="005E6954"/>
    <w:rsid w:val="005E6955"/>
    <w:rsid w:val="005E6D2C"/>
    <w:rsid w:val="005E6DB5"/>
    <w:rsid w:val="005E737E"/>
    <w:rsid w:val="005E76C1"/>
    <w:rsid w:val="005E7B09"/>
    <w:rsid w:val="005E7BC7"/>
    <w:rsid w:val="005E7F53"/>
    <w:rsid w:val="005F01C7"/>
    <w:rsid w:val="005F0416"/>
    <w:rsid w:val="005F08BF"/>
    <w:rsid w:val="005F10E2"/>
    <w:rsid w:val="005F1B76"/>
    <w:rsid w:val="005F21A3"/>
    <w:rsid w:val="005F3899"/>
    <w:rsid w:val="005F3C47"/>
    <w:rsid w:val="005F43D5"/>
    <w:rsid w:val="005F4A8F"/>
    <w:rsid w:val="005F52A4"/>
    <w:rsid w:val="005F5608"/>
    <w:rsid w:val="005F5960"/>
    <w:rsid w:val="005F6583"/>
    <w:rsid w:val="005F6DB3"/>
    <w:rsid w:val="005F70D0"/>
    <w:rsid w:val="005F796D"/>
    <w:rsid w:val="005F7C68"/>
    <w:rsid w:val="006009A2"/>
    <w:rsid w:val="00601FA6"/>
    <w:rsid w:val="0060233C"/>
    <w:rsid w:val="00602354"/>
    <w:rsid w:val="00604213"/>
    <w:rsid w:val="006050F0"/>
    <w:rsid w:val="00605DCB"/>
    <w:rsid w:val="00606A2B"/>
    <w:rsid w:val="00606A62"/>
    <w:rsid w:val="00607DB3"/>
    <w:rsid w:val="00610EFE"/>
    <w:rsid w:val="00610FED"/>
    <w:rsid w:val="0061193D"/>
    <w:rsid w:val="00612072"/>
    <w:rsid w:val="00613526"/>
    <w:rsid w:val="00613C74"/>
    <w:rsid w:val="00614AB9"/>
    <w:rsid w:val="00615460"/>
    <w:rsid w:val="00615C68"/>
    <w:rsid w:val="00615EE1"/>
    <w:rsid w:val="006160FF"/>
    <w:rsid w:val="00616452"/>
    <w:rsid w:val="006168FD"/>
    <w:rsid w:val="00616932"/>
    <w:rsid w:val="006200C2"/>
    <w:rsid w:val="00620929"/>
    <w:rsid w:val="00620BDD"/>
    <w:rsid w:val="006214C0"/>
    <w:rsid w:val="00621EF3"/>
    <w:rsid w:val="006223D5"/>
    <w:rsid w:val="006227AC"/>
    <w:rsid w:val="0062311D"/>
    <w:rsid w:val="006240CF"/>
    <w:rsid w:val="00624447"/>
    <w:rsid w:val="0062445A"/>
    <w:rsid w:val="00624492"/>
    <w:rsid w:val="00624E45"/>
    <w:rsid w:val="0062566F"/>
    <w:rsid w:val="00625672"/>
    <w:rsid w:val="006258AA"/>
    <w:rsid w:val="006261A7"/>
    <w:rsid w:val="006261B5"/>
    <w:rsid w:val="0062638A"/>
    <w:rsid w:val="00626571"/>
    <w:rsid w:val="0062659B"/>
    <w:rsid w:val="00626638"/>
    <w:rsid w:val="0062695E"/>
    <w:rsid w:val="00626D46"/>
    <w:rsid w:val="00626F85"/>
    <w:rsid w:val="00627F91"/>
    <w:rsid w:val="00630079"/>
    <w:rsid w:val="006303AD"/>
    <w:rsid w:val="00630B5B"/>
    <w:rsid w:val="00631059"/>
    <w:rsid w:val="00631A74"/>
    <w:rsid w:val="00631B01"/>
    <w:rsid w:val="00631E55"/>
    <w:rsid w:val="0063237C"/>
    <w:rsid w:val="006324AB"/>
    <w:rsid w:val="006328C0"/>
    <w:rsid w:val="00632BEF"/>
    <w:rsid w:val="006333E8"/>
    <w:rsid w:val="00633AAB"/>
    <w:rsid w:val="006349A1"/>
    <w:rsid w:val="00634D88"/>
    <w:rsid w:val="006359AC"/>
    <w:rsid w:val="00635B56"/>
    <w:rsid w:val="00635F37"/>
    <w:rsid w:val="006361C9"/>
    <w:rsid w:val="00636EAC"/>
    <w:rsid w:val="00637098"/>
    <w:rsid w:val="0063789C"/>
    <w:rsid w:val="00637AF8"/>
    <w:rsid w:val="00637F42"/>
    <w:rsid w:val="006405CB"/>
    <w:rsid w:val="00640B81"/>
    <w:rsid w:val="00640F78"/>
    <w:rsid w:val="00641546"/>
    <w:rsid w:val="00641590"/>
    <w:rsid w:val="006425D5"/>
    <w:rsid w:val="006429E1"/>
    <w:rsid w:val="00642D9E"/>
    <w:rsid w:val="00643B86"/>
    <w:rsid w:val="00644C54"/>
    <w:rsid w:val="00644E23"/>
    <w:rsid w:val="0064509B"/>
    <w:rsid w:val="006454B3"/>
    <w:rsid w:val="0064585F"/>
    <w:rsid w:val="00646825"/>
    <w:rsid w:val="00646BAA"/>
    <w:rsid w:val="00646C74"/>
    <w:rsid w:val="006472FB"/>
    <w:rsid w:val="00647B15"/>
    <w:rsid w:val="00647B6C"/>
    <w:rsid w:val="00650505"/>
    <w:rsid w:val="00650C0C"/>
    <w:rsid w:val="00650EA0"/>
    <w:rsid w:val="00651287"/>
    <w:rsid w:val="00652AD8"/>
    <w:rsid w:val="00653985"/>
    <w:rsid w:val="00653E10"/>
    <w:rsid w:val="00654077"/>
    <w:rsid w:val="00654253"/>
    <w:rsid w:val="00654A8B"/>
    <w:rsid w:val="00654B60"/>
    <w:rsid w:val="00655063"/>
    <w:rsid w:val="00656670"/>
    <w:rsid w:val="00656E14"/>
    <w:rsid w:val="00657A12"/>
    <w:rsid w:val="0066048D"/>
    <w:rsid w:val="00660BA9"/>
    <w:rsid w:val="00660F78"/>
    <w:rsid w:val="00661186"/>
    <w:rsid w:val="00661639"/>
    <w:rsid w:val="00661DD2"/>
    <w:rsid w:val="00662FA6"/>
    <w:rsid w:val="0066306F"/>
    <w:rsid w:val="0066329B"/>
    <w:rsid w:val="00663B40"/>
    <w:rsid w:val="00664D08"/>
    <w:rsid w:val="00665450"/>
    <w:rsid w:val="00665629"/>
    <w:rsid w:val="00666270"/>
    <w:rsid w:val="0066636A"/>
    <w:rsid w:val="00666CF1"/>
    <w:rsid w:val="00667FB3"/>
    <w:rsid w:val="0067084E"/>
    <w:rsid w:val="00670D6B"/>
    <w:rsid w:val="00670E27"/>
    <w:rsid w:val="00671500"/>
    <w:rsid w:val="00671941"/>
    <w:rsid w:val="00671B66"/>
    <w:rsid w:val="00671DC7"/>
    <w:rsid w:val="0067204D"/>
    <w:rsid w:val="00672228"/>
    <w:rsid w:val="00672312"/>
    <w:rsid w:val="006727EF"/>
    <w:rsid w:val="00672805"/>
    <w:rsid w:val="006732AB"/>
    <w:rsid w:val="006738B4"/>
    <w:rsid w:val="00673B3F"/>
    <w:rsid w:val="00674726"/>
    <w:rsid w:val="00675164"/>
    <w:rsid w:val="00675E35"/>
    <w:rsid w:val="00676262"/>
    <w:rsid w:val="00676763"/>
    <w:rsid w:val="00676910"/>
    <w:rsid w:val="00676922"/>
    <w:rsid w:val="00676F80"/>
    <w:rsid w:val="0067700D"/>
    <w:rsid w:val="00677ABD"/>
    <w:rsid w:val="006805E7"/>
    <w:rsid w:val="00680978"/>
    <w:rsid w:val="00680C10"/>
    <w:rsid w:val="00680CF5"/>
    <w:rsid w:val="00680DE0"/>
    <w:rsid w:val="00681420"/>
    <w:rsid w:val="006815DA"/>
    <w:rsid w:val="00681614"/>
    <w:rsid w:val="006816F9"/>
    <w:rsid w:val="00681829"/>
    <w:rsid w:val="006819E2"/>
    <w:rsid w:val="00681E32"/>
    <w:rsid w:val="0068202D"/>
    <w:rsid w:val="006822CC"/>
    <w:rsid w:val="00682747"/>
    <w:rsid w:val="006839D9"/>
    <w:rsid w:val="00683B1A"/>
    <w:rsid w:val="00684E1F"/>
    <w:rsid w:val="00684FF0"/>
    <w:rsid w:val="006852B6"/>
    <w:rsid w:val="00685603"/>
    <w:rsid w:val="00686D74"/>
    <w:rsid w:val="00687151"/>
    <w:rsid w:val="00687BCA"/>
    <w:rsid w:val="0069000E"/>
    <w:rsid w:val="0069086A"/>
    <w:rsid w:val="006912C9"/>
    <w:rsid w:val="00691435"/>
    <w:rsid w:val="006915E7"/>
    <w:rsid w:val="00691CD7"/>
    <w:rsid w:val="0069292F"/>
    <w:rsid w:val="0069439F"/>
    <w:rsid w:val="00695002"/>
    <w:rsid w:val="00695105"/>
    <w:rsid w:val="006951C5"/>
    <w:rsid w:val="00695383"/>
    <w:rsid w:val="0069543C"/>
    <w:rsid w:val="00695744"/>
    <w:rsid w:val="00696039"/>
    <w:rsid w:val="00696339"/>
    <w:rsid w:val="00696E7B"/>
    <w:rsid w:val="00697493"/>
    <w:rsid w:val="0069751F"/>
    <w:rsid w:val="006979C8"/>
    <w:rsid w:val="00697B8B"/>
    <w:rsid w:val="00697C3A"/>
    <w:rsid w:val="006A05B0"/>
    <w:rsid w:val="006A0D3E"/>
    <w:rsid w:val="006A0FF1"/>
    <w:rsid w:val="006A132E"/>
    <w:rsid w:val="006A1B67"/>
    <w:rsid w:val="006A1DBC"/>
    <w:rsid w:val="006A295B"/>
    <w:rsid w:val="006A2977"/>
    <w:rsid w:val="006A3C34"/>
    <w:rsid w:val="006A4360"/>
    <w:rsid w:val="006A4472"/>
    <w:rsid w:val="006A496E"/>
    <w:rsid w:val="006A4AF1"/>
    <w:rsid w:val="006A5322"/>
    <w:rsid w:val="006A53A9"/>
    <w:rsid w:val="006A5A4D"/>
    <w:rsid w:val="006A607B"/>
    <w:rsid w:val="006A622A"/>
    <w:rsid w:val="006A678A"/>
    <w:rsid w:val="006A6C42"/>
    <w:rsid w:val="006A7043"/>
    <w:rsid w:val="006A7123"/>
    <w:rsid w:val="006A7B05"/>
    <w:rsid w:val="006B0001"/>
    <w:rsid w:val="006B1B76"/>
    <w:rsid w:val="006B2B0C"/>
    <w:rsid w:val="006B3CB7"/>
    <w:rsid w:val="006B4091"/>
    <w:rsid w:val="006B4B43"/>
    <w:rsid w:val="006B4EEA"/>
    <w:rsid w:val="006B507D"/>
    <w:rsid w:val="006B5548"/>
    <w:rsid w:val="006B5C94"/>
    <w:rsid w:val="006B5E50"/>
    <w:rsid w:val="006B63A0"/>
    <w:rsid w:val="006B6F3A"/>
    <w:rsid w:val="006B7131"/>
    <w:rsid w:val="006B7418"/>
    <w:rsid w:val="006C0805"/>
    <w:rsid w:val="006C0C48"/>
    <w:rsid w:val="006C0F08"/>
    <w:rsid w:val="006C1A77"/>
    <w:rsid w:val="006C1EB6"/>
    <w:rsid w:val="006C2BC2"/>
    <w:rsid w:val="006C2C41"/>
    <w:rsid w:val="006C2E8E"/>
    <w:rsid w:val="006C34D7"/>
    <w:rsid w:val="006C43D0"/>
    <w:rsid w:val="006C462C"/>
    <w:rsid w:val="006C5357"/>
    <w:rsid w:val="006C5F69"/>
    <w:rsid w:val="006C62EF"/>
    <w:rsid w:val="006C78BB"/>
    <w:rsid w:val="006C7CBB"/>
    <w:rsid w:val="006C7EF7"/>
    <w:rsid w:val="006D075B"/>
    <w:rsid w:val="006D0F87"/>
    <w:rsid w:val="006D112C"/>
    <w:rsid w:val="006D1858"/>
    <w:rsid w:val="006D1DC3"/>
    <w:rsid w:val="006D1FB0"/>
    <w:rsid w:val="006D20D7"/>
    <w:rsid w:val="006D27CD"/>
    <w:rsid w:val="006D2C55"/>
    <w:rsid w:val="006D466C"/>
    <w:rsid w:val="006D5446"/>
    <w:rsid w:val="006D556F"/>
    <w:rsid w:val="006D5608"/>
    <w:rsid w:val="006D5D2B"/>
    <w:rsid w:val="006D604C"/>
    <w:rsid w:val="006D61A2"/>
    <w:rsid w:val="006D6306"/>
    <w:rsid w:val="006D67AA"/>
    <w:rsid w:val="006D72D7"/>
    <w:rsid w:val="006D7329"/>
    <w:rsid w:val="006E0CF4"/>
    <w:rsid w:val="006E0EB1"/>
    <w:rsid w:val="006E10C7"/>
    <w:rsid w:val="006E19E0"/>
    <w:rsid w:val="006E1A3C"/>
    <w:rsid w:val="006E1D8C"/>
    <w:rsid w:val="006E293C"/>
    <w:rsid w:val="006E2CBC"/>
    <w:rsid w:val="006E3225"/>
    <w:rsid w:val="006E32C8"/>
    <w:rsid w:val="006E3DEA"/>
    <w:rsid w:val="006E4430"/>
    <w:rsid w:val="006E450A"/>
    <w:rsid w:val="006E5C48"/>
    <w:rsid w:val="006E5C77"/>
    <w:rsid w:val="006E6D9A"/>
    <w:rsid w:val="006E6E04"/>
    <w:rsid w:val="006E7AB3"/>
    <w:rsid w:val="006E7DB5"/>
    <w:rsid w:val="006E7F5A"/>
    <w:rsid w:val="006F13FA"/>
    <w:rsid w:val="006F1514"/>
    <w:rsid w:val="006F153F"/>
    <w:rsid w:val="006F1A0C"/>
    <w:rsid w:val="006F1D30"/>
    <w:rsid w:val="006F2089"/>
    <w:rsid w:val="006F2952"/>
    <w:rsid w:val="006F2D71"/>
    <w:rsid w:val="006F4D5B"/>
    <w:rsid w:val="006F4F1D"/>
    <w:rsid w:val="006F5A1D"/>
    <w:rsid w:val="006F5AB4"/>
    <w:rsid w:val="006F5F05"/>
    <w:rsid w:val="006F6EA2"/>
    <w:rsid w:val="006F7355"/>
    <w:rsid w:val="006F7554"/>
    <w:rsid w:val="006F7998"/>
    <w:rsid w:val="006F7B19"/>
    <w:rsid w:val="006F7D8B"/>
    <w:rsid w:val="00700164"/>
    <w:rsid w:val="00700939"/>
    <w:rsid w:val="00700A8A"/>
    <w:rsid w:val="00700DE9"/>
    <w:rsid w:val="00700F1F"/>
    <w:rsid w:val="00701448"/>
    <w:rsid w:val="00701791"/>
    <w:rsid w:val="00701C9E"/>
    <w:rsid w:val="00701E0D"/>
    <w:rsid w:val="00702678"/>
    <w:rsid w:val="0070294D"/>
    <w:rsid w:val="007055EA"/>
    <w:rsid w:val="007059BA"/>
    <w:rsid w:val="007069C6"/>
    <w:rsid w:val="007069E6"/>
    <w:rsid w:val="00706DB3"/>
    <w:rsid w:val="00706DD2"/>
    <w:rsid w:val="00706DFA"/>
    <w:rsid w:val="00707038"/>
    <w:rsid w:val="007079D6"/>
    <w:rsid w:val="00711DDF"/>
    <w:rsid w:val="0071239C"/>
    <w:rsid w:val="0071280A"/>
    <w:rsid w:val="00712B47"/>
    <w:rsid w:val="00712D65"/>
    <w:rsid w:val="00713CA1"/>
    <w:rsid w:val="00714886"/>
    <w:rsid w:val="007149B1"/>
    <w:rsid w:val="007160B3"/>
    <w:rsid w:val="007167CE"/>
    <w:rsid w:val="007168DD"/>
    <w:rsid w:val="00716E02"/>
    <w:rsid w:val="0071711B"/>
    <w:rsid w:val="00717371"/>
    <w:rsid w:val="0071784A"/>
    <w:rsid w:val="007179EA"/>
    <w:rsid w:val="007201D2"/>
    <w:rsid w:val="007209EC"/>
    <w:rsid w:val="00720B7E"/>
    <w:rsid w:val="00721976"/>
    <w:rsid w:val="00722061"/>
    <w:rsid w:val="00722918"/>
    <w:rsid w:val="00722EFB"/>
    <w:rsid w:val="007231F6"/>
    <w:rsid w:val="0072387D"/>
    <w:rsid w:val="0072388B"/>
    <w:rsid w:val="00723E4E"/>
    <w:rsid w:val="0072472F"/>
    <w:rsid w:val="00724A34"/>
    <w:rsid w:val="007251B4"/>
    <w:rsid w:val="007261A6"/>
    <w:rsid w:val="007268E0"/>
    <w:rsid w:val="00726F00"/>
    <w:rsid w:val="00730292"/>
    <w:rsid w:val="007313FF"/>
    <w:rsid w:val="00731E11"/>
    <w:rsid w:val="007325DD"/>
    <w:rsid w:val="007328CA"/>
    <w:rsid w:val="00732AE5"/>
    <w:rsid w:val="00732CB4"/>
    <w:rsid w:val="007341FA"/>
    <w:rsid w:val="0073431D"/>
    <w:rsid w:val="00734923"/>
    <w:rsid w:val="00734AFC"/>
    <w:rsid w:val="0073551B"/>
    <w:rsid w:val="00735C42"/>
    <w:rsid w:val="00735F4F"/>
    <w:rsid w:val="00736C6E"/>
    <w:rsid w:val="00736F1A"/>
    <w:rsid w:val="00737A4A"/>
    <w:rsid w:val="00737A97"/>
    <w:rsid w:val="007411F5"/>
    <w:rsid w:val="007412F9"/>
    <w:rsid w:val="007414AF"/>
    <w:rsid w:val="00741576"/>
    <w:rsid w:val="00741613"/>
    <w:rsid w:val="007418F0"/>
    <w:rsid w:val="00741920"/>
    <w:rsid w:val="00741B59"/>
    <w:rsid w:val="00742010"/>
    <w:rsid w:val="007424F0"/>
    <w:rsid w:val="00742545"/>
    <w:rsid w:val="007429E7"/>
    <w:rsid w:val="007434FA"/>
    <w:rsid w:val="00743767"/>
    <w:rsid w:val="00743F28"/>
    <w:rsid w:val="007444FA"/>
    <w:rsid w:val="007445AA"/>
    <w:rsid w:val="00744D69"/>
    <w:rsid w:val="0074600D"/>
    <w:rsid w:val="00746133"/>
    <w:rsid w:val="00746325"/>
    <w:rsid w:val="00746842"/>
    <w:rsid w:val="007468ED"/>
    <w:rsid w:val="00747374"/>
    <w:rsid w:val="0074744D"/>
    <w:rsid w:val="0074798E"/>
    <w:rsid w:val="0075013F"/>
    <w:rsid w:val="00750430"/>
    <w:rsid w:val="00750D60"/>
    <w:rsid w:val="00750D86"/>
    <w:rsid w:val="00751418"/>
    <w:rsid w:val="00751738"/>
    <w:rsid w:val="00751BE3"/>
    <w:rsid w:val="00751E39"/>
    <w:rsid w:val="00751EAB"/>
    <w:rsid w:val="00752155"/>
    <w:rsid w:val="007529FE"/>
    <w:rsid w:val="00753F57"/>
    <w:rsid w:val="007548C0"/>
    <w:rsid w:val="00754A49"/>
    <w:rsid w:val="00755449"/>
    <w:rsid w:val="007554C6"/>
    <w:rsid w:val="00755E1C"/>
    <w:rsid w:val="007567C8"/>
    <w:rsid w:val="00757377"/>
    <w:rsid w:val="0075739F"/>
    <w:rsid w:val="007578A9"/>
    <w:rsid w:val="007601BA"/>
    <w:rsid w:val="007603D8"/>
    <w:rsid w:val="00760559"/>
    <w:rsid w:val="0076091B"/>
    <w:rsid w:val="00760BA7"/>
    <w:rsid w:val="007619EB"/>
    <w:rsid w:val="00761E09"/>
    <w:rsid w:val="0076279D"/>
    <w:rsid w:val="007635C3"/>
    <w:rsid w:val="007639D3"/>
    <w:rsid w:val="00763F05"/>
    <w:rsid w:val="00763F4C"/>
    <w:rsid w:val="007640CD"/>
    <w:rsid w:val="0076419D"/>
    <w:rsid w:val="00764362"/>
    <w:rsid w:val="00764639"/>
    <w:rsid w:val="00764B9C"/>
    <w:rsid w:val="007650E7"/>
    <w:rsid w:val="0076546C"/>
    <w:rsid w:val="00765940"/>
    <w:rsid w:val="00765A99"/>
    <w:rsid w:val="00765D50"/>
    <w:rsid w:val="00765F56"/>
    <w:rsid w:val="00765F5F"/>
    <w:rsid w:val="00766378"/>
    <w:rsid w:val="00766745"/>
    <w:rsid w:val="00766E21"/>
    <w:rsid w:val="00767631"/>
    <w:rsid w:val="007703F7"/>
    <w:rsid w:val="00771161"/>
    <w:rsid w:val="00771AC9"/>
    <w:rsid w:val="00771CA0"/>
    <w:rsid w:val="007732EB"/>
    <w:rsid w:val="007733C9"/>
    <w:rsid w:val="0077442F"/>
    <w:rsid w:val="00774555"/>
    <w:rsid w:val="00775337"/>
    <w:rsid w:val="0077613C"/>
    <w:rsid w:val="007763A6"/>
    <w:rsid w:val="00777849"/>
    <w:rsid w:val="00777A06"/>
    <w:rsid w:val="00777AB6"/>
    <w:rsid w:val="00777BC4"/>
    <w:rsid w:val="00777C1D"/>
    <w:rsid w:val="0078008A"/>
    <w:rsid w:val="00780E9C"/>
    <w:rsid w:val="00781A3B"/>
    <w:rsid w:val="007820C6"/>
    <w:rsid w:val="00782CAC"/>
    <w:rsid w:val="00782F56"/>
    <w:rsid w:val="007832AE"/>
    <w:rsid w:val="00783302"/>
    <w:rsid w:val="007833AF"/>
    <w:rsid w:val="00783ECF"/>
    <w:rsid w:val="007842E0"/>
    <w:rsid w:val="00784A33"/>
    <w:rsid w:val="007857AD"/>
    <w:rsid w:val="00785D3D"/>
    <w:rsid w:val="00786511"/>
    <w:rsid w:val="00786817"/>
    <w:rsid w:val="00786DBF"/>
    <w:rsid w:val="007878B6"/>
    <w:rsid w:val="00787A6E"/>
    <w:rsid w:val="00787ACF"/>
    <w:rsid w:val="00787DE6"/>
    <w:rsid w:val="00791692"/>
    <w:rsid w:val="00792240"/>
    <w:rsid w:val="007928F6"/>
    <w:rsid w:val="00792B0C"/>
    <w:rsid w:val="007931F0"/>
    <w:rsid w:val="007931FD"/>
    <w:rsid w:val="00793E7E"/>
    <w:rsid w:val="0079414A"/>
    <w:rsid w:val="007944EF"/>
    <w:rsid w:val="007958AC"/>
    <w:rsid w:val="00796C1E"/>
    <w:rsid w:val="00796E9A"/>
    <w:rsid w:val="0079702D"/>
    <w:rsid w:val="00797422"/>
    <w:rsid w:val="0079789E"/>
    <w:rsid w:val="00797B47"/>
    <w:rsid w:val="007A0870"/>
    <w:rsid w:val="007A0D3A"/>
    <w:rsid w:val="007A106C"/>
    <w:rsid w:val="007A155F"/>
    <w:rsid w:val="007A2081"/>
    <w:rsid w:val="007A2D35"/>
    <w:rsid w:val="007A31DF"/>
    <w:rsid w:val="007A3470"/>
    <w:rsid w:val="007A3899"/>
    <w:rsid w:val="007A3D7C"/>
    <w:rsid w:val="007A3F41"/>
    <w:rsid w:val="007A4644"/>
    <w:rsid w:val="007A4A00"/>
    <w:rsid w:val="007A50DC"/>
    <w:rsid w:val="007A5992"/>
    <w:rsid w:val="007A5BB5"/>
    <w:rsid w:val="007A5D92"/>
    <w:rsid w:val="007A5E22"/>
    <w:rsid w:val="007A6DDB"/>
    <w:rsid w:val="007A7186"/>
    <w:rsid w:val="007A7400"/>
    <w:rsid w:val="007A76B7"/>
    <w:rsid w:val="007A772E"/>
    <w:rsid w:val="007A7792"/>
    <w:rsid w:val="007A79E8"/>
    <w:rsid w:val="007B0853"/>
    <w:rsid w:val="007B0A90"/>
    <w:rsid w:val="007B13E4"/>
    <w:rsid w:val="007B14ED"/>
    <w:rsid w:val="007B1EE4"/>
    <w:rsid w:val="007B1F51"/>
    <w:rsid w:val="007B2560"/>
    <w:rsid w:val="007B2758"/>
    <w:rsid w:val="007B28A5"/>
    <w:rsid w:val="007B34B6"/>
    <w:rsid w:val="007B35BF"/>
    <w:rsid w:val="007B386E"/>
    <w:rsid w:val="007B4962"/>
    <w:rsid w:val="007B4E89"/>
    <w:rsid w:val="007B51F6"/>
    <w:rsid w:val="007B5AB4"/>
    <w:rsid w:val="007B5BDB"/>
    <w:rsid w:val="007B5CFC"/>
    <w:rsid w:val="007B6C49"/>
    <w:rsid w:val="007B6EFB"/>
    <w:rsid w:val="007B7088"/>
    <w:rsid w:val="007C06DF"/>
    <w:rsid w:val="007C0C5A"/>
    <w:rsid w:val="007C10EC"/>
    <w:rsid w:val="007C1B4E"/>
    <w:rsid w:val="007C1B6A"/>
    <w:rsid w:val="007C1C1C"/>
    <w:rsid w:val="007C2D2E"/>
    <w:rsid w:val="007C2EE9"/>
    <w:rsid w:val="007C32F7"/>
    <w:rsid w:val="007C3511"/>
    <w:rsid w:val="007C3806"/>
    <w:rsid w:val="007C3927"/>
    <w:rsid w:val="007C3CCB"/>
    <w:rsid w:val="007C46E3"/>
    <w:rsid w:val="007C4EAC"/>
    <w:rsid w:val="007C53B1"/>
    <w:rsid w:val="007C5FC9"/>
    <w:rsid w:val="007C6179"/>
    <w:rsid w:val="007C668E"/>
    <w:rsid w:val="007C69AE"/>
    <w:rsid w:val="007C6B16"/>
    <w:rsid w:val="007C70C4"/>
    <w:rsid w:val="007C7544"/>
    <w:rsid w:val="007C755F"/>
    <w:rsid w:val="007C7D9C"/>
    <w:rsid w:val="007D021E"/>
    <w:rsid w:val="007D0349"/>
    <w:rsid w:val="007D0C42"/>
    <w:rsid w:val="007D0DC0"/>
    <w:rsid w:val="007D0FC3"/>
    <w:rsid w:val="007D10B0"/>
    <w:rsid w:val="007D146E"/>
    <w:rsid w:val="007D1ACD"/>
    <w:rsid w:val="007D1DE2"/>
    <w:rsid w:val="007D206C"/>
    <w:rsid w:val="007D332F"/>
    <w:rsid w:val="007D3A58"/>
    <w:rsid w:val="007D3FDB"/>
    <w:rsid w:val="007D4485"/>
    <w:rsid w:val="007D4532"/>
    <w:rsid w:val="007D488D"/>
    <w:rsid w:val="007D50E8"/>
    <w:rsid w:val="007D5744"/>
    <w:rsid w:val="007D5BE7"/>
    <w:rsid w:val="007D5D28"/>
    <w:rsid w:val="007D6E3B"/>
    <w:rsid w:val="007D7F03"/>
    <w:rsid w:val="007E08A9"/>
    <w:rsid w:val="007E0910"/>
    <w:rsid w:val="007E09C8"/>
    <w:rsid w:val="007E0A13"/>
    <w:rsid w:val="007E0F01"/>
    <w:rsid w:val="007E110C"/>
    <w:rsid w:val="007E1218"/>
    <w:rsid w:val="007E1A7C"/>
    <w:rsid w:val="007E2142"/>
    <w:rsid w:val="007E24F3"/>
    <w:rsid w:val="007E2D95"/>
    <w:rsid w:val="007E3438"/>
    <w:rsid w:val="007E36AD"/>
    <w:rsid w:val="007E3A9C"/>
    <w:rsid w:val="007E4B38"/>
    <w:rsid w:val="007E4E49"/>
    <w:rsid w:val="007E5386"/>
    <w:rsid w:val="007E5AAC"/>
    <w:rsid w:val="007E62FD"/>
    <w:rsid w:val="007E6653"/>
    <w:rsid w:val="007E67D3"/>
    <w:rsid w:val="007E7041"/>
    <w:rsid w:val="007E7D1C"/>
    <w:rsid w:val="007F015F"/>
    <w:rsid w:val="007F0523"/>
    <w:rsid w:val="007F0D2D"/>
    <w:rsid w:val="007F0F19"/>
    <w:rsid w:val="007F19FB"/>
    <w:rsid w:val="007F1C42"/>
    <w:rsid w:val="007F2164"/>
    <w:rsid w:val="007F260F"/>
    <w:rsid w:val="007F2FB0"/>
    <w:rsid w:val="007F3304"/>
    <w:rsid w:val="007F4688"/>
    <w:rsid w:val="007F4813"/>
    <w:rsid w:val="007F4955"/>
    <w:rsid w:val="007F4ABC"/>
    <w:rsid w:val="007F4F7C"/>
    <w:rsid w:val="007F5CBF"/>
    <w:rsid w:val="007F640A"/>
    <w:rsid w:val="007F6526"/>
    <w:rsid w:val="007F6A50"/>
    <w:rsid w:val="007F7691"/>
    <w:rsid w:val="007F7BBB"/>
    <w:rsid w:val="007F7E32"/>
    <w:rsid w:val="008000DD"/>
    <w:rsid w:val="008004D3"/>
    <w:rsid w:val="00800557"/>
    <w:rsid w:val="00800C16"/>
    <w:rsid w:val="00800C9D"/>
    <w:rsid w:val="0080140C"/>
    <w:rsid w:val="008019A8"/>
    <w:rsid w:val="00802A45"/>
    <w:rsid w:val="00802D98"/>
    <w:rsid w:val="00802F61"/>
    <w:rsid w:val="00803097"/>
    <w:rsid w:val="00803342"/>
    <w:rsid w:val="008036B1"/>
    <w:rsid w:val="00803E26"/>
    <w:rsid w:val="00804020"/>
    <w:rsid w:val="008040F1"/>
    <w:rsid w:val="0080424D"/>
    <w:rsid w:val="00804295"/>
    <w:rsid w:val="00804C41"/>
    <w:rsid w:val="008059EE"/>
    <w:rsid w:val="00805D7F"/>
    <w:rsid w:val="008072A2"/>
    <w:rsid w:val="00807585"/>
    <w:rsid w:val="00807F00"/>
    <w:rsid w:val="0081018B"/>
    <w:rsid w:val="008103C1"/>
    <w:rsid w:val="008104BC"/>
    <w:rsid w:val="00810629"/>
    <w:rsid w:val="00810C67"/>
    <w:rsid w:val="008116F7"/>
    <w:rsid w:val="0081188F"/>
    <w:rsid w:val="00811F82"/>
    <w:rsid w:val="008120D1"/>
    <w:rsid w:val="008124EF"/>
    <w:rsid w:val="008129B3"/>
    <w:rsid w:val="008131E9"/>
    <w:rsid w:val="0081336D"/>
    <w:rsid w:val="00813558"/>
    <w:rsid w:val="00813C27"/>
    <w:rsid w:val="00813DE2"/>
    <w:rsid w:val="00814B6F"/>
    <w:rsid w:val="00814C03"/>
    <w:rsid w:val="00815814"/>
    <w:rsid w:val="00815A87"/>
    <w:rsid w:val="0081620B"/>
    <w:rsid w:val="008171A3"/>
    <w:rsid w:val="0081767E"/>
    <w:rsid w:val="00817A2F"/>
    <w:rsid w:val="00817BEC"/>
    <w:rsid w:val="00817DD8"/>
    <w:rsid w:val="00817F15"/>
    <w:rsid w:val="00820E66"/>
    <w:rsid w:val="00820ED9"/>
    <w:rsid w:val="00821014"/>
    <w:rsid w:val="008211AE"/>
    <w:rsid w:val="008226E2"/>
    <w:rsid w:val="00822729"/>
    <w:rsid w:val="00823E12"/>
    <w:rsid w:val="00824976"/>
    <w:rsid w:val="00824C28"/>
    <w:rsid w:val="00825135"/>
    <w:rsid w:val="0082514E"/>
    <w:rsid w:val="00826242"/>
    <w:rsid w:val="00826389"/>
    <w:rsid w:val="00826A88"/>
    <w:rsid w:val="00827462"/>
    <w:rsid w:val="0082749A"/>
    <w:rsid w:val="008276B4"/>
    <w:rsid w:val="008277EC"/>
    <w:rsid w:val="00830937"/>
    <w:rsid w:val="008309A8"/>
    <w:rsid w:val="00830B79"/>
    <w:rsid w:val="00830BFF"/>
    <w:rsid w:val="00831976"/>
    <w:rsid w:val="008322DE"/>
    <w:rsid w:val="008327FD"/>
    <w:rsid w:val="008334E3"/>
    <w:rsid w:val="00833C0E"/>
    <w:rsid w:val="00834297"/>
    <w:rsid w:val="00834BB4"/>
    <w:rsid w:val="00835326"/>
    <w:rsid w:val="00835421"/>
    <w:rsid w:val="00836AAF"/>
    <w:rsid w:val="00836FDA"/>
    <w:rsid w:val="00837074"/>
    <w:rsid w:val="0084018E"/>
    <w:rsid w:val="00840542"/>
    <w:rsid w:val="00840996"/>
    <w:rsid w:val="00840C91"/>
    <w:rsid w:val="008412A8"/>
    <w:rsid w:val="008422F2"/>
    <w:rsid w:val="00842763"/>
    <w:rsid w:val="00842B80"/>
    <w:rsid w:val="00842C2F"/>
    <w:rsid w:val="00842CCA"/>
    <w:rsid w:val="008445F5"/>
    <w:rsid w:val="00844A32"/>
    <w:rsid w:val="00844BB1"/>
    <w:rsid w:val="00844E81"/>
    <w:rsid w:val="0084506D"/>
    <w:rsid w:val="008453ED"/>
    <w:rsid w:val="0084593C"/>
    <w:rsid w:val="00846727"/>
    <w:rsid w:val="008468D4"/>
    <w:rsid w:val="00846F92"/>
    <w:rsid w:val="0084715F"/>
    <w:rsid w:val="00847671"/>
    <w:rsid w:val="008476B4"/>
    <w:rsid w:val="0084798C"/>
    <w:rsid w:val="00847ED4"/>
    <w:rsid w:val="008500EE"/>
    <w:rsid w:val="00850358"/>
    <w:rsid w:val="00850545"/>
    <w:rsid w:val="00850725"/>
    <w:rsid w:val="00851224"/>
    <w:rsid w:val="00851342"/>
    <w:rsid w:val="008515C7"/>
    <w:rsid w:val="00851A34"/>
    <w:rsid w:val="00852201"/>
    <w:rsid w:val="008524FA"/>
    <w:rsid w:val="00852963"/>
    <w:rsid w:val="00853E1E"/>
    <w:rsid w:val="00854235"/>
    <w:rsid w:val="00854305"/>
    <w:rsid w:val="00854C92"/>
    <w:rsid w:val="0085527F"/>
    <w:rsid w:val="00855D5C"/>
    <w:rsid w:val="00856B1D"/>
    <w:rsid w:val="00856D4E"/>
    <w:rsid w:val="00856F0A"/>
    <w:rsid w:val="00856F91"/>
    <w:rsid w:val="008573C8"/>
    <w:rsid w:val="00860049"/>
    <w:rsid w:val="00860171"/>
    <w:rsid w:val="00860288"/>
    <w:rsid w:val="00860F4B"/>
    <w:rsid w:val="008614D2"/>
    <w:rsid w:val="00861A62"/>
    <w:rsid w:val="00861DD5"/>
    <w:rsid w:val="0086236E"/>
    <w:rsid w:val="00862D19"/>
    <w:rsid w:val="0086357A"/>
    <w:rsid w:val="0086382B"/>
    <w:rsid w:val="00864521"/>
    <w:rsid w:val="0086492B"/>
    <w:rsid w:val="00864C70"/>
    <w:rsid w:val="00864ED9"/>
    <w:rsid w:val="00865D74"/>
    <w:rsid w:val="00865FDA"/>
    <w:rsid w:val="00866014"/>
    <w:rsid w:val="00866477"/>
    <w:rsid w:val="008665F8"/>
    <w:rsid w:val="00866F88"/>
    <w:rsid w:val="00870024"/>
    <w:rsid w:val="00870627"/>
    <w:rsid w:val="00870B50"/>
    <w:rsid w:val="00870C01"/>
    <w:rsid w:val="00871048"/>
    <w:rsid w:val="0087114E"/>
    <w:rsid w:val="008716BB"/>
    <w:rsid w:val="00871B5A"/>
    <w:rsid w:val="00871D06"/>
    <w:rsid w:val="00871E5F"/>
    <w:rsid w:val="00872072"/>
    <w:rsid w:val="00872419"/>
    <w:rsid w:val="00872A4C"/>
    <w:rsid w:val="00872CD0"/>
    <w:rsid w:val="00872DED"/>
    <w:rsid w:val="00872E7B"/>
    <w:rsid w:val="00872FC4"/>
    <w:rsid w:val="00872FCF"/>
    <w:rsid w:val="00873411"/>
    <w:rsid w:val="00873695"/>
    <w:rsid w:val="00873B34"/>
    <w:rsid w:val="00874396"/>
    <w:rsid w:val="0087444D"/>
    <w:rsid w:val="00874477"/>
    <w:rsid w:val="00874DBB"/>
    <w:rsid w:val="00874E46"/>
    <w:rsid w:val="00875A89"/>
    <w:rsid w:val="008767D3"/>
    <w:rsid w:val="0087687B"/>
    <w:rsid w:val="00877461"/>
    <w:rsid w:val="00877771"/>
    <w:rsid w:val="00877EC3"/>
    <w:rsid w:val="00877EC7"/>
    <w:rsid w:val="00880213"/>
    <w:rsid w:val="008807A2"/>
    <w:rsid w:val="00880A70"/>
    <w:rsid w:val="00881416"/>
    <w:rsid w:val="00881AD2"/>
    <w:rsid w:val="00881FA9"/>
    <w:rsid w:val="00883552"/>
    <w:rsid w:val="0088417E"/>
    <w:rsid w:val="0088453F"/>
    <w:rsid w:val="0088520C"/>
    <w:rsid w:val="008852FF"/>
    <w:rsid w:val="0088569A"/>
    <w:rsid w:val="00885C75"/>
    <w:rsid w:val="00886340"/>
    <w:rsid w:val="008873E1"/>
    <w:rsid w:val="00890713"/>
    <w:rsid w:val="00890772"/>
    <w:rsid w:val="00891B66"/>
    <w:rsid w:val="008923CE"/>
    <w:rsid w:val="008924C6"/>
    <w:rsid w:val="008928F5"/>
    <w:rsid w:val="008931F2"/>
    <w:rsid w:val="00893456"/>
    <w:rsid w:val="008935A1"/>
    <w:rsid w:val="00893D17"/>
    <w:rsid w:val="0089412D"/>
    <w:rsid w:val="0089419D"/>
    <w:rsid w:val="00894248"/>
    <w:rsid w:val="008945A3"/>
    <w:rsid w:val="008952E9"/>
    <w:rsid w:val="00895A1B"/>
    <w:rsid w:val="00895DBF"/>
    <w:rsid w:val="00897299"/>
    <w:rsid w:val="00897405"/>
    <w:rsid w:val="00897435"/>
    <w:rsid w:val="00897888"/>
    <w:rsid w:val="00897952"/>
    <w:rsid w:val="008A0089"/>
    <w:rsid w:val="008A009D"/>
    <w:rsid w:val="008A0874"/>
    <w:rsid w:val="008A097F"/>
    <w:rsid w:val="008A0D36"/>
    <w:rsid w:val="008A1B02"/>
    <w:rsid w:val="008A1D0E"/>
    <w:rsid w:val="008A2106"/>
    <w:rsid w:val="008A231D"/>
    <w:rsid w:val="008A246C"/>
    <w:rsid w:val="008A2726"/>
    <w:rsid w:val="008A305B"/>
    <w:rsid w:val="008A3825"/>
    <w:rsid w:val="008A419E"/>
    <w:rsid w:val="008A4233"/>
    <w:rsid w:val="008A4A9E"/>
    <w:rsid w:val="008A5F1C"/>
    <w:rsid w:val="008A6A58"/>
    <w:rsid w:val="008A6B62"/>
    <w:rsid w:val="008A6E01"/>
    <w:rsid w:val="008A7909"/>
    <w:rsid w:val="008A7EB1"/>
    <w:rsid w:val="008B0769"/>
    <w:rsid w:val="008B094B"/>
    <w:rsid w:val="008B1528"/>
    <w:rsid w:val="008B15C0"/>
    <w:rsid w:val="008B181E"/>
    <w:rsid w:val="008B19BF"/>
    <w:rsid w:val="008B2687"/>
    <w:rsid w:val="008B2CC3"/>
    <w:rsid w:val="008B3630"/>
    <w:rsid w:val="008B4A9D"/>
    <w:rsid w:val="008B4C0A"/>
    <w:rsid w:val="008B6176"/>
    <w:rsid w:val="008B6695"/>
    <w:rsid w:val="008B6B4A"/>
    <w:rsid w:val="008B71B7"/>
    <w:rsid w:val="008C041B"/>
    <w:rsid w:val="008C05D9"/>
    <w:rsid w:val="008C19F4"/>
    <w:rsid w:val="008C1EA4"/>
    <w:rsid w:val="008C21EC"/>
    <w:rsid w:val="008C24BC"/>
    <w:rsid w:val="008C2837"/>
    <w:rsid w:val="008C2B0E"/>
    <w:rsid w:val="008C34BE"/>
    <w:rsid w:val="008C38C3"/>
    <w:rsid w:val="008C4118"/>
    <w:rsid w:val="008C42D2"/>
    <w:rsid w:val="008C42E7"/>
    <w:rsid w:val="008C4738"/>
    <w:rsid w:val="008C47A1"/>
    <w:rsid w:val="008C49A8"/>
    <w:rsid w:val="008C5142"/>
    <w:rsid w:val="008C5A4B"/>
    <w:rsid w:val="008C6EA0"/>
    <w:rsid w:val="008D0085"/>
    <w:rsid w:val="008D0098"/>
    <w:rsid w:val="008D0DD9"/>
    <w:rsid w:val="008D101E"/>
    <w:rsid w:val="008D1665"/>
    <w:rsid w:val="008D1C7D"/>
    <w:rsid w:val="008D1EAB"/>
    <w:rsid w:val="008D2587"/>
    <w:rsid w:val="008D2859"/>
    <w:rsid w:val="008D28C3"/>
    <w:rsid w:val="008D3765"/>
    <w:rsid w:val="008D3C07"/>
    <w:rsid w:val="008D453F"/>
    <w:rsid w:val="008D4697"/>
    <w:rsid w:val="008D48BF"/>
    <w:rsid w:val="008D4C33"/>
    <w:rsid w:val="008D4CA9"/>
    <w:rsid w:val="008D4EA9"/>
    <w:rsid w:val="008D50B3"/>
    <w:rsid w:val="008D524B"/>
    <w:rsid w:val="008D6A8C"/>
    <w:rsid w:val="008D7306"/>
    <w:rsid w:val="008D77C3"/>
    <w:rsid w:val="008D7887"/>
    <w:rsid w:val="008D7C78"/>
    <w:rsid w:val="008D7C95"/>
    <w:rsid w:val="008D7E26"/>
    <w:rsid w:val="008E0F25"/>
    <w:rsid w:val="008E1436"/>
    <w:rsid w:val="008E1997"/>
    <w:rsid w:val="008E1A93"/>
    <w:rsid w:val="008E1F8C"/>
    <w:rsid w:val="008E337B"/>
    <w:rsid w:val="008E36C8"/>
    <w:rsid w:val="008E3981"/>
    <w:rsid w:val="008E4980"/>
    <w:rsid w:val="008E4FE6"/>
    <w:rsid w:val="008E5521"/>
    <w:rsid w:val="008E574F"/>
    <w:rsid w:val="008E5D55"/>
    <w:rsid w:val="008E640B"/>
    <w:rsid w:val="008E6A96"/>
    <w:rsid w:val="008F057C"/>
    <w:rsid w:val="008F08EE"/>
    <w:rsid w:val="008F0B91"/>
    <w:rsid w:val="008F0DAA"/>
    <w:rsid w:val="008F11FD"/>
    <w:rsid w:val="008F1455"/>
    <w:rsid w:val="008F19D4"/>
    <w:rsid w:val="008F2A74"/>
    <w:rsid w:val="008F3A0D"/>
    <w:rsid w:val="008F3D61"/>
    <w:rsid w:val="008F3EEC"/>
    <w:rsid w:val="008F44BE"/>
    <w:rsid w:val="008F4611"/>
    <w:rsid w:val="008F483A"/>
    <w:rsid w:val="008F4C25"/>
    <w:rsid w:val="008F64DE"/>
    <w:rsid w:val="008F6A6C"/>
    <w:rsid w:val="008F6ED4"/>
    <w:rsid w:val="008F7424"/>
    <w:rsid w:val="008F7778"/>
    <w:rsid w:val="0090028D"/>
    <w:rsid w:val="00900A44"/>
    <w:rsid w:val="00900B39"/>
    <w:rsid w:val="00900E17"/>
    <w:rsid w:val="00901D34"/>
    <w:rsid w:val="00901E4F"/>
    <w:rsid w:val="00902367"/>
    <w:rsid w:val="00902852"/>
    <w:rsid w:val="009029AF"/>
    <w:rsid w:val="00902E76"/>
    <w:rsid w:val="00902F34"/>
    <w:rsid w:val="00902FA2"/>
    <w:rsid w:val="00904E0F"/>
    <w:rsid w:val="009058F0"/>
    <w:rsid w:val="00906A8C"/>
    <w:rsid w:val="00906F09"/>
    <w:rsid w:val="00906F1C"/>
    <w:rsid w:val="00907867"/>
    <w:rsid w:val="00907C56"/>
    <w:rsid w:val="00907EAF"/>
    <w:rsid w:val="00907F9B"/>
    <w:rsid w:val="009103ED"/>
    <w:rsid w:val="00910742"/>
    <w:rsid w:val="00911147"/>
    <w:rsid w:val="0091283E"/>
    <w:rsid w:val="00913202"/>
    <w:rsid w:val="009132F2"/>
    <w:rsid w:val="00913398"/>
    <w:rsid w:val="009134B0"/>
    <w:rsid w:val="009134BC"/>
    <w:rsid w:val="009137E2"/>
    <w:rsid w:val="009141EB"/>
    <w:rsid w:val="009149D6"/>
    <w:rsid w:val="00914CDF"/>
    <w:rsid w:val="00915731"/>
    <w:rsid w:val="00915754"/>
    <w:rsid w:val="00915B0B"/>
    <w:rsid w:val="00915CCA"/>
    <w:rsid w:val="00915FAB"/>
    <w:rsid w:val="00917A8F"/>
    <w:rsid w:val="009208EA"/>
    <w:rsid w:val="009212C0"/>
    <w:rsid w:val="00921AC6"/>
    <w:rsid w:val="00922290"/>
    <w:rsid w:val="00922657"/>
    <w:rsid w:val="00922FCC"/>
    <w:rsid w:val="009234F8"/>
    <w:rsid w:val="00923613"/>
    <w:rsid w:val="00923843"/>
    <w:rsid w:val="0092447E"/>
    <w:rsid w:val="00924869"/>
    <w:rsid w:val="00925768"/>
    <w:rsid w:val="0092612C"/>
    <w:rsid w:val="009263AB"/>
    <w:rsid w:val="009265E3"/>
    <w:rsid w:val="009266A0"/>
    <w:rsid w:val="0092690B"/>
    <w:rsid w:val="00926C55"/>
    <w:rsid w:val="00926FBE"/>
    <w:rsid w:val="009271A4"/>
    <w:rsid w:val="00927239"/>
    <w:rsid w:val="009273DA"/>
    <w:rsid w:val="009277F8"/>
    <w:rsid w:val="009277FB"/>
    <w:rsid w:val="00927E07"/>
    <w:rsid w:val="00927FC8"/>
    <w:rsid w:val="00930186"/>
    <w:rsid w:val="009305E1"/>
    <w:rsid w:val="0093060D"/>
    <w:rsid w:val="00930AC7"/>
    <w:rsid w:val="00930FED"/>
    <w:rsid w:val="0093134A"/>
    <w:rsid w:val="0093139D"/>
    <w:rsid w:val="00931E89"/>
    <w:rsid w:val="0093250E"/>
    <w:rsid w:val="009328A3"/>
    <w:rsid w:val="00932EDF"/>
    <w:rsid w:val="00933765"/>
    <w:rsid w:val="009341E8"/>
    <w:rsid w:val="00934CA4"/>
    <w:rsid w:val="00934D77"/>
    <w:rsid w:val="00935345"/>
    <w:rsid w:val="009354AE"/>
    <w:rsid w:val="00935F05"/>
    <w:rsid w:val="00936433"/>
    <w:rsid w:val="00936D7E"/>
    <w:rsid w:val="00937209"/>
    <w:rsid w:val="009373F9"/>
    <w:rsid w:val="00937474"/>
    <w:rsid w:val="00937486"/>
    <w:rsid w:val="00937B0D"/>
    <w:rsid w:val="0094063A"/>
    <w:rsid w:val="00940C88"/>
    <w:rsid w:val="009414F2"/>
    <w:rsid w:val="009415C5"/>
    <w:rsid w:val="009417A2"/>
    <w:rsid w:val="0094189E"/>
    <w:rsid w:val="00941E0E"/>
    <w:rsid w:val="0094207F"/>
    <w:rsid w:val="0094242E"/>
    <w:rsid w:val="009428EF"/>
    <w:rsid w:val="00943520"/>
    <w:rsid w:val="00943DCF"/>
    <w:rsid w:val="00944347"/>
    <w:rsid w:val="009449CF"/>
    <w:rsid w:val="00944B3E"/>
    <w:rsid w:val="0094518F"/>
    <w:rsid w:val="009455C4"/>
    <w:rsid w:val="00946312"/>
    <w:rsid w:val="00946E84"/>
    <w:rsid w:val="0094712C"/>
    <w:rsid w:val="009478D3"/>
    <w:rsid w:val="00947A03"/>
    <w:rsid w:val="0095135F"/>
    <w:rsid w:val="009513CB"/>
    <w:rsid w:val="00952F7D"/>
    <w:rsid w:val="0095327E"/>
    <w:rsid w:val="00953726"/>
    <w:rsid w:val="009537E5"/>
    <w:rsid w:val="0095393D"/>
    <w:rsid w:val="009545AC"/>
    <w:rsid w:val="00955936"/>
    <w:rsid w:val="009559B7"/>
    <w:rsid w:val="00955E97"/>
    <w:rsid w:val="00955EC8"/>
    <w:rsid w:val="00955F8B"/>
    <w:rsid w:val="0095687F"/>
    <w:rsid w:val="00956D1A"/>
    <w:rsid w:val="00957C80"/>
    <w:rsid w:val="00957E04"/>
    <w:rsid w:val="009606C0"/>
    <w:rsid w:val="00960ECC"/>
    <w:rsid w:val="00961254"/>
    <w:rsid w:val="00961B17"/>
    <w:rsid w:val="00961B73"/>
    <w:rsid w:val="00961CD2"/>
    <w:rsid w:val="00961DFE"/>
    <w:rsid w:val="009621E3"/>
    <w:rsid w:val="00962D5D"/>
    <w:rsid w:val="00964BE1"/>
    <w:rsid w:val="00964F89"/>
    <w:rsid w:val="0096502D"/>
    <w:rsid w:val="009655ED"/>
    <w:rsid w:val="009659B7"/>
    <w:rsid w:val="00966847"/>
    <w:rsid w:val="00967D30"/>
    <w:rsid w:val="00967EA1"/>
    <w:rsid w:val="00970F8B"/>
    <w:rsid w:val="0097180E"/>
    <w:rsid w:val="00971FB3"/>
    <w:rsid w:val="0097203D"/>
    <w:rsid w:val="00972508"/>
    <w:rsid w:val="00972AF4"/>
    <w:rsid w:val="00973D95"/>
    <w:rsid w:val="00974404"/>
    <w:rsid w:val="009745B6"/>
    <w:rsid w:val="00974A02"/>
    <w:rsid w:val="009761D9"/>
    <w:rsid w:val="00976A6A"/>
    <w:rsid w:val="00976F89"/>
    <w:rsid w:val="00977529"/>
    <w:rsid w:val="00977FBA"/>
    <w:rsid w:val="00980034"/>
    <w:rsid w:val="00980742"/>
    <w:rsid w:val="00980CDF"/>
    <w:rsid w:val="00980D1D"/>
    <w:rsid w:val="00980E75"/>
    <w:rsid w:val="0098234F"/>
    <w:rsid w:val="00982533"/>
    <w:rsid w:val="009828F6"/>
    <w:rsid w:val="009830EF"/>
    <w:rsid w:val="0098341D"/>
    <w:rsid w:val="00983598"/>
    <w:rsid w:val="0098400F"/>
    <w:rsid w:val="009840DD"/>
    <w:rsid w:val="00984276"/>
    <w:rsid w:val="00984282"/>
    <w:rsid w:val="009848AA"/>
    <w:rsid w:val="009849E8"/>
    <w:rsid w:val="00985011"/>
    <w:rsid w:val="00985795"/>
    <w:rsid w:val="0098628D"/>
    <w:rsid w:val="009862CB"/>
    <w:rsid w:val="00986320"/>
    <w:rsid w:val="0098668F"/>
    <w:rsid w:val="00986ACF"/>
    <w:rsid w:val="00986CF3"/>
    <w:rsid w:val="00986EA7"/>
    <w:rsid w:val="0098765B"/>
    <w:rsid w:val="00987800"/>
    <w:rsid w:val="00987961"/>
    <w:rsid w:val="00987EC1"/>
    <w:rsid w:val="00991B46"/>
    <w:rsid w:val="00991C92"/>
    <w:rsid w:val="00992478"/>
    <w:rsid w:val="00993DDE"/>
    <w:rsid w:val="009941ED"/>
    <w:rsid w:val="00994401"/>
    <w:rsid w:val="00994703"/>
    <w:rsid w:val="00994869"/>
    <w:rsid w:val="00994BEA"/>
    <w:rsid w:val="00994EE2"/>
    <w:rsid w:val="00994FB3"/>
    <w:rsid w:val="0099638F"/>
    <w:rsid w:val="00996862"/>
    <w:rsid w:val="0099686B"/>
    <w:rsid w:val="00997380"/>
    <w:rsid w:val="00997517"/>
    <w:rsid w:val="00997ABE"/>
    <w:rsid w:val="00997B41"/>
    <w:rsid w:val="00997B6C"/>
    <w:rsid w:val="00997C2D"/>
    <w:rsid w:val="00997CC7"/>
    <w:rsid w:val="009A03CE"/>
    <w:rsid w:val="009A087A"/>
    <w:rsid w:val="009A0A7A"/>
    <w:rsid w:val="009A0D94"/>
    <w:rsid w:val="009A0FC5"/>
    <w:rsid w:val="009A153D"/>
    <w:rsid w:val="009A1FDF"/>
    <w:rsid w:val="009A2A72"/>
    <w:rsid w:val="009A334B"/>
    <w:rsid w:val="009A3C13"/>
    <w:rsid w:val="009A41F9"/>
    <w:rsid w:val="009A4580"/>
    <w:rsid w:val="009A51A6"/>
    <w:rsid w:val="009A55E0"/>
    <w:rsid w:val="009A5982"/>
    <w:rsid w:val="009A6F57"/>
    <w:rsid w:val="009A70C9"/>
    <w:rsid w:val="009A7260"/>
    <w:rsid w:val="009A7482"/>
    <w:rsid w:val="009A74AA"/>
    <w:rsid w:val="009A76AC"/>
    <w:rsid w:val="009A777E"/>
    <w:rsid w:val="009A7C06"/>
    <w:rsid w:val="009B0D60"/>
    <w:rsid w:val="009B1A49"/>
    <w:rsid w:val="009B1AAC"/>
    <w:rsid w:val="009B25AC"/>
    <w:rsid w:val="009B2723"/>
    <w:rsid w:val="009B2837"/>
    <w:rsid w:val="009B2ACE"/>
    <w:rsid w:val="009B313B"/>
    <w:rsid w:val="009B3431"/>
    <w:rsid w:val="009B39AE"/>
    <w:rsid w:val="009B547B"/>
    <w:rsid w:val="009B5574"/>
    <w:rsid w:val="009B6491"/>
    <w:rsid w:val="009B657C"/>
    <w:rsid w:val="009B68E8"/>
    <w:rsid w:val="009B6F11"/>
    <w:rsid w:val="009B70BB"/>
    <w:rsid w:val="009B7163"/>
    <w:rsid w:val="009B71FB"/>
    <w:rsid w:val="009B76F6"/>
    <w:rsid w:val="009B7890"/>
    <w:rsid w:val="009B7B6E"/>
    <w:rsid w:val="009C06DE"/>
    <w:rsid w:val="009C0AEB"/>
    <w:rsid w:val="009C0DC7"/>
    <w:rsid w:val="009C1094"/>
    <w:rsid w:val="009C14EE"/>
    <w:rsid w:val="009C2101"/>
    <w:rsid w:val="009C24FB"/>
    <w:rsid w:val="009C3DF5"/>
    <w:rsid w:val="009C4CFC"/>
    <w:rsid w:val="009C55EB"/>
    <w:rsid w:val="009C58DD"/>
    <w:rsid w:val="009C5DD4"/>
    <w:rsid w:val="009C63BC"/>
    <w:rsid w:val="009C690F"/>
    <w:rsid w:val="009C736E"/>
    <w:rsid w:val="009D0255"/>
    <w:rsid w:val="009D077E"/>
    <w:rsid w:val="009D0858"/>
    <w:rsid w:val="009D0DD4"/>
    <w:rsid w:val="009D1F22"/>
    <w:rsid w:val="009D323C"/>
    <w:rsid w:val="009D339E"/>
    <w:rsid w:val="009D347C"/>
    <w:rsid w:val="009D357D"/>
    <w:rsid w:val="009D362D"/>
    <w:rsid w:val="009D37B7"/>
    <w:rsid w:val="009D3DEA"/>
    <w:rsid w:val="009D3FBB"/>
    <w:rsid w:val="009D4228"/>
    <w:rsid w:val="009D44E6"/>
    <w:rsid w:val="009D4697"/>
    <w:rsid w:val="009D4758"/>
    <w:rsid w:val="009D4930"/>
    <w:rsid w:val="009D4B78"/>
    <w:rsid w:val="009D50FD"/>
    <w:rsid w:val="009D59D4"/>
    <w:rsid w:val="009D5D04"/>
    <w:rsid w:val="009D7456"/>
    <w:rsid w:val="009D74E3"/>
    <w:rsid w:val="009D7EA2"/>
    <w:rsid w:val="009D7FE1"/>
    <w:rsid w:val="009E02F2"/>
    <w:rsid w:val="009E04C9"/>
    <w:rsid w:val="009E086F"/>
    <w:rsid w:val="009E0B3E"/>
    <w:rsid w:val="009E0C91"/>
    <w:rsid w:val="009E13FA"/>
    <w:rsid w:val="009E2E6B"/>
    <w:rsid w:val="009E308D"/>
    <w:rsid w:val="009E3CD2"/>
    <w:rsid w:val="009E430E"/>
    <w:rsid w:val="009E44B7"/>
    <w:rsid w:val="009E4909"/>
    <w:rsid w:val="009E4935"/>
    <w:rsid w:val="009E4FD0"/>
    <w:rsid w:val="009E5480"/>
    <w:rsid w:val="009E662A"/>
    <w:rsid w:val="009E6882"/>
    <w:rsid w:val="009E7CC1"/>
    <w:rsid w:val="009E7E7A"/>
    <w:rsid w:val="009E7EC3"/>
    <w:rsid w:val="009F06C4"/>
    <w:rsid w:val="009F0EA9"/>
    <w:rsid w:val="009F1A00"/>
    <w:rsid w:val="009F1CE5"/>
    <w:rsid w:val="009F1D01"/>
    <w:rsid w:val="009F1E61"/>
    <w:rsid w:val="009F2313"/>
    <w:rsid w:val="009F2472"/>
    <w:rsid w:val="009F2587"/>
    <w:rsid w:val="009F30B9"/>
    <w:rsid w:val="009F3114"/>
    <w:rsid w:val="009F4895"/>
    <w:rsid w:val="009F4B43"/>
    <w:rsid w:val="009F4EEB"/>
    <w:rsid w:val="009F5C5E"/>
    <w:rsid w:val="009F5EF9"/>
    <w:rsid w:val="009F674A"/>
    <w:rsid w:val="009F6E87"/>
    <w:rsid w:val="009F7007"/>
    <w:rsid w:val="009F72FB"/>
    <w:rsid w:val="009F7F75"/>
    <w:rsid w:val="009F7FDD"/>
    <w:rsid w:val="00A00277"/>
    <w:rsid w:val="00A00813"/>
    <w:rsid w:val="00A00890"/>
    <w:rsid w:val="00A01143"/>
    <w:rsid w:val="00A014A4"/>
    <w:rsid w:val="00A01590"/>
    <w:rsid w:val="00A0161A"/>
    <w:rsid w:val="00A01990"/>
    <w:rsid w:val="00A01AE4"/>
    <w:rsid w:val="00A01F18"/>
    <w:rsid w:val="00A029C1"/>
    <w:rsid w:val="00A03A8D"/>
    <w:rsid w:val="00A03FD1"/>
    <w:rsid w:val="00A0437B"/>
    <w:rsid w:val="00A043C7"/>
    <w:rsid w:val="00A047BB"/>
    <w:rsid w:val="00A04AA6"/>
    <w:rsid w:val="00A05155"/>
    <w:rsid w:val="00A063EE"/>
    <w:rsid w:val="00A06A33"/>
    <w:rsid w:val="00A07E59"/>
    <w:rsid w:val="00A106DD"/>
    <w:rsid w:val="00A108F6"/>
    <w:rsid w:val="00A1189B"/>
    <w:rsid w:val="00A11AE7"/>
    <w:rsid w:val="00A12618"/>
    <w:rsid w:val="00A126E2"/>
    <w:rsid w:val="00A1271B"/>
    <w:rsid w:val="00A13551"/>
    <w:rsid w:val="00A13575"/>
    <w:rsid w:val="00A14A2D"/>
    <w:rsid w:val="00A14A76"/>
    <w:rsid w:val="00A1594F"/>
    <w:rsid w:val="00A159D6"/>
    <w:rsid w:val="00A15BB6"/>
    <w:rsid w:val="00A15C16"/>
    <w:rsid w:val="00A15EEB"/>
    <w:rsid w:val="00A15FAC"/>
    <w:rsid w:val="00A169A9"/>
    <w:rsid w:val="00A16E28"/>
    <w:rsid w:val="00A16E35"/>
    <w:rsid w:val="00A174FE"/>
    <w:rsid w:val="00A17A75"/>
    <w:rsid w:val="00A21AEF"/>
    <w:rsid w:val="00A2208E"/>
    <w:rsid w:val="00A232EC"/>
    <w:rsid w:val="00A23389"/>
    <w:rsid w:val="00A23A9B"/>
    <w:rsid w:val="00A23EF0"/>
    <w:rsid w:val="00A24314"/>
    <w:rsid w:val="00A25010"/>
    <w:rsid w:val="00A2587A"/>
    <w:rsid w:val="00A2652D"/>
    <w:rsid w:val="00A26535"/>
    <w:rsid w:val="00A26769"/>
    <w:rsid w:val="00A26BF5"/>
    <w:rsid w:val="00A27444"/>
    <w:rsid w:val="00A2799A"/>
    <w:rsid w:val="00A27C6C"/>
    <w:rsid w:val="00A27EFA"/>
    <w:rsid w:val="00A30B85"/>
    <w:rsid w:val="00A31789"/>
    <w:rsid w:val="00A323EE"/>
    <w:rsid w:val="00A329E3"/>
    <w:rsid w:val="00A3315A"/>
    <w:rsid w:val="00A33841"/>
    <w:rsid w:val="00A33D39"/>
    <w:rsid w:val="00A3487C"/>
    <w:rsid w:val="00A34A07"/>
    <w:rsid w:val="00A352E1"/>
    <w:rsid w:val="00A355A1"/>
    <w:rsid w:val="00A355B6"/>
    <w:rsid w:val="00A3625D"/>
    <w:rsid w:val="00A3633A"/>
    <w:rsid w:val="00A3649A"/>
    <w:rsid w:val="00A367C5"/>
    <w:rsid w:val="00A369D2"/>
    <w:rsid w:val="00A36D07"/>
    <w:rsid w:val="00A37301"/>
    <w:rsid w:val="00A37721"/>
    <w:rsid w:val="00A40377"/>
    <w:rsid w:val="00A40571"/>
    <w:rsid w:val="00A40A44"/>
    <w:rsid w:val="00A40B32"/>
    <w:rsid w:val="00A40D80"/>
    <w:rsid w:val="00A40DED"/>
    <w:rsid w:val="00A411A5"/>
    <w:rsid w:val="00A413BB"/>
    <w:rsid w:val="00A42105"/>
    <w:rsid w:val="00A42440"/>
    <w:rsid w:val="00A4271F"/>
    <w:rsid w:val="00A4380F"/>
    <w:rsid w:val="00A43DEE"/>
    <w:rsid w:val="00A4480C"/>
    <w:rsid w:val="00A4532E"/>
    <w:rsid w:val="00A4577F"/>
    <w:rsid w:val="00A45CAB"/>
    <w:rsid w:val="00A46111"/>
    <w:rsid w:val="00A462D9"/>
    <w:rsid w:val="00A4630F"/>
    <w:rsid w:val="00A46BD8"/>
    <w:rsid w:val="00A474D9"/>
    <w:rsid w:val="00A47674"/>
    <w:rsid w:val="00A47CC6"/>
    <w:rsid w:val="00A47DB7"/>
    <w:rsid w:val="00A509F3"/>
    <w:rsid w:val="00A50C15"/>
    <w:rsid w:val="00A50C6F"/>
    <w:rsid w:val="00A511EC"/>
    <w:rsid w:val="00A51F94"/>
    <w:rsid w:val="00A52214"/>
    <w:rsid w:val="00A5272B"/>
    <w:rsid w:val="00A52C6E"/>
    <w:rsid w:val="00A5341A"/>
    <w:rsid w:val="00A534BC"/>
    <w:rsid w:val="00A53603"/>
    <w:rsid w:val="00A5497C"/>
    <w:rsid w:val="00A54E72"/>
    <w:rsid w:val="00A551BC"/>
    <w:rsid w:val="00A5556A"/>
    <w:rsid w:val="00A555FB"/>
    <w:rsid w:val="00A563E1"/>
    <w:rsid w:val="00A56AF5"/>
    <w:rsid w:val="00A56F28"/>
    <w:rsid w:val="00A57CE4"/>
    <w:rsid w:val="00A57F32"/>
    <w:rsid w:val="00A6061F"/>
    <w:rsid w:val="00A608CE"/>
    <w:rsid w:val="00A60F8E"/>
    <w:rsid w:val="00A61184"/>
    <w:rsid w:val="00A615CC"/>
    <w:rsid w:val="00A61C07"/>
    <w:rsid w:val="00A61DDF"/>
    <w:rsid w:val="00A61E3B"/>
    <w:rsid w:val="00A622BD"/>
    <w:rsid w:val="00A6236C"/>
    <w:rsid w:val="00A62BF2"/>
    <w:rsid w:val="00A6396D"/>
    <w:rsid w:val="00A63C69"/>
    <w:rsid w:val="00A660B5"/>
    <w:rsid w:val="00A6697B"/>
    <w:rsid w:val="00A66DF0"/>
    <w:rsid w:val="00A66E2D"/>
    <w:rsid w:val="00A6727B"/>
    <w:rsid w:val="00A67280"/>
    <w:rsid w:val="00A6738C"/>
    <w:rsid w:val="00A67635"/>
    <w:rsid w:val="00A701CB"/>
    <w:rsid w:val="00A705C9"/>
    <w:rsid w:val="00A70D06"/>
    <w:rsid w:val="00A71282"/>
    <w:rsid w:val="00A712E4"/>
    <w:rsid w:val="00A714E3"/>
    <w:rsid w:val="00A71D3A"/>
    <w:rsid w:val="00A71F54"/>
    <w:rsid w:val="00A72339"/>
    <w:rsid w:val="00A723E6"/>
    <w:rsid w:val="00A7273D"/>
    <w:rsid w:val="00A7288E"/>
    <w:rsid w:val="00A72BD1"/>
    <w:rsid w:val="00A733CA"/>
    <w:rsid w:val="00A73A03"/>
    <w:rsid w:val="00A745C6"/>
    <w:rsid w:val="00A7471F"/>
    <w:rsid w:val="00A74BF6"/>
    <w:rsid w:val="00A7576F"/>
    <w:rsid w:val="00A757B4"/>
    <w:rsid w:val="00A75A39"/>
    <w:rsid w:val="00A7641D"/>
    <w:rsid w:val="00A76A4C"/>
    <w:rsid w:val="00A80D48"/>
    <w:rsid w:val="00A8139B"/>
    <w:rsid w:val="00A81EFE"/>
    <w:rsid w:val="00A823EC"/>
    <w:rsid w:val="00A82B70"/>
    <w:rsid w:val="00A82F87"/>
    <w:rsid w:val="00A83181"/>
    <w:rsid w:val="00A831C0"/>
    <w:rsid w:val="00A84AE5"/>
    <w:rsid w:val="00A85E0F"/>
    <w:rsid w:val="00A8662D"/>
    <w:rsid w:val="00A869C0"/>
    <w:rsid w:val="00A86A61"/>
    <w:rsid w:val="00A86ACA"/>
    <w:rsid w:val="00A86DD8"/>
    <w:rsid w:val="00A86EFE"/>
    <w:rsid w:val="00A86FFA"/>
    <w:rsid w:val="00A870CE"/>
    <w:rsid w:val="00A8738B"/>
    <w:rsid w:val="00A8767B"/>
    <w:rsid w:val="00A87720"/>
    <w:rsid w:val="00A87C2A"/>
    <w:rsid w:val="00A900AF"/>
    <w:rsid w:val="00A900D3"/>
    <w:rsid w:val="00A90BB0"/>
    <w:rsid w:val="00A90D2F"/>
    <w:rsid w:val="00A913A7"/>
    <w:rsid w:val="00A92216"/>
    <w:rsid w:val="00A92265"/>
    <w:rsid w:val="00A923A7"/>
    <w:rsid w:val="00A9277D"/>
    <w:rsid w:val="00A931C0"/>
    <w:rsid w:val="00A9330E"/>
    <w:rsid w:val="00A9384C"/>
    <w:rsid w:val="00A938D2"/>
    <w:rsid w:val="00A943ED"/>
    <w:rsid w:val="00A94A45"/>
    <w:rsid w:val="00A94EDF"/>
    <w:rsid w:val="00A950CD"/>
    <w:rsid w:val="00A955FC"/>
    <w:rsid w:val="00A9560E"/>
    <w:rsid w:val="00A96451"/>
    <w:rsid w:val="00A968B1"/>
    <w:rsid w:val="00A97083"/>
    <w:rsid w:val="00A9792F"/>
    <w:rsid w:val="00A97B99"/>
    <w:rsid w:val="00AA0427"/>
    <w:rsid w:val="00AA055F"/>
    <w:rsid w:val="00AA0BD8"/>
    <w:rsid w:val="00AA1433"/>
    <w:rsid w:val="00AA1564"/>
    <w:rsid w:val="00AA18A6"/>
    <w:rsid w:val="00AA1D4E"/>
    <w:rsid w:val="00AA1DC7"/>
    <w:rsid w:val="00AA20DF"/>
    <w:rsid w:val="00AA2212"/>
    <w:rsid w:val="00AA3100"/>
    <w:rsid w:val="00AA36E2"/>
    <w:rsid w:val="00AA39D7"/>
    <w:rsid w:val="00AA523D"/>
    <w:rsid w:val="00AA68FC"/>
    <w:rsid w:val="00AA7917"/>
    <w:rsid w:val="00AA7B4C"/>
    <w:rsid w:val="00AB0F60"/>
    <w:rsid w:val="00AB1159"/>
    <w:rsid w:val="00AB1A45"/>
    <w:rsid w:val="00AB20F6"/>
    <w:rsid w:val="00AB2318"/>
    <w:rsid w:val="00AB3069"/>
    <w:rsid w:val="00AB3BEC"/>
    <w:rsid w:val="00AB41B7"/>
    <w:rsid w:val="00AB43CB"/>
    <w:rsid w:val="00AB4BED"/>
    <w:rsid w:val="00AB4C9B"/>
    <w:rsid w:val="00AB52AD"/>
    <w:rsid w:val="00AB5341"/>
    <w:rsid w:val="00AB5B01"/>
    <w:rsid w:val="00AB5B85"/>
    <w:rsid w:val="00AB5DB9"/>
    <w:rsid w:val="00AB5F61"/>
    <w:rsid w:val="00AB5F8A"/>
    <w:rsid w:val="00AB6209"/>
    <w:rsid w:val="00AB628A"/>
    <w:rsid w:val="00AB6A27"/>
    <w:rsid w:val="00AB7C97"/>
    <w:rsid w:val="00AB7ED6"/>
    <w:rsid w:val="00AB7EF6"/>
    <w:rsid w:val="00AB7EFA"/>
    <w:rsid w:val="00AC0248"/>
    <w:rsid w:val="00AC10E6"/>
    <w:rsid w:val="00AC22AA"/>
    <w:rsid w:val="00AC341B"/>
    <w:rsid w:val="00AC3725"/>
    <w:rsid w:val="00AC41DC"/>
    <w:rsid w:val="00AC4F93"/>
    <w:rsid w:val="00AC5425"/>
    <w:rsid w:val="00AC5435"/>
    <w:rsid w:val="00AC5DC8"/>
    <w:rsid w:val="00AC5DE6"/>
    <w:rsid w:val="00AC638C"/>
    <w:rsid w:val="00AC6856"/>
    <w:rsid w:val="00AC7083"/>
    <w:rsid w:val="00AC71A0"/>
    <w:rsid w:val="00AC7985"/>
    <w:rsid w:val="00AD05AA"/>
    <w:rsid w:val="00AD11F6"/>
    <w:rsid w:val="00AD1AA9"/>
    <w:rsid w:val="00AD2960"/>
    <w:rsid w:val="00AD2970"/>
    <w:rsid w:val="00AD3852"/>
    <w:rsid w:val="00AD3A6F"/>
    <w:rsid w:val="00AD3B27"/>
    <w:rsid w:val="00AD47DC"/>
    <w:rsid w:val="00AD4BF1"/>
    <w:rsid w:val="00AD4F52"/>
    <w:rsid w:val="00AD598E"/>
    <w:rsid w:val="00AD5A6D"/>
    <w:rsid w:val="00AD68C3"/>
    <w:rsid w:val="00AD71E3"/>
    <w:rsid w:val="00AD788B"/>
    <w:rsid w:val="00AD7BA6"/>
    <w:rsid w:val="00AD7F07"/>
    <w:rsid w:val="00AE0987"/>
    <w:rsid w:val="00AE0D13"/>
    <w:rsid w:val="00AE16B8"/>
    <w:rsid w:val="00AE177C"/>
    <w:rsid w:val="00AE2689"/>
    <w:rsid w:val="00AE3687"/>
    <w:rsid w:val="00AE3A20"/>
    <w:rsid w:val="00AE43A6"/>
    <w:rsid w:val="00AE49B8"/>
    <w:rsid w:val="00AE503C"/>
    <w:rsid w:val="00AE58AC"/>
    <w:rsid w:val="00AE5B65"/>
    <w:rsid w:val="00AE6230"/>
    <w:rsid w:val="00AE653B"/>
    <w:rsid w:val="00AE696C"/>
    <w:rsid w:val="00AE74B8"/>
    <w:rsid w:val="00AE757B"/>
    <w:rsid w:val="00AF1136"/>
    <w:rsid w:val="00AF1616"/>
    <w:rsid w:val="00AF22FB"/>
    <w:rsid w:val="00AF2C3D"/>
    <w:rsid w:val="00AF2F33"/>
    <w:rsid w:val="00AF32FE"/>
    <w:rsid w:val="00AF3677"/>
    <w:rsid w:val="00AF3A12"/>
    <w:rsid w:val="00AF49DF"/>
    <w:rsid w:val="00AF4CEF"/>
    <w:rsid w:val="00AF4D16"/>
    <w:rsid w:val="00AF51FF"/>
    <w:rsid w:val="00AF53B7"/>
    <w:rsid w:val="00AF566E"/>
    <w:rsid w:val="00AF74F8"/>
    <w:rsid w:val="00AF75B1"/>
    <w:rsid w:val="00B001CA"/>
    <w:rsid w:val="00B001EA"/>
    <w:rsid w:val="00B00775"/>
    <w:rsid w:val="00B00A57"/>
    <w:rsid w:val="00B00A69"/>
    <w:rsid w:val="00B022BD"/>
    <w:rsid w:val="00B03049"/>
    <w:rsid w:val="00B0327D"/>
    <w:rsid w:val="00B0356C"/>
    <w:rsid w:val="00B04819"/>
    <w:rsid w:val="00B04D1D"/>
    <w:rsid w:val="00B04E68"/>
    <w:rsid w:val="00B05BD4"/>
    <w:rsid w:val="00B05EED"/>
    <w:rsid w:val="00B05FA8"/>
    <w:rsid w:val="00B06DDC"/>
    <w:rsid w:val="00B07672"/>
    <w:rsid w:val="00B07AF4"/>
    <w:rsid w:val="00B07EC4"/>
    <w:rsid w:val="00B104A1"/>
    <w:rsid w:val="00B10956"/>
    <w:rsid w:val="00B1151A"/>
    <w:rsid w:val="00B115A8"/>
    <w:rsid w:val="00B11A3E"/>
    <w:rsid w:val="00B11DD3"/>
    <w:rsid w:val="00B13953"/>
    <w:rsid w:val="00B14575"/>
    <w:rsid w:val="00B1475A"/>
    <w:rsid w:val="00B14DDC"/>
    <w:rsid w:val="00B14E88"/>
    <w:rsid w:val="00B14F72"/>
    <w:rsid w:val="00B162BA"/>
    <w:rsid w:val="00B16341"/>
    <w:rsid w:val="00B168D7"/>
    <w:rsid w:val="00B16D51"/>
    <w:rsid w:val="00B16E1B"/>
    <w:rsid w:val="00B1737C"/>
    <w:rsid w:val="00B17CB7"/>
    <w:rsid w:val="00B17F36"/>
    <w:rsid w:val="00B20765"/>
    <w:rsid w:val="00B2092D"/>
    <w:rsid w:val="00B20AAB"/>
    <w:rsid w:val="00B2128D"/>
    <w:rsid w:val="00B217FD"/>
    <w:rsid w:val="00B21A1E"/>
    <w:rsid w:val="00B22724"/>
    <w:rsid w:val="00B22B33"/>
    <w:rsid w:val="00B23165"/>
    <w:rsid w:val="00B238E9"/>
    <w:rsid w:val="00B23905"/>
    <w:rsid w:val="00B249CE"/>
    <w:rsid w:val="00B25EFD"/>
    <w:rsid w:val="00B264D4"/>
    <w:rsid w:val="00B2662E"/>
    <w:rsid w:val="00B2681B"/>
    <w:rsid w:val="00B26845"/>
    <w:rsid w:val="00B26A86"/>
    <w:rsid w:val="00B270D1"/>
    <w:rsid w:val="00B27209"/>
    <w:rsid w:val="00B27482"/>
    <w:rsid w:val="00B278FA"/>
    <w:rsid w:val="00B27AF9"/>
    <w:rsid w:val="00B31309"/>
    <w:rsid w:val="00B318AD"/>
    <w:rsid w:val="00B32F53"/>
    <w:rsid w:val="00B331B9"/>
    <w:rsid w:val="00B33609"/>
    <w:rsid w:val="00B33C4B"/>
    <w:rsid w:val="00B33E3E"/>
    <w:rsid w:val="00B33ED2"/>
    <w:rsid w:val="00B33EDD"/>
    <w:rsid w:val="00B33FC7"/>
    <w:rsid w:val="00B346B8"/>
    <w:rsid w:val="00B347AF"/>
    <w:rsid w:val="00B35CA4"/>
    <w:rsid w:val="00B36F1A"/>
    <w:rsid w:val="00B3777F"/>
    <w:rsid w:val="00B379EC"/>
    <w:rsid w:val="00B400A0"/>
    <w:rsid w:val="00B40553"/>
    <w:rsid w:val="00B4124E"/>
    <w:rsid w:val="00B4133D"/>
    <w:rsid w:val="00B41FF0"/>
    <w:rsid w:val="00B42100"/>
    <w:rsid w:val="00B431CD"/>
    <w:rsid w:val="00B43394"/>
    <w:rsid w:val="00B438A5"/>
    <w:rsid w:val="00B43C16"/>
    <w:rsid w:val="00B44133"/>
    <w:rsid w:val="00B44386"/>
    <w:rsid w:val="00B44687"/>
    <w:rsid w:val="00B4494F"/>
    <w:rsid w:val="00B44AA5"/>
    <w:rsid w:val="00B452A7"/>
    <w:rsid w:val="00B458A0"/>
    <w:rsid w:val="00B459CB"/>
    <w:rsid w:val="00B460F0"/>
    <w:rsid w:val="00B470C8"/>
    <w:rsid w:val="00B471FA"/>
    <w:rsid w:val="00B50127"/>
    <w:rsid w:val="00B50222"/>
    <w:rsid w:val="00B50557"/>
    <w:rsid w:val="00B505B7"/>
    <w:rsid w:val="00B50E88"/>
    <w:rsid w:val="00B512E2"/>
    <w:rsid w:val="00B52063"/>
    <w:rsid w:val="00B5229C"/>
    <w:rsid w:val="00B524D1"/>
    <w:rsid w:val="00B52A89"/>
    <w:rsid w:val="00B530CD"/>
    <w:rsid w:val="00B53300"/>
    <w:rsid w:val="00B5355C"/>
    <w:rsid w:val="00B536E6"/>
    <w:rsid w:val="00B53C12"/>
    <w:rsid w:val="00B542D6"/>
    <w:rsid w:val="00B54351"/>
    <w:rsid w:val="00B54A07"/>
    <w:rsid w:val="00B54B94"/>
    <w:rsid w:val="00B54CAE"/>
    <w:rsid w:val="00B55DAE"/>
    <w:rsid w:val="00B56192"/>
    <w:rsid w:val="00B5655E"/>
    <w:rsid w:val="00B56AB7"/>
    <w:rsid w:val="00B60244"/>
    <w:rsid w:val="00B60774"/>
    <w:rsid w:val="00B60A30"/>
    <w:rsid w:val="00B6233C"/>
    <w:rsid w:val="00B6275C"/>
    <w:rsid w:val="00B62E9E"/>
    <w:rsid w:val="00B63376"/>
    <w:rsid w:val="00B63C6F"/>
    <w:rsid w:val="00B63CF0"/>
    <w:rsid w:val="00B64004"/>
    <w:rsid w:val="00B64375"/>
    <w:rsid w:val="00B644FB"/>
    <w:rsid w:val="00B64BCF"/>
    <w:rsid w:val="00B6562F"/>
    <w:rsid w:val="00B6569C"/>
    <w:rsid w:val="00B66556"/>
    <w:rsid w:val="00B665E0"/>
    <w:rsid w:val="00B6666E"/>
    <w:rsid w:val="00B6698F"/>
    <w:rsid w:val="00B700A8"/>
    <w:rsid w:val="00B70618"/>
    <w:rsid w:val="00B708F6"/>
    <w:rsid w:val="00B70AC1"/>
    <w:rsid w:val="00B71CFC"/>
    <w:rsid w:val="00B7267E"/>
    <w:rsid w:val="00B7289C"/>
    <w:rsid w:val="00B731CE"/>
    <w:rsid w:val="00B735EA"/>
    <w:rsid w:val="00B742D0"/>
    <w:rsid w:val="00B75455"/>
    <w:rsid w:val="00B75B12"/>
    <w:rsid w:val="00B75D39"/>
    <w:rsid w:val="00B76AE2"/>
    <w:rsid w:val="00B76EA3"/>
    <w:rsid w:val="00B76FE7"/>
    <w:rsid w:val="00B771BC"/>
    <w:rsid w:val="00B7764C"/>
    <w:rsid w:val="00B80573"/>
    <w:rsid w:val="00B80977"/>
    <w:rsid w:val="00B80D2F"/>
    <w:rsid w:val="00B815B8"/>
    <w:rsid w:val="00B81B17"/>
    <w:rsid w:val="00B81B40"/>
    <w:rsid w:val="00B82345"/>
    <w:rsid w:val="00B82A5E"/>
    <w:rsid w:val="00B833FA"/>
    <w:rsid w:val="00B834FB"/>
    <w:rsid w:val="00B83602"/>
    <w:rsid w:val="00B83854"/>
    <w:rsid w:val="00B8460D"/>
    <w:rsid w:val="00B8480F"/>
    <w:rsid w:val="00B84E7E"/>
    <w:rsid w:val="00B84F05"/>
    <w:rsid w:val="00B852D8"/>
    <w:rsid w:val="00B8584A"/>
    <w:rsid w:val="00B866EA"/>
    <w:rsid w:val="00B8719A"/>
    <w:rsid w:val="00B8767D"/>
    <w:rsid w:val="00B87C7E"/>
    <w:rsid w:val="00B907D7"/>
    <w:rsid w:val="00B90959"/>
    <w:rsid w:val="00B90DD9"/>
    <w:rsid w:val="00B91110"/>
    <w:rsid w:val="00B91462"/>
    <w:rsid w:val="00B91B2E"/>
    <w:rsid w:val="00B91C48"/>
    <w:rsid w:val="00B9326E"/>
    <w:rsid w:val="00B93476"/>
    <w:rsid w:val="00B93C0A"/>
    <w:rsid w:val="00B9477A"/>
    <w:rsid w:val="00B94B59"/>
    <w:rsid w:val="00B94D72"/>
    <w:rsid w:val="00B94F43"/>
    <w:rsid w:val="00B9585D"/>
    <w:rsid w:val="00B960A0"/>
    <w:rsid w:val="00B96301"/>
    <w:rsid w:val="00B96DAA"/>
    <w:rsid w:val="00B97651"/>
    <w:rsid w:val="00B97AB8"/>
    <w:rsid w:val="00B97EBF"/>
    <w:rsid w:val="00B97F69"/>
    <w:rsid w:val="00B97FE6"/>
    <w:rsid w:val="00BA03D5"/>
    <w:rsid w:val="00BA03E0"/>
    <w:rsid w:val="00BA0476"/>
    <w:rsid w:val="00BA0A62"/>
    <w:rsid w:val="00BA0EF4"/>
    <w:rsid w:val="00BA1280"/>
    <w:rsid w:val="00BA2187"/>
    <w:rsid w:val="00BA24C9"/>
    <w:rsid w:val="00BA3098"/>
    <w:rsid w:val="00BA3482"/>
    <w:rsid w:val="00BA3E68"/>
    <w:rsid w:val="00BA47FF"/>
    <w:rsid w:val="00BA4A0E"/>
    <w:rsid w:val="00BA574E"/>
    <w:rsid w:val="00BA5858"/>
    <w:rsid w:val="00BA5968"/>
    <w:rsid w:val="00BA62F2"/>
    <w:rsid w:val="00BA6A79"/>
    <w:rsid w:val="00BA6E1E"/>
    <w:rsid w:val="00BA7A4E"/>
    <w:rsid w:val="00BB1CD0"/>
    <w:rsid w:val="00BB21B7"/>
    <w:rsid w:val="00BB2AC6"/>
    <w:rsid w:val="00BB31A1"/>
    <w:rsid w:val="00BB3792"/>
    <w:rsid w:val="00BB3793"/>
    <w:rsid w:val="00BB38AA"/>
    <w:rsid w:val="00BB3BC9"/>
    <w:rsid w:val="00BB3D7D"/>
    <w:rsid w:val="00BB40D7"/>
    <w:rsid w:val="00BB46ED"/>
    <w:rsid w:val="00BB48B4"/>
    <w:rsid w:val="00BB4F6E"/>
    <w:rsid w:val="00BB512F"/>
    <w:rsid w:val="00BB534B"/>
    <w:rsid w:val="00BB5F81"/>
    <w:rsid w:val="00BB6E6A"/>
    <w:rsid w:val="00BB72C2"/>
    <w:rsid w:val="00BB757D"/>
    <w:rsid w:val="00BB76A7"/>
    <w:rsid w:val="00BB776D"/>
    <w:rsid w:val="00BC01C5"/>
    <w:rsid w:val="00BC0736"/>
    <w:rsid w:val="00BC07EA"/>
    <w:rsid w:val="00BC0D41"/>
    <w:rsid w:val="00BC1946"/>
    <w:rsid w:val="00BC221E"/>
    <w:rsid w:val="00BC2502"/>
    <w:rsid w:val="00BC251C"/>
    <w:rsid w:val="00BC2988"/>
    <w:rsid w:val="00BC3EE7"/>
    <w:rsid w:val="00BC43D6"/>
    <w:rsid w:val="00BC4426"/>
    <w:rsid w:val="00BC44D5"/>
    <w:rsid w:val="00BC4670"/>
    <w:rsid w:val="00BC468D"/>
    <w:rsid w:val="00BC47F9"/>
    <w:rsid w:val="00BC489E"/>
    <w:rsid w:val="00BC4E2D"/>
    <w:rsid w:val="00BC4FAF"/>
    <w:rsid w:val="00BC592C"/>
    <w:rsid w:val="00BC5C27"/>
    <w:rsid w:val="00BC6708"/>
    <w:rsid w:val="00BC6C85"/>
    <w:rsid w:val="00BC6E0A"/>
    <w:rsid w:val="00BC7529"/>
    <w:rsid w:val="00BC75F8"/>
    <w:rsid w:val="00BC7678"/>
    <w:rsid w:val="00BC7FA3"/>
    <w:rsid w:val="00BD0CF8"/>
    <w:rsid w:val="00BD0D7F"/>
    <w:rsid w:val="00BD0FC3"/>
    <w:rsid w:val="00BD11AF"/>
    <w:rsid w:val="00BD1C7D"/>
    <w:rsid w:val="00BD1E12"/>
    <w:rsid w:val="00BD1E53"/>
    <w:rsid w:val="00BD1E6B"/>
    <w:rsid w:val="00BD1F43"/>
    <w:rsid w:val="00BD215C"/>
    <w:rsid w:val="00BD243C"/>
    <w:rsid w:val="00BD26F0"/>
    <w:rsid w:val="00BD2A3E"/>
    <w:rsid w:val="00BD33FF"/>
    <w:rsid w:val="00BD3CF1"/>
    <w:rsid w:val="00BD3F39"/>
    <w:rsid w:val="00BD41C3"/>
    <w:rsid w:val="00BD491D"/>
    <w:rsid w:val="00BD4F1A"/>
    <w:rsid w:val="00BD516F"/>
    <w:rsid w:val="00BD5A04"/>
    <w:rsid w:val="00BD68C1"/>
    <w:rsid w:val="00BE02C7"/>
    <w:rsid w:val="00BE0498"/>
    <w:rsid w:val="00BE0E7B"/>
    <w:rsid w:val="00BE14FD"/>
    <w:rsid w:val="00BE1625"/>
    <w:rsid w:val="00BE1AE5"/>
    <w:rsid w:val="00BE2D5D"/>
    <w:rsid w:val="00BE32BA"/>
    <w:rsid w:val="00BE3689"/>
    <w:rsid w:val="00BE3F2C"/>
    <w:rsid w:val="00BE4BB6"/>
    <w:rsid w:val="00BE4D6C"/>
    <w:rsid w:val="00BE5BC3"/>
    <w:rsid w:val="00BE6730"/>
    <w:rsid w:val="00BE7108"/>
    <w:rsid w:val="00BE7F0D"/>
    <w:rsid w:val="00BF0180"/>
    <w:rsid w:val="00BF01FD"/>
    <w:rsid w:val="00BF0377"/>
    <w:rsid w:val="00BF0DC4"/>
    <w:rsid w:val="00BF135C"/>
    <w:rsid w:val="00BF180C"/>
    <w:rsid w:val="00BF1977"/>
    <w:rsid w:val="00BF1EF5"/>
    <w:rsid w:val="00BF214D"/>
    <w:rsid w:val="00BF221E"/>
    <w:rsid w:val="00BF2FB3"/>
    <w:rsid w:val="00BF34E7"/>
    <w:rsid w:val="00BF368B"/>
    <w:rsid w:val="00BF3D3F"/>
    <w:rsid w:val="00BF3F05"/>
    <w:rsid w:val="00BF451A"/>
    <w:rsid w:val="00BF45BD"/>
    <w:rsid w:val="00BF5164"/>
    <w:rsid w:val="00BF517C"/>
    <w:rsid w:val="00BF549F"/>
    <w:rsid w:val="00BF5633"/>
    <w:rsid w:val="00BF5902"/>
    <w:rsid w:val="00BF641C"/>
    <w:rsid w:val="00BF65EB"/>
    <w:rsid w:val="00BF6C99"/>
    <w:rsid w:val="00BF7175"/>
    <w:rsid w:val="00BF7364"/>
    <w:rsid w:val="00BF7A68"/>
    <w:rsid w:val="00BF7AC4"/>
    <w:rsid w:val="00BF7B32"/>
    <w:rsid w:val="00C000E6"/>
    <w:rsid w:val="00C0011B"/>
    <w:rsid w:val="00C00419"/>
    <w:rsid w:val="00C014A8"/>
    <w:rsid w:val="00C01B3B"/>
    <w:rsid w:val="00C01DB1"/>
    <w:rsid w:val="00C02377"/>
    <w:rsid w:val="00C025D0"/>
    <w:rsid w:val="00C02DE2"/>
    <w:rsid w:val="00C03117"/>
    <w:rsid w:val="00C03394"/>
    <w:rsid w:val="00C03C83"/>
    <w:rsid w:val="00C0421C"/>
    <w:rsid w:val="00C04687"/>
    <w:rsid w:val="00C04BE1"/>
    <w:rsid w:val="00C04FF8"/>
    <w:rsid w:val="00C050D7"/>
    <w:rsid w:val="00C058E8"/>
    <w:rsid w:val="00C05EA6"/>
    <w:rsid w:val="00C0606C"/>
    <w:rsid w:val="00C060DE"/>
    <w:rsid w:val="00C062EC"/>
    <w:rsid w:val="00C06630"/>
    <w:rsid w:val="00C06F13"/>
    <w:rsid w:val="00C07029"/>
    <w:rsid w:val="00C0784B"/>
    <w:rsid w:val="00C07E42"/>
    <w:rsid w:val="00C1290F"/>
    <w:rsid w:val="00C12B98"/>
    <w:rsid w:val="00C13E93"/>
    <w:rsid w:val="00C13F9A"/>
    <w:rsid w:val="00C14136"/>
    <w:rsid w:val="00C14AF1"/>
    <w:rsid w:val="00C14C71"/>
    <w:rsid w:val="00C156C5"/>
    <w:rsid w:val="00C15BCC"/>
    <w:rsid w:val="00C15D94"/>
    <w:rsid w:val="00C15E32"/>
    <w:rsid w:val="00C16AAF"/>
    <w:rsid w:val="00C16B92"/>
    <w:rsid w:val="00C1707A"/>
    <w:rsid w:val="00C1711F"/>
    <w:rsid w:val="00C17471"/>
    <w:rsid w:val="00C177E4"/>
    <w:rsid w:val="00C178CC"/>
    <w:rsid w:val="00C17AEA"/>
    <w:rsid w:val="00C17F76"/>
    <w:rsid w:val="00C20AAF"/>
    <w:rsid w:val="00C20D98"/>
    <w:rsid w:val="00C20DF7"/>
    <w:rsid w:val="00C216AE"/>
    <w:rsid w:val="00C2218E"/>
    <w:rsid w:val="00C233A0"/>
    <w:rsid w:val="00C23B26"/>
    <w:rsid w:val="00C23BDC"/>
    <w:rsid w:val="00C23F13"/>
    <w:rsid w:val="00C24891"/>
    <w:rsid w:val="00C25673"/>
    <w:rsid w:val="00C271FB"/>
    <w:rsid w:val="00C2733F"/>
    <w:rsid w:val="00C27A17"/>
    <w:rsid w:val="00C27D4D"/>
    <w:rsid w:val="00C27E92"/>
    <w:rsid w:val="00C27FAA"/>
    <w:rsid w:val="00C306C7"/>
    <w:rsid w:val="00C30849"/>
    <w:rsid w:val="00C3141E"/>
    <w:rsid w:val="00C31866"/>
    <w:rsid w:val="00C319C4"/>
    <w:rsid w:val="00C32430"/>
    <w:rsid w:val="00C327E8"/>
    <w:rsid w:val="00C32850"/>
    <w:rsid w:val="00C33246"/>
    <w:rsid w:val="00C33F4A"/>
    <w:rsid w:val="00C3424D"/>
    <w:rsid w:val="00C34816"/>
    <w:rsid w:val="00C34DB1"/>
    <w:rsid w:val="00C34F10"/>
    <w:rsid w:val="00C3515B"/>
    <w:rsid w:val="00C35225"/>
    <w:rsid w:val="00C355E2"/>
    <w:rsid w:val="00C356F2"/>
    <w:rsid w:val="00C369BB"/>
    <w:rsid w:val="00C369CA"/>
    <w:rsid w:val="00C36B73"/>
    <w:rsid w:val="00C36CE7"/>
    <w:rsid w:val="00C371DA"/>
    <w:rsid w:val="00C377AB"/>
    <w:rsid w:val="00C3787D"/>
    <w:rsid w:val="00C37AF1"/>
    <w:rsid w:val="00C400A5"/>
    <w:rsid w:val="00C402B0"/>
    <w:rsid w:val="00C407E1"/>
    <w:rsid w:val="00C41658"/>
    <w:rsid w:val="00C4196C"/>
    <w:rsid w:val="00C4198D"/>
    <w:rsid w:val="00C41B09"/>
    <w:rsid w:val="00C4212E"/>
    <w:rsid w:val="00C42194"/>
    <w:rsid w:val="00C4259E"/>
    <w:rsid w:val="00C42CFC"/>
    <w:rsid w:val="00C4393E"/>
    <w:rsid w:val="00C43CB5"/>
    <w:rsid w:val="00C44465"/>
    <w:rsid w:val="00C4461F"/>
    <w:rsid w:val="00C449D0"/>
    <w:rsid w:val="00C44AC4"/>
    <w:rsid w:val="00C45003"/>
    <w:rsid w:val="00C45093"/>
    <w:rsid w:val="00C454F8"/>
    <w:rsid w:val="00C45895"/>
    <w:rsid w:val="00C45F37"/>
    <w:rsid w:val="00C4639F"/>
    <w:rsid w:val="00C467AC"/>
    <w:rsid w:val="00C46D35"/>
    <w:rsid w:val="00C476DE"/>
    <w:rsid w:val="00C50089"/>
    <w:rsid w:val="00C509B1"/>
    <w:rsid w:val="00C5111B"/>
    <w:rsid w:val="00C511ED"/>
    <w:rsid w:val="00C51324"/>
    <w:rsid w:val="00C516CC"/>
    <w:rsid w:val="00C51C2D"/>
    <w:rsid w:val="00C51C58"/>
    <w:rsid w:val="00C51CCC"/>
    <w:rsid w:val="00C52077"/>
    <w:rsid w:val="00C523CE"/>
    <w:rsid w:val="00C534F7"/>
    <w:rsid w:val="00C536C9"/>
    <w:rsid w:val="00C53C39"/>
    <w:rsid w:val="00C54730"/>
    <w:rsid w:val="00C54C80"/>
    <w:rsid w:val="00C54E06"/>
    <w:rsid w:val="00C555C5"/>
    <w:rsid w:val="00C56990"/>
    <w:rsid w:val="00C57151"/>
    <w:rsid w:val="00C57500"/>
    <w:rsid w:val="00C57786"/>
    <w:rsid w:val="00C57C2A"/>
    <w:rsid w:val="00C57DED"/>
    <w:rsid w:val="00C60527"/>
    <w:rsid w:val="00C60890"/>
    <w:rsid w:val="00C61849"/>
    <w:rsid w:val="00C61AE0"/>
    <w:rsid w:val="00C61F34"/>
    <w:rsid w:val="00C62485"/>
    <w:rsid w:val="00C626E1"/>
    <w:rsid w:val="00C63337"/>
    <w:rsid w:val="00C63648"/>
    <w:rsid w:val="00C63B21"/>
    <w:rsid w:val="00C63CA9"/>
    <w:rsid w:val="00C63F6C"/>
    <w:rsid w:val="00C642AA"/>
    <w:rsid w:val="00C645BB"/>
    <w:rsid w:val="00C64F2D"/>
    <w:rsid w:val="00C6528F"/>
    <w:rsid w:val="00C652B1"/>
    <w:rsid w:val="00C65473"/>
    <w:rsid w:val="00C656D3"/>
    <w:rsid w:val="00C6589D"/>
    <w:rsid w:val="00C65F70"/>
    <w:rsid w:val="00C6645A"/>
    <w:rsid w:val="00C665AD"/>
    <w:rsid w:val="00C67397"/>
    <w:rsid w:val="00C67E25"/>
    <w:rsid w:val="00C67F07"/>
    <w:rsid w:val="00C707C3"/>
    <w:rsid w:val="00C70B13"/>
    <w:rsid w:val="00C70B34"/>
    <w:rsid w:val="00C71DDC"/>
    <w:rsid w:val="00C71E08"/>
    <w:rsid w:val="00C72EFA"/>
    <w:rsid w:val="00C72FBD"/>
    <w:rsid w:val="00C738F8"/>
    <w:rsid w:val="00C73DA4"/>
    <w:rsid w:val="00C74105"/>
    <w:rsid w:val="00C74475"/>
    <w:rsid w:val="00C74873"/>
    <w:rsid w:val="00C74988"/>
    <w:rsid w:val="00C74B7F"/>
    <w:rsid w:val="00C750D1"/>
    <w:rsid w:val="00C75AA7"/>
    <w:rsid w:val="00C75C90"/>
    <w:rsid w:val="00C76332"/>
    <w:rsid w:val="00C77221"/>
    <w:rsid w:val="00C776BC"/>
    <w:rsid w:val="00C77FAE"/>
    <w:rsid w:val="00C8017E"/>
    <w:rsid w:val="00C8042A"/>
    <w:rsid w:val="00C813E3"/>
    <w:rsid w:val="00C813F6"/>
    <w:rsid w:val="00C81D9F"/>
    <w:rsid w:val="00C827EC"/>
    <w:rsid w:val="00C833CF"/>
    <w:rsid w:val="00C8448D"/>
    <w:rsid w:val="00C85447"/>
    <w:rsid w:val="00C8586D"/>
    <w:rsid w:val="00C859AA"/>
    <w:rsid w:val="00C861F1"/>
    <w:rsid w:val="00C8640D"/>
    <w:rsid w:val="00C866B3"/>
    <w:rsid w:val="00C87037"/>
    <w:rsid w:val="00C870F0"/>
    <w:rsid w:val="00C87E7B"/>
    <w:rsid w:val="00C87ECA"/>
    <w:rsid w:val="00C903CF"/>
    <w:rsid w:val="00C904DF"/>
    <w:rsid w:val="00C91E9A"/>
    <w:rsid w:val="00C928B2"/>
    <w:rsid w:val="00C92CF0"/>
    <w:rsid w:val="00C9320D"/>
    <w:rsid w:val="00C93D33"/>
    <w:rsid w:val="00C94F9A"/>
    <w:rsid w:val="00C9502F"/>
    <w:rsid w:val="00C95446"/>
    <w:rsid w:val="00C959E6"/>
    <w:rsid w:val="00C95D14"/>
    <w:rsid w:val="00C95EF0"/>
    <w:rsid w:val="00C95F69"/>
    <w:rsid w:val="00C966E8"/>
    <w:rsid w:val="00C96A9F"/>
    <w:rsid w:val="00C97102"/>
    <w:rsid w:val="00C973EE"/>
    <w:rsid w:val="00C9780D"/>
    <w:rsid w:val="00CA0010"/>
    <w:rsid w:val="00CA07E1"/>
    <w:rsid w:val="00CA0C96"/>
    <w:rsid w:val="00CA10E8"/>
    <w:rsid w:val="00CA148D"/>
    <w:rsid w:val="00CA1B4D"/>
    <w:rsid w:val="00CA21B6"/>
    <w:rsid w:val="00CA2A39"/>
    <w:rsid w:val="00CA2CF2"/>
    <w:rsid w:val="00CA3F27"/>
    <w:rsid w:val="00CA4B47"/>
    <w:rsid w:val="00CA51A7"/>
    <w:rsid w:val="00CA58B3"/>
    <w:rsid w:val="00CA5E82"/>
    <w:rsid w:val="00CA6786"/>
    <w:rsid w:val="00CA6A30"/>
    <w:rsid w:val="00CA6CB2"/>
    <w:rsid w:val="00CA6FEF"/>
    <w:rsid w:val="00CA785F"/>
    <w:rsid w:val="00CA7954"/>
    <w:rsid w:val="00CA7C61"/>
    <w:rsid w:val="00CB0D4C"/>
    <w:rsid w:val="00CB10E9"/>
    <w:rsid w:val="00CB145F"/>
    <w:rsid w:val="00CB14DA"/>
    <w:rsid w:val="00CB184B"/>
    <w:rsid w:val="00CB1D4E"/>
    <w:rsid w:val="00CB342D"/>
    <w:rsid w:val="00CB42FF"/>
    <w:rsid w:val="00CB48CB"/>
    <w:rsid w:val="00CB4A6E"/>
    <w:rsid w:val="00CB4BEE"/>
    <w:rsid w:val="00CB4F3B"/>
    <w:rsid w:val="00CB4F91"/>
    <w:rsid w:val="00CB5934"/>
    <w:rsid w:val="00CB70A6"/>
    <w:rsid w:val="00CB77AB"/>
    <w:rsid w:val="00CB7B84"/>
    <w:rsid w:val="00CB7B9C"/>
    <w:rsid w:val="00CB7D02"/>
    <w:rsid w:val="00CB7D25"/>
    <w:rsid w:val="00CC02F8"/>
    <w:rsid w:val="00CC053B"/>
    <w:rsid w:val="00CC0D2C"/>
    <w:rsid w:val="00CC114F"/>
    <w:rsid w:val="00CC1E0D"/>
    <w:rsid w:val="00CC2734"/>
    <w:rsid w:val="00CC279D"/>
    <w:rsid w:val="00CC2F97"/>
    <w:rsid w:val="00CC3231"/>
    <w:rsid w:val="00CC33FF"/>
    <w:rsid w:val="00CC35FE"/>
    <w:rsid w:val="00CC3B01"/>
    <w:rsid w:val="00CC3BCA"/>
    <w:rsid w:val="00CC3C21"/>
    <w:rsid w:val="00CC42C6"/>
    <w:rsid w:val="00CC4B04"/>
    <w:rsid w:val="00CC587E"/>
    <w:rsid w:val="00CC59D9"/>
    <w:rsid w:val="00CC5D0F"/>
    <w:rsid w:val="00CC6417"/>
    <w:rsid w:val="00CC7164"/>
    <w:rsid w:val="00CC7716"/>
    <w:rsid w:val="00CC7781"/>
    <w:rsid w:val="00CD0022"/>
    <w:rsid w:val="00CD03DF"/>
    <w:rsid w:val="00CD12FD"/>
    <w:rsid w:val="00CD143B"/>
    <w:rsid w:val="00CD17C3"/>
    <w:rsid w:val="00CD199C"/>
    <w:rsid w:val="00CD1ADB"/>
    <w:rsid w:val="00CD25BB"/>
    <w:rsid w:val="00CD3EF9"/>
    <w:rsid w:val="00CD4200"/>
    <w:rsid w:val="00CD44AD"/>
    <w:rsid w:val="00CD4AFC"/>
    <w:rsid w:val="00CD62C7"/>
    <w:rsid w:val="00CD65D8"/>
    <w:rsid w:val="00CD6BA2"/>
    <w:rsid w:val="00CD72F9"/>
    <w:rsid w:val="00CD758E"/>
    <w:rsid w:val="00CE06A7"/>
    <w:rsid w:val="00CE06DC"/>
    <w:rsid w:val="00CE07B7"/>
    <w:rsid w:val="00CE0D11"/>
    <w:rsid w:val="00CE10F8"/>
    <w:rsid w:val="00CE1D87"/>
    <w:rsid w:val="00CE2283"/>
    <w:rsid w:val="00CE2CD9"/>
    <w:rsid w:val="00CE3073"/>
    <w:rsid w:val="00CE30F4"/>
    <w:rsid w:val="00CE391C"/>
    <w:rsid w:val="00CE392E"/>
    <w:rsid w:val="00CE3A46"/>
    <w:rsid w:val="00CE4331"/>
    <w:rsid w:val="00CE474D"/>
    <w:rsid w:val="00CE491B"/>
    <w:rsid w:val="00CE52E7"/>
    <w:rsid w:val="00CE540E"/>
    <w:rsid w:val="00CE551C"/>
    <w:rsid w:val="00CE57DD"/>
    <w:rsid w:val="00CE689C"/>
    <w:rsid w:val="00CE68EB"/>
    <w:rsid w:val="00CE6925"/>
    <w:rsid w:val="00CE6CA3"/>
    <w:rsid w:val="00CE70FD"/>
    <w:rsid w:val="00CE761B"/>
    <w:rsid w:val="00CE78F2"/>
    <w:rsid w:val="00CF053C"/>
    <w:rsid w:val="00CF0991"/>
    <w:rsid w:val="00CF0E91"/>
    <w:rsid w:val="00CF1BE0"/>
    <w:rsid w:val="00CF1C72"/>
    <w:rsid w:val="00CF1CD2"/>
    <w:rsid w:val="00CF1D7F"/>
    <w:rsid w:val="00CF1EAE"/>
    <w:rsid w:val="00CF2257"/>
    <w:rsid w:val="00CF2324"/>
    <w:rsid w:val="00CF25F2"/>
    <w:rsid w:val="00CF2833"/>
    <w:rsid w:val="00CF28C8"/>
    <w:rsid w:val="00CF2DE4"/>
    <w:rsid w:val="00CF2E4D"/>
    <w:rsid w:val="00CF329E"/>
    <w:rsid w:val="00CF3903"/>
    <w:rsid w:val="00CF3D55"/>
    <w:rsid w:val="00CF45B7"/>
    <w:rsid w:val="00CF49D6"/>
    <w:rsid w:val="00CF514C"/>
    <w:rsid w:val="00CF5C26"/>
    <w:rsid w:val="00CF60B5"/>
    <w:rsid w:val="00CF6DD6"/>
    <w:rsid w:val="00CF729A"/>
    <w:rsid w:val="00D00FC6"/>
    <w:rsid w:val="00D01769"/>
    <w:rsid w:val="00D0218D"/>
    <w:rsid w:val="00D021E0"/>
    <w:rsid w:val="00D0231D"/>
    <w:rsid w:val="00D037BB"/>
    <w:rsid w:val="00D03BEA"/>
    <w:rsid w:val="00D03D1B"/>
    <w:rsid w:val="00D04039"/>
    <w:rsid w:val="00D04EC7"/>
    <w:rsid w:val="00D0510A"/>
    <w:rsid w:val="00D05E4D"/>
    <w:rsid w:val="00D06707"/>
    <w:rsid w:val="00D06D35"/>
    <w:rsid w:val="00D0707C"/>
    <w:rsid w:val="00D07128"/>
    <w:rsid w:val="00D07262"/>
    <w:rsid w:val="00D07359"/>
    <w:rsid w:val="00D073CA"/>
    <w:rsid w:val="00D10742"/>
    <w:rsid w:val="00D11342"/>
    <w:rsid w:val="00D11487"/>
    <w:rsid w:val="00D1190B"/>
    <w:rsid w:val="00D119FB"/>
    <w:rsid w:val="00D12033"/>
    <w:rsid w:val="00D1216A"/>
    <w:rsid w:val="00D124AD"/>
    <w:rsid w:val="00D12585"/>
    <w:rsid w:val="00D12787"/>
    <w:rsid w:val="00D13290"/>
    <w:rsid w:val="00D13806"/>
    <w:rsid w:val="00D13822"/>
    <w:rsid w:val="00D14139"/>
    <w:rsid w:val="00D14358"/>
    <w:rsid w:val="00D14596"/>
    <w:rsid w:val="00D1521A"/>
    <w:rsid w:val="00D15CE4"/>
    <w:rsid w:val="00D17AD0"/>
    <w:rsid w:val="00D201D8"/>
    <w:rsid w:val="00D20660"/>
    <w:rsid w:val="00D21086"/>
    <w:rsid w:val="00D211B0"/>
    <w:rsid w:val="00D218B8"/>
    <w:rsid w:val="00D219BC"/>
    <w:rsid w:val="00D21B87"/>
    <w:rsid w:val="00D21DCD"/>
    <w:rsid w:val="00D22278"/>
    <w:rsid w:val="00D22638"/>
    <w:rsid w:val="00D22A2D"/>
    <w:rsid w:val="00D23980"/>
    <w:rsid w:val="00D23A5A"/>
    <w:rsid w:val="00D23FFD"/>
    <w:rsid w:val="00D245D0"/>
    <w:rsid w:val="00D24B05"/>
    <w:rsid w:val="00D258B0"/>
    <w:rsid w:val="00D26A1A"/>
    <w:rsid w:val="00D315AD"/>
    <w:rsid w:val="00D3170F"/>
    <w:rsid w:val="00D3177F"/>
    <w:rsid w:val="00D3193E"/>
    <w:rsid w:val="00D31BCE"/>
    <w:rsid w:val="00D31DE8"/>
    <w:rsid w:val="00D32500"/>
    <w:rsid w:val="00D3285C"/>
    <w:rsid w:val="00D32EB3"/>
    <w:rsid w:val="00D336F2"/>
    <w:rsid w:val="00D349E2"/>
    <w:rsid w:val="00D3507E"/>
    <w:rsid w:val="00D35D4F"/>
    <w:rsid w:val="00D36D1F"/>
    <w:rsid w:val="00D374C5"/>
    <w:rsid w:val="00D375D3"/>
    <w:rsid w:val="00D37C48"/>
    <w:rsid w:val="00D37EE0"/>
    <w:rsid w:val="00D40037"/>
    <w:rsid w:val="00D4067C"/>
    <w:rsid w:val="00D41837"/>
    <w:rsid w:val="00D423BE"/>
    <w:rsid w:val="00D4244F"/>
    <w:rsid w:val="00D430AE"/>
    <w:rsid w:val="00D434BD"/>
    <w:rsid w:val="00D43C60"/>
    <w:rsid w:val="00D43F45"/>
    <w:rsid w:val="00D45A8B"/>
    <w:rsid w:val="00D45B95"/>
    <w:rsid w:val="00D45BE7"/>
    <w:rsid w:val="00D45BF0"/>
    <w:rsid w:val="00D46E14"/>
    <w:rsid w:val="00D47051"/>
    <w:rsid w:val="00D50514"/>
    <w:rsid w:val="00D50A20"/>
    <w:rsid w:val="00D50C32"/>
    <w:rsid w:val="00D51691"/>
    <w:rsid w:val="00D52D49"/>
    <w:rsid w:val="00D52D97"/>
    <w:rsid w:val="00D53278"/>
    <w:rsid w:val="00D53823"/>
    <w:rsid w:val="00D5472F"/>
    <w:rsid w:val="00D549B3"/>
    <w:rsid w:val="00D550CD"/>
    <w:rsid w:val="00D55FB9"/>
    <w:rsid w:val="00D560D8"/>
    <w:rsid w:val="00D564DF"/>
    <w:rsid w:val="00D56928"/>
    <w:rsid w:val="00D56A2E"/>
    <w:rsid w:val="00D56DA3"/>
    <w:rsid w:val="00D56F03"/>
    <w:rsid w:val="00D5704C"/>
    <w:rsid w:val="00D573F0"/>
    <w:rsid w:val="00D57CCB"/>
    <w:rsid w:val="00D57E7F"/>
    <w:rsid w:val="00D60055"/>
    <w:rsid w:val="00D6010E"/>
    <w:rsid w:val="00D6033F"/>
    <w:rsid w:val="00D60510"/>
    <w:rsid w:val="00D6076C"/>
    <w:rsid w:val="00D60806"/>
    <w:rsid w:val="00D60E3A"/>
    <w:rsid w:val="00D60FCE"/>
    <w:rsid w:val="00D61BE8"/>
    <w:rsid w:val="00D62053"/>
    <w:rsid w:val="00D6247C"/>
    <w:rsid w:val="00D62C82"/>
    <w:rsid w:val="00D62E0F"/>
    <w:rsid w:val="00D62F0E"/>
    <w:rsid w:val="00D63D22"/>
    <w:rsid w:val="00D64092"/>
    <w:rsid w:val="00D64396"/>
    <w:rsid w:val="00D643BD"/>
    <w:rsid w:val="00D6443C"/>
    <w:rsid w:val="00D64820"/>
    <w:rsid w:val="00D649EA"/>
    <w:rsid w:val="00D64A58"/>
    <w:rsid w:val="00D64A6D"/>
    <w:rsid w:val="00D653F2"/>
    <w:rsid w:val="00D660D5"/>
    <w:rsid w:val="00D66506"/>
    <w:rsid w:val="00D66E1C"/>
    <w:rsid w:val="00D671E4"/>
    <w:rsid w:val="00D678F7"/>
    <w:rsid w:val="00D67982"/>
    <w:rsid w:val="00D67FDA"/>
    <w:rsid w:val="00D701A1"/>
    <w:rsid w:val="00D709FB"/>
    <w:rsid w:val="00D70E27"/>
    <w:rsid w:val="00D7121A"/>
    <w:rsid w:val="00D713F6"/>
    <w:rsid w:val="00D716BE"/>
    <w:rsid w:val="00D73032"/>
    <w:rsid w:val="00D73DCD"/>
    <w:rsid w:val="00D7412C"/>
    <w:rsid w:val="00D743D9"/>
    <w:rsid w:val="00D74D94"/>
    <w:rsid w:val="00D75371"/>
    <w:rsid w:val="00D756F6"/>
    <w:rsid w:val="00D7620B"/>
    <w:rsid w:val="00D76794"/>
    <w:rsid w:val="00D76E4F"/>
    <w:rsid w:val="00D772AC"/>
    <w:rsid w:val="00D77A0C"/>
    <w:rsid w:val="00D80AF0"/>
    <w:rsid w:val="00D8125A"/>
    <w:rsid w:val="00D81977"/>
    <w:rsid w:val="00D81C9E"/>
    <w:rsid w:val="00D81DB0"/>
    <w:rsid w:val="00D824A5"/>
    <w:rsid w:val="00D83466"/>
    <w:rsid w:val="00D83661"/>
    <w:rsid w:val="00D836F5"/>
    <w:rsid w:val="00D8399A"/>
    <w:rsid w:val="00D840DC"/>
    <w:rsid w:val="00D84675"/>
    <w:rsid w:val="00D84796"/>
    <w:rsid w:val="00D84BD5"/>
    <w:rsid w:val="00D84C30"/>
    <w:rsid w:val="00D8529A"/>
    <w:rsid w:val="00D85B52"/>
    <w:rsid w:val="00D85DD7"/>
    <w:rsid w:val="00D86D71"/>
    <w:rsid w:val="00D86E24"/>
    <w:rsid w:val="00D878F5"/>
    <w:rsid w:val="00D87DDE"/>
    <w:rsid w:val="00D87E1D"/>
    <w:rsid w:val="00D90701"/>
    <w:rsid w:val="00D90D72"/>
    <w:rsid w:val="00D90DF6"/>
    <w:rsid w:val="00D90EBC"/>
    <w:rsid w:val="00D91096"/>
    <w:rsid w:val="00D911DA"/>
    <w:rsid w:val="00D91497"/>
    <w:rsid w:val="00D92627"/>
    <w:rsid w:val="00D926E1"/>
    <w:rsid w:val="00D92915"/>
    <w:rsid w:val="00D92A27"/>
    <w:rsid w:val="00D934D6"/>
    <w:rsid w:val="00D93CA9"/>
    <w:rsid w:val="00D93F69"/>
    <w:rsid w:val="00D949F3"/>
    <w:rsid w:val="00D94F5A"/>
    <w:rsid w:val="00D954F5"/>
    <w:rsid w:val="00D965A4"/>
    <w:rsid w:val="00D96621"/>
    <w:rsid w:val="00D9667B"/>
    <w:rsid w:val="00D971AB"/>
    <w:rsid w:val="00D97CC0"/>
    <w:rsid w:val="00D97E91"/>
    <w:rsid w:val="00D97EF0"/>
    <w:rsid w:val="00DA0300"/>
    <w:rsid w:val="00DA093D"/>
    <w:rsid w:val="00DA12AC"/>
    <w:rsid w:val="00DA15A4"/>
    <w:rsid w:val="00DA1737"/>
    <w:rsid w:val="00DA18F2"/>
    <w:rsid w:val="00DA19D5"/>
    <w:rsid w:val="00DA1AD4"/>
    <w:rsid w:val="00DA1DED"/>
    <w:rsid w:val="00DA1FAB"/>
    <w:rsid w:val="00DA25B2"/>
    <w:rsid w:val="00DA2EA7"/>
    <w:rsid w:val="00DA3349"/>
    <w:rsid w:val="00DA3A9E"/>
    <w:rsid w:val="00DA4082"/>
    <w:rsid w:val="00DA49C5"/>
    <w:rsid w:val="00DA4CD3"/>
    <w:rsid w:val="00DA4EB0"/>
    <w:rsid w:val="00DA4FFB"/>
    <w:rsid w:val="00DA578B"/>
    <w:rsid w:val="00DA6FB7"/>
    <w:rsid w:val="00DA7246"/>
    <w:rsid w:val="00DA747A"/>
    <w:rsid w:val="00DB0175"/>
    <w:rsid w:val="00DB066C"/>
    <w:rsid w:val="00DB0B27"/>
    <w:rsid w:val="00DB0B4A"/>
    <w:rsid w:val="00DB123E"/>
    <w:rsid w:val="00DB1453"/>
    <w:rsid w:val="00DB15A6"/>
    <w:rsid w:val="00DB18E7"/>
    <w:rsid w:val="00DB1E57"/>
    <w:rsid w:val="00DB21E0"/>
    <w:rsid w:val="00DB24AB"/>
    <w:rsid w:val="00DB28BC"/>
    <w:rsid w:val="00DB2984"/>
    <w:rsid w:val="00DB2A76"/>
    <w:rsid w:val="00DB2D8A"/>
    <w:rsid w:val="00DB2F6E"/>
    <w:rsid w:val="00DB35AA"/>
    <w:rsid w:val="00DB36E9"/>
    <w:rsid w:val="00DB3AB7"/>
    <w:rsid w:val="00DB3D50"/>
    <w:rsid w:val="00DB3EDB"/>
    <w:rsid w:val="00DB4234"/>
    <w:rsid w:val="00DB488B"/>
    <w:rsid w:val="00DB5320"/>
    <w:rsid w:val="00DB581C"/>
    <w:rsid w:val="00DB583C"/>
    <w:rsid w:val="00DB5A7B"/>
    <w:rsid w:val="00DB5EE9"/>
    <w:rsid w:val="00DB606B"/>
    <w:rsid w:val="00DB6E83"/>
    <w:rsid w:val="00DB76BD"/>
    <w:rsid w:val="00DB788A"/>
    <w:rsid w:val="00DB79C4"/>
    <w:rsid w:val="00DC10D7"/>
    <w:rsid w:val="00DC14E8"/>
    <w:rsid w:val="00DC1CB4"/>
    <w:rsid w:val="00DC20E4"/>
    <w:rsid w:val="00DC2C9E"/>
    <w:rsid w:val="00DC3067"/>
    <w:rsid w:val="00DC37A5"/>
    <w:rsid w:val="00DC4CA2"/>
    <w:rsid w:val="00DC4D63"/>
    <w:rsid w:val="00DC582A"/>
    <w:rsid w:val="00DC5DB0"/>
    <w:rsid w:val="00DC64A2"/>
    <w:rsid w:val="00DC6597"/>
    <w:rsid w:val="00DC682F"/>
    <w:rsid w:val="00DC6D05"/>
    <w:rsid w:val="00DC6E8D"/>
    <w:rsid w:val="00DC7173"/>
    <w:rsid w:val="00DC7726"/>
    <w:rsid w:val="00DD096B"/>
    <w:rsid w:val="00DD1675"/>
    <w:rsid w:val="00DD2896"/>
    <w:rsid w:val="00DD3493"/>
    <w:rsid w:val="00DD3A0E"/>
    <w:rsid w:val="00DD3C8D"/>
    <w:rsid w:val="00DD4109"/>
    <w:rsid w:val="00DD413A"/>
    <w:rsid w:val="00DD443F"/>
    <w:rsid w:val="00DD447D"/>
    <w:rsid w:val="00DD44E4"/>
    <w:rsid w:val="00DD4C73"/>
    <w:rsid w:val="00DD50FF"/>
    <w:rsid w:val="00DD5B6C"/>
    <w:rsid w:val="00DD6488"/>
    <w:rsid w:val="00DD6B4D"/>
    <w:rsid w:val="00DD7A1E"/>
    <w:rsid w:val="00DE0D55"/>
    <w:rsid w:val="00DE0DC8"/>
    <w:rsid w:val="00DE106A"/>
    <w:rsid w:val="00DE1F26"/>
    <w:rsid w:val="00DE269F"/>
    <w:rsid w:val="00DE2CCF"/>
    <w:rsid w:val="00DE2F51"/>
    <w:rsid w:val="00DE3117"/>
    <w:rsid w:val="00DE3147"/>
    <w:rsid w:val="00DE31E5"/>
    <w:rsid w:val="00DE3575"/>
    <w:rsid w:val="00DE3855"/>
    <w:rsid w:val="00DE3BEA"/>
    <w:rsid w:val="00DE4457"/>
    <w:rsid w:val="00DE4F24"/>
    <w:rsid w:val="00DE52D8"/>
    <w:rsid w:val="00DE5492"/>
    <w:rsid w:val="00DE5FE6"/>
    <w:rsid w:val="00DE6981"/>
    <w:rsid w:val="00DE6A08"/>
    <w:rsid w:val="00DE74A8"/>
    <w:rsid w:val="00DE7982"/>
    <w:rsid w:val="00DE7B84"/>
    <w:rsid w:val="00DE7C38"/>
    <w:rsid w:val="00DE7F75"/>
    <w:rsid w:val="00DF04B0"/>
    <w:rsid w:val="00DF0694"/>
    <w:rsid w:val="00DF0778"/>
    <w:rsid w:val="00DF1EDF"/>
    <w:rsid w:val="00DF20EC"/>
    <w:rsid w:val="00DF2FFA"/>
    <w:rsid w:val="00DF31FA"/>
    <w:rsid w:val="00DF331E"/>
    <w:rsid w:val="00DF37EB"/>
    <w:rsid w:val="00DF39A9"/>
    <w:rsid w:val="00DF44F6"/>
    <w:rsid w:val="00DF49CE"/>
    <w:rsid w:val="00DF5CBC"/>
    <w:rsid w:val="00DF60E8"/>
    <w:rsid w:val="00DF6AA2"/>
    <w:rsid w:val="00DF6C8C"/>
    <w:rsid w:val="00DF6FD7"/>
    <w:rsid w:val="00DF724D"/>
    <w:rsid w:val="00DF7530"/>
    <w:rsid w:val="00DF7A62"/>
    <w:rsid w:val="00E00577"/>
    <w:rsid w:val="00E00D22"/>
    <w:rsid w:val="00E010B3"/>
    <w:rsid w:val="00E01796"/>
    <w:rsid w:val="00E02A04"/>
    <w:rsid w:val="00E037A3"/>
    <w:rsid w:val="00E048EA"/>
    <w:rsid w:val="00E04F1E"/>
    <w:rsid w:val="00E058A5"/>
    <w:rsid w:val="00E06420"/>
    <w:rsid w:val="00E06AD5"/>
    <w:rsid w:val="00E07353"/>
    <w:rsid w:val="00E07995"/>
    <w:rsid w:val="00E07BA5"/>
    <w:rsid w:val="00E101F0"/>
    <w:rsid w:val="00E106C2"/>
    <w:rsid w:val="00E10F3B"/>
    <w:rsid w:val="00E11348"/>
    <w:rsid w:val="00E113D3"/>
    <w:rsid w:val="00E114CF"/>
    <w:rsid w:val="00E1157B"/>
    <w:rsid w:val="00E117B0"/>
    <w:rsid w:val="00E11E65"/>
    <w:rsid w:val="00E120BE"/>
    <w:rsid w:val="00E122CB"/>
    <w:rsid w:val="00E12BFA"/>
    <w:rsid w:val="00E13A9D"/>
    <w:rsid w:val="00E1402F"/>
    <w:rsid w:val="00E1436F"/>
    <w:rsid w:val="00E143C9"/>
    <w:rsid w:val="00E14669"/>
    <w:rsid w:val="00E147A1"/>
    <w:rsid w:val="00E14985"/>
    <w:rsid w:val="00E14D9F"/>
    <w:rsid w:val="00E14E21"/>
    <w:rsid w:val="00E15166"/>
    <w:rsid w:val="00E153F7"/>
    <w:rsid w:val="00E15543"/>
    <w:rsid w:val="00E1574D"/>
    <w:rsid w:val="00E15C0E"/>
    <w:rsid w:val="00E15C47"/>
    <w:rsid w:val="00E160B9"/>
    <w:rsid w:val="00E1639A"/>
    <w:rsid w:val="00E172F2"/>
    <w:rsid w:val="00E173C7"/>
    <w:rsid w:val="00E17807"/>
    <w:rsid w:val="00E17E27"/>
    <w:rsid w:val="00E202D9"/>
    <w:rsid w:val="00E2070E"/>
    <w:rsid w:val="00E20CB4"/>
    <w:rsid w:val="00E20FE3"/>
    <w:rsid w:val="00E21633"/>
    <w:rsid w:val="00E21701"/>
    <w:rsid w:val="00E22AB3"/>
    <w:rsid w:val="00E22BB5"/>
    <w:rsid w:val="00E22CC9"/>
    <w:rsid w:val="00E22FF2"/>
    <w:rsid w:val="00E2368B"/>
    <w:rsid w:val="00E23AC3"/>
    <w:rsid w:val="00E24A48"/>
    <w:rsid w:val="00E250D6"/>
    <w:rsid w:val="00E2518C"/>
    <w:rsid w:val="00E25616"/>
    <w:rsid w:val="00E25AAB"/>
    <w:rsid w:val="00E25EB3"/>
    <w:rsid w:val="00E276F8"/>
    <w:rsid w:val="00E30261"/>
    <w:rsid w:val="00E3047E"/>
    <w:rsid w:val="00E304CE"/>
    <w:rsid w:val="00E30C14"/>
    <w:rsid w:val="00E30E90"/>
    <w:rsid w:val="00E311CD"/>
    <w:rsid w:val="00E3126A"/>
    <w:rsid w:val="00E3154C"/>
    <w:rsid w:val="00E31F71"/>
    <w:rsid w:val="00E32456"/>
    <w:rsid w:val="00E33162"/>
    <w:rsid w:val="00E3388D"/>
    <w:rsid w:val="00E33E08"/>
    <w:rsid w:val="00E340A3"/>
    <w:rsid w:val="00E34652"/>
    <w:rsid w:val="00E3475A"/>
    <w:rsid w:val="00E34ED5"/>
    <w:rsid w:val="00E34EFF"/>
    <w:rsid w:val="00E35493"/>
    <w:rsid w:val="00E35583"/>
    <w:rsid w:val="00E35602"/>
    <w:rsid w:val="00E36007"/>
    <w:rsid w:val="00E3628C"/>
    <w:rsid w:val="00E36322"/>
    <w:rsid w:val="00E364E5"/>
    <w:rsid w:val="00E36DD3"/>
    <w:rsid w:val="00E376D7"/>
    <w:rsid w:val="00E37E8A"/>
    <w:rsid w:val="00E40618"/>
    <w:rsid w:val="00E4109F"/>
    <w:rsid w:val="00E41909"/>
    <w:rsid w:val="00E41A1F"/>
    <w:rsid w:val="00E41B08"/>
    <w:rsid w:val="00E41C1C"/>
    <w:rsid w:val="00E41D51"/>
    <w:rsid w:val="00E41F74"/>
    <w:rsid w:val="00E4207E"/>
    <w:rsid w:val="00E4239B"/>
    <w:rsid w:val="00E42775"/>
    <w:rsid w:val="00E428B3"/>
    <w:rsid w:val="00E42C82"/>
    <w:rsid w:val="00E430FE"/>
    <w:rsid w:val="00E433DB"/>
    <w:rsid w:val="00E43E8E"/>
    <w:rsid w:val="00E4467E"/>
    <w:rsid w:val="00E45264"/>
    <w:rsid w:val="00E4526E"/>
    <w:rsid w:val="00E45412"/>
    <w:rsid w:val="00E4578F"/>
    <w:rsid w:val="00E45AE2"/>
    <w:rsid w:val="00E45C23"/>
    <w:rsid w:val="00E45CFD"/>
    <w:rsid w:val="00E460F8"/>
    <w:rsid w:val="00E461BA"/>
    <w:rsid w:val="00E4700C"/>
    <w:rsid w:val="00E4702D"/>
    <w:rsid w:val="00E47543"/>
    <w:rsid w:val="00E47697"/>
    <w:rsid w:val="00E505C3"/>
    <w:rsid w:val="00E506B4"/>
    <w:rsid w:val="00E510C3"/>
    <w:rsid w:val="00E51253"/>
    <w:rsid w:val="00E51466"/>
    <w:rsid w:val="00E517B6"/>
    <w:rsid w:val="00E524C5"/>
    <w:rsid w:val="00E5296D"/>
    <w:rsid w:val="00E52ED2"/>
    <w:rsid w:val="00E53078"/>
    <w:rsid w:val="00E5323E"/>
    <w:rsid w:val="00E54340"/>
    <w:rsid w:val="00E54E81"/>
    <w:rsid w:val="00E54F10"/>
    <w:rsid w:val="00E55D18"/>
    <w:rsid w:val="00E55E87"/>
    <w:rsid w:val="00E56324"/>
    <w:rsid w:val="00E5650F"/>
    <w:rsid w:val="00E56933"/>
    <w:rsid w:val="00E56D4A"/>
    <w:rsid w:val="00E56D6B"/>
    <w:rsid w:val="00E5740E"/>
    <w:rsid w:val="00E60090"/>
    <w:rsid w:val="00E60190"/>
    <w:rsid w:val="00E609CF"/>
    <w:rsid w:val="00E60FC6"/>
    <w:rsid w:val="00E6124D"/>
    <w:rsid w:val="00E61310"/>
    <w:rsid w:val="00E61C4C"/>
    <w:rsid w:val="00E6203F"/>
    <w:rsid w:val="00E62454"/>
    <w:rsid w:val="00E62D03"/>
    <w:rsid w:val="00E62E35"/>
    <w:rsid w:val="00E63064"/>
    <w:rsid w:val="00E641D3"/>
    <w:rsid w:val="00E641FE"/>
    <w:rsid w:val="00E6483F"/>
    <w:rsid w:val="00E64B3E"/>
    <w:rsid w:val="00E64DCF"/>
    <w:rsid w:val="00E64F03"/>
    <w:rsid w:val="00E65481"/>
    <w:rsid w:val="00E67435"/>
    <w:rsid w:val="00E6747D"/>
    <w:rsid w:val="00E674E7"/>
    <w:rsid w:val="00E67E23"/>
    <w:rsid w:val="00E70739"/>
    <w:rsid w:val="00E70A53"/>
    <w:rsid w:val="00E71147"/>
    <w:rsid w:val="00E712EF"/>
    <w:rsid w:val="00E71D6E"/>
    <w:rsid w:val="00E721E1"/>
    <w:rsid w:val="00E72731"/>
    <w:rsid w:val="00E72FE2"/>
    <w:rsid w:val="00E73416"/>
    <w:rsid w:val="00E73861"/>
    <w:rsid w:val="00E738ED"/>
    <w:rsid w:val="00E74BE4"/>
    <w:rsid w:val="00E751A4"/>
    <w:rsid w:val="00E752F9"/>
    <w:rsid w:val="00E755B5"/>
    <w:rsid w:val="00E75743"/>
    <w:rsid w:val="00E75E8C"/>
    <w:rsid w:val="00E7668D"/>
    <w:rsid w:val="00E76B23"/>
    <w:rsid w:val="00E77875"/>
    <w:rsid w:val="00E8032D"/>
    <w:rsid w:val="00E80A5E"/>
    <w:rsid w:val="00E8106C"/>
    <w:rsid w:val="00E8139E"/>
    <w:rsid w:val="00E819DB"/>
    <w:rsid w:val="00E82609"/>
    <w:rsid w:val="00E82B1C"/>
    <w:rsid w:val="00E831A3"/>
    <w:rsid w:val="00E83ED0"/>
    <w:rsid w:val="00E84BE0"/>
    <w:rsid w:val="00E8510D"/>
    <w:rsid w:val="00E8543D"/>
    <w:rsid w:val="00E855D6"/>
    <w:rsid w:val="00E86280"/>
    <w:rsid w:val="00E863F3"/>
    <w:rsid w:val="00E8695A"/>
    <w:rsid w:val="00E8699E"/>
    <w:rsid w:val="00E873F9"/>
    <w:rsid w:val="00E87AE4"/>
    <w:rsid w:val="00E90817"/>
    <w:rsid w:val="00E909DF"/>
    <w:rsid w:val="00E918A8"/>
    <w:rsid w:val="00E920F0"/>
    <w:rsid w:val="00E92A9C"/>
    <w:rsid w:val="00E93135"/>
    <w:rsid w:val="00E93AF6"/>
    <w:rsid w:val="00E93CD0"/>
    <w:rsid w:val="00E93FEC"/>
    <w:rsid w:val="00E94A69"/>
    <w:rsid w:val="00E950DB"/>
    <w:rsid w:val="00E953B4"/>
    <w:rsid w:val="00E95DE5"/>
    <w:rsid w:val="00E95FC6"/>
    <w:rsid w:val="00E9613D"/>
    <w:rsid w:val="00E96208"/>
    <w:rsid w:val="00E96222"/>
    <w:rsid w:val="00E962C7"/>
    <w:rsid w:val="00E96368"/>
    <w:rsid w:val="00E969AC"/>
    <w:rsid w:val="00E970A3"/>
    <w:rsid w:val="00E97EA1"/>
    <w:rsid w:val="00EA00CC"/>
    <w:rsid w:val="00EA0A17"/>
    <w:rsid w:val="00EA0AD8"/>
    <w:rsid w:val="00EA0D22"/>
    <w:rsid w:val="00EA0D5A"/>
    <w:rsid w:val="00EA1013"/>
    <w:rsid w:val="00EA1D0F"/>
    <w:rsid w:val="00EA226B"/>
    <w:rsid w:val="00EA2991"/>
    <w:rsid w:val="00EA328E"/>
    <w:rsid w:val="00EA34FB"/>
    <w:rsid w:val="00EA442B"/>
    <w:rsid w:val="00EA4529"/>
    <w:rsid w:val="00EA46DD"/>
    <w:rsid w:val="00EA478A"/>
    <w:rsid w:val="00EA5025"/>
    <w:rsid w:val="00EA5447"/>
    <w:rsid w:val="00EA5879"/>
    <w:rsid w:val="00EA5DAC"/>
    <w:rsid w:val="00EA630D"/>
    <w:rsid w:val="00EA7277"/>
    <w:rsid w:val="00EA768F"/>
    <w:rsid w:val="00EA77DD"/>
    <w:rsid w:val="00EB06E6"/>
    <w:rsid w:val="00EB143A"/>
    <w:rsid w:val="00EB20F5"/>
    <w:rsid w:val="00EB29E1"/>
    <w:rsid w:val="00EB2DF7"/>
    <w:rsid w:val="00EB300D"/>
    <w:rsid w:val="00EB3086"/>
    <w:rsid w:val="00EB30B8"/>
    <w:rsid w:val="00EB34DD"/>
    <w:rsid w:val="00EB389A"/>
    <w:rsid w:val="00EB3E1D"/>
    <w:rsid w:val="00EB43A1"/>
    <w:rsid w:val="00EB4502"/>
    <w:rsid w:val="00EB4668"/>
    <w:rsid w:val="00EB4D11"/>
    <w:rsid w:val="00EB5007"/>
    <w:rsid w:val="00EB52DC"/>
    <w:rsid w:val="00EB618C"/>
    <w:rsid w:val="00EB62A7"/>
    <w:rsid w:val="00EB6C6B"/>
    <w:rsid w:val="00EB6DAA"/>
    <w:rsid w:val="00EB7262"/>
    <w:rsid w:val="00EB72B8"/>
    <w:rsid w:val="00EB75F8"/>
    <w:rsid w:val="00EB795C"/>
    <w:rsid w:val="00EC06E6"/>
    <w:rsid w:val="00EC0A8D"/>
    <w:rsid w:val="00EC11F6"/>
    <w:rsid w:val="00EC18C3"/>
    <w:rsid w:val="00EC1AAE"/>
    <w:rsid w:val="00EC1BCA"/>
    <w:rsid w:val="00EC27FE"/>
    <w:rsid w:val="00EC37A1"/>
    <w:rsid w:val="00EC3BFD"/>
    <w:rsid w:val="00EC437E"/>
    <w:rsid w:val="00EC47E5"/>
    <w:rsid w:val="00EC4DFB"/>
    <w:rsid w:val="00EC5C66"/>
    <w:rsid w:val="00EC5E03"/>
    <w:rsid w:val="00EC6066"/>
    <w:rsid w:val="00EC6138"/>
    <w:rsid w:val="00EC6530"/>
    <w:rsid w:val="00EC66FF"/>
    <w:rsid w:val="00EC691D"/>
    <w:rsid w:val="00EC695D"/>
    <w:rsid w:val="00EC6B00"/>
    <w:rsid w:val="00EC7630"/>
    <w:rsid w:val="00EC7B5F"/>
    <w:rsid w:val="00ED03E6"/>
    <w:rsid w:val="00ED0C1D"/>
    <w:rsid w:val="00ED0EF4"/>
    <w:rsid w:val="00ED1682"/>
    <w:rsid w:val="00ED1B4C"/>
    <w:rsid w:val="00ED31EC"/>
    <w:rsid w:val="00ED47A4"/>
    <w:rsid w:val="00ED5A78"/>
    <w:rsid w:val="00ED61BE"/>
    <w:rsid w:val="00ED65D7"/>
    <w:rsid w:val="00ED6622"/>
    <w:rsid w:val="00ED7013"/>
    <w:rsid w:val="00ED7074"/>
    <w:rsid w:val="00ED723B"/>
    <w:rsid w:val="00ED7584"/>
    <w:rsid w:val="00ED76FB"/>
    <w:rsid w:val="00ED7777"/>
    <w:rsid w:val="00ED7932"/>
    <w:rsid w:val="00ED7F1A"/>
    <w:rsid w:val="00EE0329"/>
    <w:rsid w:val="00EE05C7"/>
    <w:rsid w:val="00EE0A9C"/>
    <w:rsid w:val="00EE15FF"/>
    <w:rsid w:val="00EE3383"/>
    <w:rsid w:val="00EE3708"/>
    <w:rsid w:val="00EE3854"/>
    <w:rsid w:val="00EE4309"/>
    <w:rsid w:val="00EE4830"/>
    <w:rsid w:val="00EE4A84"/>
    <w:rsid w:val="00EE4ED8"/>
    <w:rsid w:val="00EE588C"/>
    <w:rsid w:val="00EE631A"/>
    <w:rsid w:val="00EE6BBE"/>
    <w:rsid w:val="00EE711D"/>
    <w:rsid w:val="00EE7209"/>
    <w:rsid w:val="00EE7282"/>
    <w:rsid w:val="00EE7595"/>
    <w:rsid w:val="00EE7E30"/>
    <w:rsid w:val="00EF07FF"/>
    <w:rsid w:val="00EF0BC3"/>
    <w:rsid w:val="00EF1381"/>
    <w:rsid w:val="00EF2174"/>
    <w:rsid w:val="00EF31D3"/>
    <w:rsid w:val="00EF3537"/>
    <w:rsid w:val="00EF4133"/>
    <w:rsid w:val="00EF4417"/>
    <w:rsid w:val="00EF4651"/>
    <w:rsid w:val="00EF4AE1"/>
    <w:rsid w:val="00EF5279"/>
    <w:rsid w:val="00EF5D74"/>
    <w:rsid w:val="00EF63AE"/>
    <w:rsid w:val="00EF78B2"/>
    <w:rsid w:val="00EF7C38"/>
    <w:rsid w:val="00F0018F"/>
    <w:rsid w:val="00F00419"/>
    <w:rsid w:val="00F00420"/>
    <w:rsid w:val="00F009F7"/>
    <w:rsid w:val="00F00DDC"/>
    <w:rsid w:val="00F01878"/>
    <w:rsid w:val="00F0200F"/>
    <w:rsid w:val="00F021CE"/>
    <w:rsid w:val="00F02AED"/>
    <w:rsid w:val="00F049EE"/>
    <w:rsid w:val="00F04CB7"/>
    <w:rsid w:val="00F04DB0"/>
    <w:rsid w:val="00F056CA"/>
    <w:rsid w:val="00F06009"/>
    <w:rsid w:val="00F061C5"/>
    <w:rsid w:val="00F065FD"/>
    <w:rsid w:val="00F06CE0"/>
    <w:rsid w:val="00F07479"/>
    <w:rsid w:val="00F07548"/>
    <w:rsid w:val="00F07784"/>
    <w:rsid w:val="00F07B61"/>
    <w:rsid w:val="00F07CE0"/>
    <w:rsid w:val="00F07CFE"/>
    <w:rsid w:val="00F10940"/>
    <w:rsid w:val="00F10E83"/>
    <w:rsid w:val="00F1174D"/>
    <w:rsid w:val="00F1256C"/>
    <w:rsid w:val="00F1320F"/>
    <w:rsid w:val="00F13306"/>
    <w:rsid w:val="00F13F52"/>
    <w:rsid w:val="00F14433"/>
    <w:rsid w:val="00F14569"/>
    <w:rsid w:val="00F14C83"/>
    <w:rsid w:val="00F14F6D"/>
    <w:rsid w:val="00F14FE4"/>
    <w:rsid w:val="00F154CB"/>
    <w:rsid w:val="00F1564F"/>
    <w:rsid w:val="00F157A8"/>
    <w:rsid w:val="00F159A6"/>
    <w:rsid w:val="00F15A62"/>
    <w:rsid w:val="00F1684C"/>
    <w:rsid w:val="00F16B49"/>
    <w:rsid w:val="00F172C8"/>
    <w:rsid w:val="00F1748E"/>
    <w:rsid w:val="00F2059D"/>
    <w:rsid w:val="00F20F50"/>
    <w:rsid w:val="00F20FE2"/>
    <w:rsid w:val="00F21298"/>
    <w:rsid w:val="00F218CA"/>
    <w:rsid w:val="00F22FD4"/>
    <w:rsid w:val="00F23191"/>
    <w:rsid w:val="00F23AF1"/>
    <w:rsid w:val="00F24358"/>
    <w:rsid w:val="00F24961"/>
    <w:rsid w:val="00F24CB7"/>
    <w:rsid w:val="00F25533"/>
    <w:rsid w:val="00F255E3"/>
    <w:rsid w:val="00F256B7"/>
    <w:rsid w:val="00F25870"/>
    <w:rsid w:val="00F25D21"/>
    <w:rsid w:val="00F25FF3"/>
    <w:rsid w:val="00F26841"/>
    <w:rsid w:val="00F26E26"/>
    <w:rsid w:val="00F272CB"/>
    <w:rsid w:val="00F27509"/>
    <w:rsid w:val="00F27759"/>
    <w:rsid w:val="00F3029B"/>
    <w:rsid w:val="00F30A93"/>
    <w:rsid w:val="00F30D95"/>
    <w:rsid w:val="00F3153E"/>
    <w:rsid w:val="00F32518"/>
    <w:rsid w:val="00F32B01"/>
    <w:rsid w:val="00F32D5E"/>
    <w:rsid w:val="00F33213"/>
    <w:rsid w:val="00F33673"/>
    <w:rsid w:val="00F33C6C"/>
    <w:rsid w:val="00F34699"/>
    <w:rsid w:val="00F34797"/>
    <w:rsid w:val="00F34C19"/>
    <w:rsid w:val="00F34C93"/>
    <w:rsid w:val="00F353E0"/>
    <w:rsid w:val="00F3561D"/>
    <w:rsid w:val="00F359E3"/>
    <w:rsid w:val="00F35AC3"/>
    <w:rsid w:val="00F36100"/>
    <w:rsid w:val="00F36AA3"/>
    <w:rsid w:val="00F36C11"/>
    <w:rsid w:val="00F36ED6"/>
    <w:rsid w:val="00F37073"/>
    <w:rsid w:val="00F402AD"/>
    <w:rsid w:val="00F40A7C"/>
    <w:rsid w:val="00F40DE1"/>
    <w:rsid w:val="00F40EA7"/>
    <w:rsid w:val="00F41B80"/>
    <w:rsid w:val="00F41C8A"/>
    <w:rsid w:val="00F42A2E"/>
    <w:rsid w:val="00F42A56"/>
    <w:rsid w:val="00F4315A"/>
    <w:rsid w:val="00F431FB"/>
    <w:rsid w:val="00F43970"/>
    <w:rsid w:val="00F43BA2"/>
    <w:rsid w:val="00F43DF6"/>
    <w:rsid w:val="00F44208"/>
    <w:rsid w:val="00F44671"/>
    <w:rsid w:val="00F44C90"/>
    <w:rsid w:val="00F451F9"/>
    <w:rsid w:val="00F454BC"/>
    <w:rsid w:val="00F45C21"/>
    <w:rsid w:val="00F46387"/>
    <w:rsid w:val="00F4695F"/>
    <w:rsid w:val="00F46AEE"/>
    <w:rsid w:val="00F46DB9"/>
    <w:rsid w:val="00F46DC6"/>
    <w:rsid w:val="00F46FF4"/>
    <w:rsid w:val="00F4796C"/>
    <w:rsid w:val="00F47AAC"/>
    <w:rsid w:val="00F50653"/>
    <w:rsid w:val="00F50838"/>
    <w:rsid w:val="00F50AAD"/>
    <w:rsid w:val="00F50C24"/>
    <w:rsid w:val="00F51D5D"/>
    <w:rsid w:val="00F51ECB"/>
    <w:rsid w:val="00F52FD4"/>
    <w:rsid w:val="00F53002"/>
    <w:rsid w:val="00F5327E"/>
    <w:rsid w:val="00F53B3B"/>
    <w:rsid w:val="00F543C4"/>
    <w:rsid w:val="00F54D8A"/>
    <w:rsid w:val="00F5517D"/>
    <w:rsid w:val="00F55396"/>
    <w:rsid w:val="00F55BA0"/>
    <w:rsid w:val="00F56629"/>
    <w:rsid w:val="00F56F78"/>
    <w:rsid w:val="00F577C3"/>
    <w:rsid w:val="00F57B21"/>
    <w:rsid w:val="00F60F11"/>
    <w:rsid w:val="00F61410"/>
    <w:rsid w:val="00F614D9"/>
    <w:rsid w:val="00F61527"/>
    <w:rsid w:val="00F62290"/>
    <w:rsid w:val="00F622C6"/>
    <w:rsid w:val="00F62D86"/>
    <w:rsid w:val="00F63C38"/>
    <w:rsid w:val="00F6556B"/>
    <w:rsid w:val="00F6573B"/>
    <w:rsid w:val="00F66065"/>
    <w:rsid w:val="00F66ED1"/>
    <w:rsid w:val="00F701FB"/>
    <w:rsid w:val="00F7038A"/>
    <w:rsid w:val="00F704A7"/>
    <w:rsid w:val="00F70BA6"/>
    <w:rsid w:val="00F717F2"/>
    <w:rsid w:val="00F71B04"/>
    <w:rsid w:val="00F72477"/>
    <w:rsid w:val="00F724B1"/>
    <w:rsid w:val="00F7343D"/>
    <w:rsid w:val="00F736B6"/>
    <w:rsid w:val="00F73EF3"/>
    <w:rsid w:val="00F748F5"/>
    <w:rsid w:val="00F74DB3"/>
    <w:rsid w:val="00F74EB4"/>
    <w:rsid w:val="00F751E6"/>
    <w:rsid w:val="00F75766"/>
    <w:rsid w:val="00F75855"/>
    <w:rsid w:val="00F75CFD"/>
    <w:rsid w:val="00F76B30"/>
    <w:rsid w:val="00F76CD0"/>
    <w:rsid w:val="00F77102"/>
    <w:rsid w:val="00F772CD"/>
    <w:rsid w:val="00F80311"/>
    <w:rsid w:val="00F803EB"/>
    <w:rsid w:val="00F80CE2"/>
    <w:rsid w:val="00F81883"/>
    <w:rsid w:val="00F819EE"/>
    <w:rsid w:val="00F81E12"/>
    <w:rsid w:val="00F81FF4"/>
    <w:rsid w:val="00F82233"/>
    <w:rsid w:val="00F822EF"/>
    <w:rsid w:val="00F8252A"/>
    <w:rsid w:val="00F827D8"/>
    <w:rsid w:val="00F82F58"/>
    <w:rsid w:val="00F83DE2"/>
    <w:rsid w:val="00F84324"/>
    <w:rsid w:val="00F84614"/>
    <w:rsid w:val="00F84761"/>
    <w:rsid w:val="00F84897"/>
    <w:rsid w:val="00F84C31"/>
    <w:rsid w:val="00F85065"/>
    <w:rsid w:val="00F85426"/>
    <w:rsid w:val="00F85580"/>
    <w:rsid w:val="00F85E12"/>
    <w:rsid w:val="00F86131"/>
    <w:rsid w:val="00F86892"/>
    <w:rsid w:val="00F86916"/>
    <w:rsid w:val="00F8703E"/>
    <w:rsid w:val="00F87A57"/>
    <w:rsid w:val="00F90022"/>
    <w:rsid w:val="00F900A3"/>
    <w:rsid w:val="00F909CD"/>
    <w:rsid w:val="00F909CE"/>
    <w:rsid w:val="00F90B3C"/>
    <w:rsid w:val="00F90F75"/>
    <w:rsid w:val="00F913E6"/>
    <w:rsid w:val="00F914B4"/>
    <w:rsid w:val="00F91D49"/>
    <w:rsid w:val="00F92171"/>
    <w:rsid w:val="00F92759"/>
    <w:rsid w:val="00F92CA6"/>
    <w:rsid w:val="00F92F8D"/>
    <w:rsid w:val="00F9343A"/>
    <w:rsid w:val="00F934DB"/>
    <w:rsid w:val="00F93736"/>
    <w:rsid w:val="00F93748"/>
    <w:rsid w:val="00F950B1"/>
    <w:rsid w:val="00F956A1"/>
    <w:rsid w:val="00F95828"/>
    <w:rsid w:val="00F95ACD"/>
    <w:rsid w:val="00F95BA7"/>
    <w:rsid w:val="00F95E2D"/>
    <w:rsid w:val="00F96562"/>
    <w:rsid w:val="00F965A9"/>
    <w:rsid w:val="00F9685E"/>
    <w:rsid w:val="00F96C13"/>
    <w:rsid w:val="00F96C99"/>
    <w:rsid w:val="00F974C3"/>
    <w:rsid w:val="00F97C47"/>
    <w:rsid w:val="00FA056E"/>
    <w:rsid w:val="00FA165A"/>
    <w:rsid w:val="00FA19C8"/>
    <w:rsid w:val="00FA1D24"/>
    <w:rsid w:val="00FA20FC"/>
    <w:rsid w:val="00FA240D"/>
    <w:rsid w:val="00FA26DE"/>
    <w:rsid w:val="00FA2C1A"/>
    <w:rsid w:val="00FA2F1B"/>
    <w:rsid w:val="00FA3225"/>
    <w:rsid w:val="00FA33FE"/>
    <w:rsid w:val="00FA4211"/>
    <w:rsid w:val="00FA4333"/>
    <w:rsid w:val="00FA4842"/>
    <w:rsid w:val="00FA4A4C"/>
    <w:rsid w:val="00FA4D7E"/>
    <w:rsid w:val="00FA4F2F"/>
    <w:rsid w:val="00FA4FF2"/>
    <w:rsid w:val="00FA52F8"/>
    <w:rsid w:val="00FA590E"/>
    <w:rsid w:val="00FA5AD8"/>
    <w:rsid w:val="00FA60E3"/>
    <w:rsid w:val="00FA6128"/>
    <w:rsid w:val="00FA6318"/>
    <w:rsid w:val="00FA6983"/>
    <w:rsid w:val="00FA6B6E"/>
    <w:rsid w:val="00FA6F0E"/>
    <w:rsid w:val="00FA6FA6"/>
    <w:rsid w:val="00FA720F"/>
    <w:rsid w:val="00FB0376"/>
    <w:rsid w:val="00FB0888"/>
    <w:rsid w:val="00FB08A6"/>
    <w:rsid w:val="00FB1A75"/>
    <w:rsid w:val="00FB1BF6"/>
    <w:rsid w:val="00FB28B7"/>
    <w:rsid w:val="00FB2C8B"/>
    <w:rsid w:val="00FB32F2"/>
    <w:rsid w:val="00FB41D2"/>
    <w:rsid w:val="00FB4286"/>
    <w:rsid w:val="00FB48A5"/>
    <w:rsid w:val="00FB67A8"/>
    <w:rsid w:val="00FB6C81"/>
    <w:rsid w:val="00FB6EE9"/>
    <w:rsid w:val="00FB7480"/>
    <w:rsid w:val="00FB751E"/>
    <w:rsid w:val="00FB757B"/>
    <w:rsid w:val="00FB7621"/>
    <w:rsid w:val="00FB7735"/>
    <w:rsid w:val="00FB7B0C"/>
    <w:rsid w:val="00FB7B30"/>
    <w:rsid w:val="00FB7C26"/>
    <w:rsid w:val="00FC00F0"/>
    <w:rsid w:val="00FC051B"/>
    <w:rsid w:val="00FC0841"/>
    <w:rsid w:val="00FC0E6C"/>
    <w:rsid w:val="00FC12BB"/>
    <w:rsid w:val="00FC13FC"/>
    <w:rsid w:val="00FC1895"/>
    <w:rsid w:val="00FC195E"/>
    <w:rsid w:val="00FC1DE0"/>
    <w:rsid w:val="00FC2918"/>
    <w:rsid w:val="00FC29D5"/>
    <w:rsid w:val="00FC3373"/>
    <w:rsid w:val="00FC346F"/>
    <w:rsid w:val="00FC37EC"/>
    <w:rsid w:val="00FC3C93"/>
    <w:rsid w:val="00FC3D6E"/>
    <w:rsid w:val="00FC3D9D"/>
    <w:rsid w:val="00FC4A4E"/>
    <w:rsid w:val="00FC5E11"/>
    <w:rsid w:val="00FC5FFD"/>
    <w:rsid w:val="00FC6760"/>
    <w:rsid w:val="00FC6FBA"/>
    <w:rsid w:val="00FC7C78"/>
    <w:rsid w:val="00FC7F12"/>
    <w:rsid w:val="00FD09DD"/>
    <w:rsid w:val="00FD126B"/>
    <w:rsid w:val="00FD1B16"/>
    <w:rsid w:val="00FD2011"/>
    <w:rsid w:val="00FD2656"/>
    <w:rsid w:val="00FD27DB"/>
    <w:rsid w:val="00FD281C"/>
    <w:rsid w:val="00FD3485"/>
    <w:rsid w:val="00FD3D44"/>
    <w:rsid w:val="00FD3E7B"/>
    <w:rsid w:val="00FD42B3"/>
    <w:rsid w:val="00FD43AD"/>
    <w:rsid w:val="00FD473F"/>
    <w:rsid w:val="00FD4B64"/>
    <w:rsid w:val="00FD4DF4"/>
    <w:rsid w:val="00FD52C8"/>
    <w:rsid w:val="00FD536D"/>
    <w:rsid w:val="00FD5583"/>
    <w:rsid w:val="00FD5FDE"/>
    <w:rsid w:val="00FD6055"/>
    <w:rsid w:val="00FD6FE6"/>
    <w:rsid w:val="00FD7B1E"/>
    <w:rsid w:val="00FE0400"/>
    <w:rsid w:val="00FE0EB4"/>
    <w:rsid w:val="00FE1051"/>
    <w:rsid w:val="00FE13D7"/>
    <w:rsid w:val="00FE190D"/>
    <w:rsid w:val="00FE28CC"/>
    <w:rsid w:val="00FE37F2"/>
    <w:rsid w:val="00FE3819"/>
    <w:rsid w:val="00FE39EE"/>
    <w:rsid w:val="00FE3BED"/>
    <w:rsid w:val="00FE3E16"/>
    <w:rsid w:val="00FE442C"/>
    <w:rsid w:val="00FE4CE3"/>
    <w:rsid w:val="00FE5140"/>
    <w:rsid w:val="00FE68AF"/>
    <w:rsid w:val="00FE6D60"/>
    <w:rsid w:val="00FE72F5"/>
    <w:rsid w:val="00FE7CDD"/>
    <w:rsid w:val="00FF026C"/>
    <w:rsid w:val="00FF0555"/>
    <w:rsid w:val="00FF0F2D"/>
    <w:rsid w:val="00FF1992"/>
    <w:rsid w:val="00FF2378"/>
    <w:rsid w:val="00FF251E"/>
    <w:rsid w:val="00FF36C3"/>
    <w:rsid w:val="00FF45D9"/>
    <w:rsid w:val="00FF5A1F"/>
    <w:rsid w:val="00FF6B81"/>
    <w:rsid w:val="00FF6C60"/>
    <w:rsid w:val="00FF6D56"/>
    <w:rsid w:val="00FF73F3"/>
    <w:rsid w:val="00FF762C"/>
    <w:rsid w:val="00FF77F5"/>
    <w:rsid w:val="00FF7823"/>
    <w:rsid w:val="00FF7912"/>
    <w:rsid w:val="00FF7E9E"/>
    <w:rsid w:val="01CD3CE0"/>
    <w:rsid w:val="01D22BE7"/>
    <w:rsid w:val="02890A27"/>
    <w:rsid w:val="02C00DCB"/>
    <w:rsid w:val="03FE4C37"/>
    <w:rsid w:val="04993845"/>
    <w:rsid w:val="04C61430"/>
    <w:rsid w:val="062A6400"/>
    <w:rsid w:val="070A76F2"/>
    <w:rsid w:val="07616FED"/>
    <w:rsid w:val="088E28EB"/>
    <w:rsid w:val="089B7274"/>
    <w:rsid w:val="08E94C56"/>
    <w:rsid w:val="09BF5FAB"/>
    <w:rsid w:val="09FB2BB5"/>
    <w:rsid w:val="0AA62DC4"/>
    <w:rsid w:val="0AAC10BE"/>
    <w:rsid w:val="0AED284F"/>
    <w:rsid w:val="0B3A1A24"/>
    <w:rsid w:val="0BA22D86"/>
    <w:rsid w:val="0C0161F1"/>
    <w:rsid w:val="0C9D2A71"/>
    <w:rsid w:val="0CA659AD"/>
    <w:rsid w:val="0CB9370B"/>
    <w:rsid w:val="0D9F3695"/>
    <w:rsid w:val="0E0D28A2"/>
    <w:rsid w:val="0F9D746F"/>
    <w:rsid w:val="0FEC152E"/>
    <w:rsid w:val="104C3363"/>
    <w:rsid w:val="1146683E"/>
    <w:rsid w:val="114A5FE0"/>
    <w:rsid w:val="132C72B5"/>
    <w:rsid w:val="13854A46"/>
    <w:rsid w:val="1444345A"/>
    <w:rsid w:val="14854B33"/>
    <w:rsid w:val="15DD39FD"/>
    <w:rsid w:val="16F22783"/>
    <w:rsid w:val="18336734"/>
    <w:rsid w:val="194D5DB3"/>
    <w:rsid w:val="198C672D"/>
    <w:rsid w:val="19BF37CA"/>
    <w:rsid w:val="1A910945"/>
    <w:rsid w:val="1B73704B"/>
    <w:rsid w:val="1EAD0143"/>
    <w:rsid w:val="1EE44961"/>
    <w:rsid w:val="1F2D3B26"/>
    <w:rsid w:val="1FB2E604"/>
    <w:rsid w:val="221A3F12"/>
    <w:rsid w:val="2232007A"/>
    <w:rsid w:val="228B1E2C"/>
    <w:rsid w:val="23461458"/>
    <w:rsid w:val="24BC1426"/>
    <w:rsid w:val="255F2F31"/>
    <w:rsid w:val="26150581"/>
    <w:rsid w:val="263B2FBE"/>
    <w:rsid w:val="2675686B"/>
    <w:rsid w:val="294720C1"/>
    <w:rsid w:val="29AD6B8C"/>
    <w:rsid w:val="29C622CD"/>
    <w:rsid w:val="2B992DCC"/>
    <w:rsid w:val="2C497927"/>
    <w:rsid w:val="2CEB0A28"/>
    <w:rsid w:val="2D105350"/>
    <w:rsid w:val="2D41284F"/>
    <w:rsid w:val="2EE17BFF"/>
    <w:rsid w:val="2F9F1A4E"/>
    <w:rsid w:val="2FFC78ED"/>
    <w:rsid w:val="30576401"/>
    <w:rsid w:val="31D83888"/>
    <w:rsid w:val="326F1825"/>
    <w:rsid w:val="33067BDF"/>
    <w:rsid w:val="35152FFD"/>
    <w:rsid w:val="361D7326"/>
    <w:rsid w:val="374B6961"/>
    <w:rsid w:val="3A905E10"/>
    <w:rsid w:val="3B7B7A21"/>
    <w:rsid w:val="3BF1F07F"/>
    <w:rsid w:val="3D5777F9"/>
    <w:rsid w:val="3E4F5D7E"/>
    <w:rsid w:val="3E776465"/>
    <w:rsid w:val="3F6510C8"/>
    <w:rsid w:val="3FCA56B5"/>
    <w:rsid w:val="406E3BAB"/>
    <w:rsid w:val="413F0BE4"/>
    <w:rsid w:val="41656BB4"/>
    <w:rsid w:val="42B73986"/>
    <w:rsid w:val="44780480"/>
    <w:rsid w:val="44920AD6"/>
    <w:rsid w:val="46725EBC"/>
    <w:rsid w:val="46F512A3"/>
    <w:rsid w:val="475B6182"/>
    <w:rsid w:val="48BD0A81"/>
    <w:rsid w:val="4A406113"/>
    <w:rsid w:val="4AB913BB"/>
    <w:rsid w:val="4B1E675C"/>
    <w:rsid w:val="4BFB9DE1"/>
    <w:rsid w:val="4CD87563"/>
    <w:rsid w:val="4CFFFFB3"/>
    <w:rsid w:val="4D8E00C4"/>
    <w:rsid w:val="4DF427C2"/>
    <w:rsid w:val="4F1C1852"/>
    <w:rsid w:val="4FEC4AAB"/>
    <w:rsid w:val="50790FD4"/>
    <w:rsid w:val="50CD36D3"/>
    <w:rsid w:val="50CE06E1"/>
    <w:rsid w:val="54081FA0"/>
    <w:rsid w:val="541337B1"/>
    <w:rsid w:val="54D81DC0"/>
    <w:rsid w:val="552C6004"/>
    <w:rsid w:val="560E797B"/>
    <w:rsid w:val="56674EF3"/>
    <w:rsid w:val="572D0F5E"/>
    <w:rsid w:val="59930E07"/>
    <w:rsid w:val="5A5B1260"/>
    <w:rsid w:val="5A711C90"/>
    <w:rsid w:val="5B205A76"/>
    <w:rsid w:val="5BF660C1"/>
    <w:rsid w:val="5C1912E5"/>
    <w:rsid w:val="5C2B4C9A"/>
    <w:rsid w:val="5C7550C1"/>
    <w:rsid w:val="5FBEF4A8"/>
    <w:rsid w:val="616A2D3A"/>
    <w:rsid w:val="61A0290B"/>
    <w:rsid w:val="625F53DB"/>
    <w:rsid w:val="628B3E96"/>
    <w:rsid w:val="62D53D8B"/>
    <w:rsid w:val="639364A8"/>
    <w:rsid w:val="644F6D19"/>
    <w:rsid w:val="64BB5345"/>
    <w:rsid w:val="64C21E16"/>
    <w:rsid w:val="65B31923"/>
    <w:rsid w:val="679954E1"/>
    <w:rsid w:val="68EB5138"/>
    <w:rsid w:val="690C2E00"/>
    <w:rsid w:val="69422233"/>
    <w:rsid w:val="6ACD7535"/>
    <w:rsid w:val="6B0E007D"/>
    <w:rsid w:val="6B7913F3"/>
    <w:rsid w:val="6BD619FE"/>
    <w:rsid w:val="6CDD4BC5"/>
    <w:rsid w:val="6D2A5470"/>
    <w:rsid w:val="6FE74CFE"/>
    <w:rsid w:val="70BB3734"/>
    <w:rsid w:val="713A5BFA"/>
    <w:rsid w:val="71C90264"/>
    <w:rsid w:val="7298390C"/>
    <w:rsid w:val="72AC6EAF"/>
    <w:rsid w:val="738F3545"/>
    <w:rsid w:val="73B96D9D"/>
    <w:rsid w:val="73E83AEA"/>
    <w:rsid w:val="74094B34"/>
    <w:rsid w:val="75BE1E7B"/>
    <w:rsid w:val="75D736C0"/>
    <w:rsid w:val="765879B4"/>
    <w:rsid w:val="767F4490"/>
    <w:rsid w:val="77410967"/>
    <w:rsid w:val="79024D67"/>
    <w:rsid w:val="79EEF789"/>
    <w:rsid w:val="7AB00BC6"/>
    <w:rsid w:val="7B175BAC"/>
    <w:rsid w:val="7B7336A0"/>
    <w:rsid w:val="7BC062FE"/>
    <w:rsid w:val="7C04029C"/>
    <w:rsid w:val="7CD06499"/>
    <w:rsid w:val="7CFB603D"/>
    <w:rsid w:val="7E38524F"/>
    <w:rsid w:val="7E4E5409"/>
    <w:rsid w:val="7EF38DC0"/>
    <w:rsid w:val="7FCE7774"/>
    <w:rsid w:val="7FFD5E61"/>
    <w:rsid w:val="BF7612C6"/>
    <w:rsid w:val="BFDB90FC"/>
    <w:rsid w:val="BFFFCAB7"/>
    <w:rsid w:val="DEFE1DCE"/>
    <w:rsid w:val="DEFF954C"/>
    <w:rsid w:val="DFF721D3"/>
    <w:rsid w:val="E51B112E"/>
    <w:rsid w:val="E9BFD564"/>
    <w:rsid w:val="F3FFB4AC"/>
    <w:rsid w:val="F40C3658"/>
    <w:rsid w:val="F7CDB81D"/>
    <w:rsid w:val="FDEDFCEF"/>
    <w:rsid w:val="FEF94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2"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uiPriority="9" w:name="heading 6"/>
    <w:lsdException w:qFormat="1" w:uiPriority="9" w:name="heading 7"/>
    <w:lsdException w:qFormat="1" w:uiPriority="9" w:name="heading 8"/>
    <w:lsdException w:qFormat="1" w:uiPriority="9" w:name="heading 9"/>
    <w:lsdException w:qFormat="1"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semiHidden="0" w:name="caption"/>
    <w:lsdException w:qFormat="1" w:uiPriority="99" w:semiHidden="0" w:name="table of figures"/>
    <w:lsdException w:uiPriority="0" w:name="envelope address"/>
    <w:lsdException w:uiPriority="0" w:name="envelope return"/>
    <w:lsdException w:qFormat="1" w:uiPriority="99" w:semiHidden="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 w:semiHidden="0" w:name="Title"/>
    <w:lsdException w:uiPriority="0" w:name="Closing"/>
    <w:lsdException w:uiPriority="0" w:name="Signature"/>
    <w:lsdException w:qFormat="1" w:uiPriority="1" w:semiHidden="0" w:name="Default Paragraph Font"/>
    <w:lsdException w:qFormat="1"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2"/>
    <w:pPr>
      <w:spacing w:after="160" w:line="259" w:lineRule="auto"/>
    </w:pPr>
    <w:rPr>
      <w:rFonts w:ascii="Times New Roman" w:hAnsi="Times New Roman" w:eastAsia="仿宋" w:cs="黑体"/>
      <w:sz w:val="24"/>
      <w:szCs w:val="22"/>
      <w:lang w:val="en-US" w:eastAsia="zh-CN" w:bidi="ar-SA"/>
    </w:rPr>
  </w:style>
  <w:style w:type="paragraph" w:styleId="3">
    <w:name w:val="heading 1"/>
    <w:basedOn w:val="1"/>
    <w:next w:val="1"/>
    <w:link w:val="57"/>
    <w:qFormat/>
    <w:uiPriority w:val="1"/>
    <w:pPr>
      <w:keepNext/>
      <w:keepLines/>
      <w:numPr>
        <w:ilvl w:val="0"/>
        <w:numId w:val="1"/>
      </w:numPr>
      <w:spacing w:after="0" w:line="560" w:lineRule="exact"/>
      <w:outlineLvl w:val="0"/>
    </w:pPr>
    <w:rPr>
      <w:rFonts w:ascii="黑体" w:hAnsi="Calibri Light" w:eastAsia="黑体"/>
      <w:sz w:val="32"/>
      <w:szCs w:val="32"/>
    </w:rPr>
  </w:style>
  <w:style w:type="paragraph" w:styleId="4">
    <w:name w:val="heading 2"/>
    <w:basedOn w:val="1"/>
    <w:next w:val="1"/>
    <w:link w:val="58"/>
    <w:qFormat/>
    <w:uiPriority w:val="1"/>
    <w:pPr>
      <w:keepNext/>
      <w:keepLines/>
      <w:numPr>
        <w:ilvl w:val="1"/>
        <w:numId w:val="1"/>
      </w:numPr>
      <w:spacing w:after="0" w:line="560" w:lineRule="exact"/>
      <w:outlineLvl w:val="1"/>
    </w:pPr>
    <w:rPr>
      <w:rFonts w:ascii="楷体_GB2312" w:hAnsi="Calibri Light" w:eastAsia="楷体_GB2312"/>
      <w:sz w:val="32"/>
      <w:szCs w:val="26"/>
    </w:rPr>
  </w:style>
  <w:style w:type="paragraph" w:styleId="5">
    <w:name w:val="heading 3"/>
    <w:basedOn w:val="1"/>
    <w:next w:val="1"/>
    <w:link w:val="59"/>
    <w:qFormat/>
    <w:uiPriority w:val="1"/>
    <w:pPr>
      <w:keepNext/>
      <w:keepLines/>
      <w:numPr>
        <w:ilvl w:val="2"/>
        <w:numId w:val="1"/>
      </w:numPr>
      <w:spacing w:after="0" w:line="560" w:lineRule="exact"/>
      <w:outlineLvl w:val="2"/>
    </w:pPr>
    <w:rPr>
      <w:rFonts w:eastAsia="仿宋_GB2312"/>
      <w:b/>
      <w:sz w:val="32"/>
      <w:szCs w:val="24"/>
    </w:rPr>
  </w:style>
  <w:style w:type="paragraph" w:styleId="6">
    <w:name w:val="heading 4"/>
    <w:basedOn w:val="1"/>
    <w:next w:val="1"/>
    <w:link w:val="60"/>
    <w:qFormat/>
    <w:uiPriority w:val="1"/>
    <w:pPr>
      <w:keepNext/>
      <w:keepLines/>
      <w:numPr>
        <w:ilvl w:val="3"/>
        <w:numId w:val="1"/>
      </w:numPr>
      <w:spacing w:after="0" w:line="560" w:lineRule="exact"/>
      <w:outlineLvl w:val="3"/>
    </w:pPr>
    <w:rPr>
      <w:rFonts w:eastAsia="仿宋_GB2312"/>
      <w:b/>
      <w:iCs/>
      <w:sz w:val="32"/>
    </w:rPr>
  </w:style>
  <w:style w:type="paragraph" w:styleId="7">
    <w:name w:val="heading 5"/>
    <w:basedOn w:val="1"/>
    <w:next w:val="1"/>
    <w:link w:val="66"/>
    <w:qFormat/>
    <w:uiPriority w:val="1"/>
    <w:pPr>
      <w:keepNext/>
      <w:keepLines/>
      <w:numPr>
        <w:ilvl w:val="4"/>
        <w:numId w:val="1"/>
      </w:numPr>
      <w:spacing w:after="0" w:line="560" w:lineRule="exact"/>
      <w:outlineLvl w:val="4"/>
    </w:pPr>
    <w:rPr>
      <w:rFonts w:ascii="仿宋_GB2312" w:hAnsi="Calibri Light" w:eastAsia="仿宋_GB2312"/>
      <w:sz w:val="32"/>
    </w:rPr>
  </w:style>
  <w:style w:type="character" w:default="1" w:styleId="30">
    <w:name w:val="Default Paragraph Font"/>
    <w:unhideWhenUsed/>
    <w:qFormat/>
    <w:uiPriority w:val="1"/>
  </w:style>
  <w:style w:type="table" w:default="1" w:styleId="3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79"/>
    <w:unhideWhenUsed/>
    <w:qFormat/>
    <w:uiPriority w:val="99"/>
    <w:pPr>
      <w:widowControl w:val="0"/>
      <w:spacing w:after="120"/>
      <w:jc w:val="both"/>
    </w:pPr>
    <w:rPr>
      <w:rFonts w:ascii="Calibri" w:hAnsi="Calibri" w:eastAsia="宋体" w:cs="宋体"/>
      <w:kern w:val="2"/>
      <w:sz w:val="21"/>
      <w:szCs w:val="24"/>
    </w:rPr>
  </w:style>
  <w:style w:type="paragraph" w:styleId="8">
    <w:name w:val="annotation subject"/>
    <w:basedOn w:val="9"/>
    <w:next w:val="9"/>
    <w:link w:val="76"/>
    <w:unhideWhenUsed/>
    <w:qFormat/>
    <w:uiPriority w:val="99"/>
    <w:rPr>
      <w:b/>
      <w:bCs/>
    </w:rPr>
  </w:style>
  <w:style w:type="paragraph" w:styleId="9">
    <w:name w:val="annotation text"/>
    <w:basedOn w:val="1"/>
    <w:link w:val="75"/>
    <w:unhideWhenUsed/>
    <w:qFormat/>
    <w:uiPriority w:val="99"/>
    <w:pPr>
      <w:spacing w:line="240" w:lineRule="auto"/>
    </w:pPr>
    <w:rPr>
      <w:sz w:val="20"/>
      <w:szCs w:val="20"/>
    </w:rPr>
  </w:style>
  <w:style w:type="paragraph" w:styleId="10">
    <w:name w:val="toc 7"/>
    <w:basedOn w:val="1"/>
    <w:next w:val="1"/>
    <w:unhideWhenUsed/>
    <w:qFormat/>
    <w:uiPriority w:val="39"/>
    <w:pPr>
      <w:spacing w:after="100"/>
      <w:ind w:left="1320"/>
    </w:pPr>
    <w:rPr>
      <w:rFonts w:ascii="Calibri" w:hAnsi="Calibri" w:eastAsia="等线"/>
      <w:sz w:val="22"/>
    </w:rPr>
  </w:style>
  <w:style w:type="paragraph" w:styleId="11">
    <w:name w:val="caption"/>
    <w:basedOn w:val="1"/>
    <w:next w:val="1"/>
    <w:unhideWhenUsed/>
    <w:qFormat/>
    <w:uiPriority w:val="35"/>
    <w:pPr>
      <w:spacing w:after="200" w:line="240" w:lineRule="auto"/>
    </w:pPr>
    <w:rPr>
      <w:i/>
      <w:iCs/>
      <w:color w:val="44546A"/>
      <w:sz w:val="18"/>
      <w:szCs w:val="18"/>
    </w:rPr>
  </w:style>
  <w:style w:type="paragraph" w:styleId="12">
    <w:name w:val="Document Map"/>
    <w:basedOn w:val="1"/>
    <w:link w:val="72"/>
    <w:semiHidden/>
    <w:qFormat/>
    <w:uiPriority w:val="0"/>
    <w:pPr>
      <w:widowControl w:val="0"/>
      <w:shd w:val="clear" w:color="auto" w:fill="000080"/>
      <w:adjustRightInd w:val="0"/>
      <w:spacing w:after="0" w:line="360" w:lineRule="atLeast"/>
      <w:textAlignment w:val="baseline"/>
    </w:pPr>
    <w:rPr>
      <w:rFonts w:ascii="Verdana" w:hAnsi="Verdana" w:eastAsia="仿宋_GB2312"/>
      <w:b/>
      <w:sz w:val="32"/>
      <w:szCs w:val="24"/>
    </w:rPr>
  </w:style>
  <w:style w:type="paragraph" w:styleId="13">
    <w:name w:val="toc 5"/>
    <w:basedOn w:val="1"/>
    <w:next w:val="1"/>
    <w:unhideWhenUsed/>
    <w:qFormat/>
    <w:uiPriority w:val="39"/>
    <w:pPr>
      <w:spacing w:after="100"/>
      <w:ind w:left="880"/>
    </w:pPr>
    <w:rPr>
      <w:rFonts w:ascii="Calibri" w:hAnsi="Calibri" w:eastAsia="等线"/>
      <w:sz w:val="22"/>
    </w:rPr>
  </w:style>
  <w:style w:type="paragraph" w:styleId="14">
    <w:name w:val="toc 3"/>
    <w:basedOn w:val="1"/>
    <w:next w:val="1"/>
    <w:unhideWhenUsed/>
    <w:qFormat/>
    <w:uiPriority w:val="39"/>
    <w:pPr>
      <w:spacing w:after="0" w:line="560" w:lineRule="exact"/>
      <w:jc w:val="both"/>
    </w:pPr>
    <w:rPr>
      <w:sz w:val="32"/>
    </w:rPr>
  </w:style>
  <w:style w:type="paragraph" w:styleId="15">
    <w:name w:val="Plain Text"/>
    <w:basedOn w:val="1"/>
    <w:link w:val="80"/>
    <w:unhideWhenUsed/>
    <w:qFormat/>
    <w:uiPriority w:val="0"/>
    <w:pPr>
      <w:widowControl w:val="0"/>
      <w:adjustRightInd w:val="0"/>
      <w:snapToGrid w:val="0"/>
      <w:spacing w:after="0" w:line="520" w:lineRule="exact"/>
      <w:ind w:firstLine="641" w:firstLineChars="200"/>
      <w:jc w:val="both"/>
      <w:textAlignment w:val="baseline"/>
    </w:pPr>
    <w:rPr>
      <w:rFonts w:ascii="宋体" w:hAnsi="Courier New" w:eastAsia="仿宋_GB2312" w:cs="Times New Roman"/>
      <w:sz w:val="32"/>
    </w:rPr>
  </w:style>
  <w:style w:type="paragraph" w:styleId="16">
    <w:name w:val="toc 8"/>
    <w:basedOn w:val="1"/>
    <w:next w:val="1"/>
    <w:unhideWhenUsed/>
    <w:qFormat/>
    <w:uiPriority w:val="39"/>
    <w:pPr>
      <w:spacing w:after="100"/>
      <w:ind w:left="1540"/>
    </w:pPr>
    <w:rPr>
      <w:rFonts w:ascii="Calibri" w:hAnsi="Calibri" w:eastAsia="等线"/>
      <w:sz w:val="22"/>
    </w:rPr>
  </w:style>
  <w:style w:type="paragraph" w:styleId="17">
    <w:name w:val="Balloon Text"/>
    <w:basedOn w:val="1"/>
    <w:link w:val="67"/>
    <w:unhideWhenUsed/>
    <w:qFormat/>
    <w:uiPriority w:val="99"/>
    <w:pPr>
      <w:widowControl w:val="0"/>
      <w:spacing w:after="0" w:line="560" w:lineRule="exact"/>
      <w:ind w:firstLine="200" w:firstLineChars="200"/>
      <w:jc w:val="both"/>
    </w:pPr>
    <w:rPr>
      <w:rFonts w:ascii="仿宋_GB2312" w:eastAsia="仿宋_GB2312"/>
      <w:kern w:val="2"/>
      <w:sz w:val="18"/>
      <w:szCs w:val="18"/>
    </w:rPr>
  </w:style>
  <w:style w:type="paragraph" w:styleId="18">
    <w:name w:val="footer"/>
    <w:basedOn w:val="1"/>
    <w:link w:val="56"/>
    <w:unhideWhenUsed/>
    <w:qFormat/>
    <w:uiPriority w:val="99"/>
    <w:pPr>
      <w:tabs>
        <w:tab w:val="center" w:pos="4320"/>
        <w:tab w:val="right" w:pos="8640"/>
      </w:tabs>
      <w:spacing w:after="0" w:line="240" w:lineRule="auto"/>
    </w:pPr>
  </w:style>
  <w:style w:type="paragraph" w:styleId="19">
    <w:name w:val="header"/>
    <w:basedOn w:val="1"/>
    <w:link w:val="55"/>
    <w:unhideWhenUsed/>
    <w:qFormat/>
    <w:uiPriority w:val="99"/>
    <w:pPr>
      <w:tabs>
        <w:tab w:val="center" w:pos="4320"/>
        <w:tab w:val="right" w:pos="8640"/>
      </w:tabs>
      <w:spacing w:after="0" w:line="240" w:lineRule="auto"/>
    </w:pPr>
  </w:style>
  <w:style w:type="paragraph" w:styleId="20">
    <w:name w:val="toc 1"/>
    <w:basedOn w:val="1"/>
    <w:next w:val="1"/>
    <w:unhideWhenUsed/>
    <w:qFormat/>
    <w:uiPriority w:val="39"/>
    <w:pPr>
      <w:tabs>
        <w:tab w:val="left" w:pos="880"/>
        <w:tab w:val="right" w:leader="dot" w:pos="8833"/>
      </w:tabs>
      <w:spacing w:after="0" w:line="560" w:lineRule="exact"/>
      <w:jc w:val="both"/>
    </w:pPr>
    <w:rPr>
      <w:rFonts w:ascii="黑体" w:hAnsi="黑体" w:eastAsia="黑体"/>
      <w:b/>
      <w:sz w:val="30"/>
    </w:rPr>
  </w:style>
  <w:style w:type="paragraph" w:styleId="21">
    <w:name w:val="toc 4"/>
    <w:basedOn w:val="1"/>
    <w:next w:val="1"/>
    <w:unhideWhenUsed/>
    <w:qFormat/>
    <w:uiPriority w:val="39"/>
    <w:pPr>
      <w:spacing w:after="0" w:line="560" w:lineRule="exact"/>
      <w:jc w:val="both"/>
    </w:pPr>
    <w:rPr>
      <w:rFonts w:ascii="仿宋" w:hAnsi="Calibri"/>
      <w:sz w:val="32"/>
    </w:rPr>
  </w:style>
  <w:style w:type="paragraph" w:styleId="22">
    <w:name w:val="footnote text"/>
    <w:basedOn w:val="1"/>
    <w:link w:val="70"/>
    <w:unhideWhenUsed/>
    <w:qFormat/>
    <w:uiPriority w:val="99"/>
    <w:pPr>
      <w:spacing w:after="0" w:line="240" w:lineRule="auto"/>
      <w:ind w:left="-284" w:right="-714" w:firstLine="709"/>
      <w:jc w:val="both"/>
    </w:pPr>
    <w:rPr>
      <w:rFonts w:ascii="仿宋_GB2312" w:hAnsi="仿宋" w:eastAsia="仿宋_GB2312" w:cs="Arial"/>
      <w:kern w:val="2"/>
      <w:sz w:val="32"/>
      <w:szCs w:val="20"/>
    </w:rPr>
  </w:style>
  <w:style w:type="paragraph" w:styleId="23">
    <w:name w:val="toc 6"/>
    <w:basedOn w:val="1"/>
    <w:next w:val="1"/>
    <w:unhideWhenUsed/>
    <w:qFormat/>
    <w:uiPriority w:val="39"/>
    <w:pPr>
      <w:spacing w:after="100"/>
      <w:ind w:left="1100"/>
    </w:pPr>
    <w:rPr>
      <w:rFonts w:ascii="Calibri" w:hAnsi="Calibri" w:eastAsia="等线"/>
      <w:sz w:val="22"/>
    </w:rPr>
  </w:style>
  <w:style w:type="paragraph" w:styleId="24">
    <w:name w:val="table of figures"/>
    <w:basedOn w:val="1"/>
    <w:next w:val="1"/>
    <w:unhideWhenUsed/>
    <w:qFormat/>
    <w:uiPriority w:val="99"/>
    <w:pPr>
      <w:spacing w:after="0" w:line="560" w:lineRule="exact"/>
      <w:jc w:val="both"/>
    </w:pPr>
    <w:rPr>
      <w:sz w:val="32"/>
    </w:rPr>
  </w:style>
  <w:style w:type="paragraph" w:styleId="25">
    <w:name w:val="toc 2"/>
    <w:basedOn w:val="1"/>
    <w:next w:val="1"/>
    <w:unhideWhenUsed/>
    <w:qFormat/>
    <w:uiPriority w:val="39"/>
    <w:pPr>
      <w:spacing w:after="0" w:line="560" w:lineRule="exact"/>
    </w:pPr>
    <w:rPr>
      <w:rFonts w:ascii="楷体" w:hAnsi="楷体" w:eastAsia="楷体"/>
      <w:sz w:val="30"/>
    </w:rPr>
  </w:style>
  <w:style w:type="paragraph" w:styleId="26">
    <w:name w:val="toc 9"/>
    <w:basedOn w:val="1"/>
    <w:next w:val="1"/>
    <w:unhideWhenUsed/>
    <w:qFormat/>
    <w:uiPriority w:val="39"/>
    <w:pPr>
      <w:spacing w:after="100"/>
      <w:ind w:left="1760"/>
    </w:pPr>
    <w:rPr>
      <w:rFonts w:ascii="Calibri" w:hAnsi="Calibri" w:eastAsia="等线"/>
      <w:sz w:val="22"/>
    </w:rPr>
  </w:style>
  <w:style w:type="paragraph" w:styleId="27">
    <w:name w:val="Normal (Web)"/>
    <w:basedOn w:val="1"/>
    <w:unhideWhenUsed/>
    <w:qFormat/>
    <w:uiPriority w:val="0"/>
    <w:pPr>
      <w:spacing w:before="100" w:beforeAutospacing="1" w:after="100" w:afterAutospacing="1" w:line="240" w:lineRule="auto"/>
      <w:ind w:firstLine="200" w:firstLineChars="200"/>
    </w:pPr>
    <w:rPr>
      <w:rFonts w:eastAsia="Times New Roman" w:cs="Times New Roman"/>
      <w:szCs w:val="24"/>
    </w:rPr>
  </w:style>
  <w:style w:type="paragraph" w:styleId="28">
    <w:name w:val="index 1"/>
    <w:basedOn w:val="1"/>
    <w:next w:val="1"/>
    <w:unhideWhenUsed/>
    <w:qFormat/>
    <w:uiPriority w:val="0"/>
    <w:pPr>
      <w:widowControl w:val="0"/>
      <w:adjustRightInd w:val="0"/>
      <w:snapToGrid w:val="0"/>
      <w:spacing w:after="0" w:line="520" w:lineRule="exact"/>
      <w:ind w:firstLine="641" w:firstLineChars="200"/>
      <w:jc w:val="both"/>
      <w:textAlignment w:val="baseline"/>
    </w:pPr>
    <w:rPr>
      <w:rFonts w:eastAsia="仿宋_GB2312" w:cs="Times New Roman"/>
      <w:sz w:val="32"/>
    </w:rPr>
  </w:style>
  <w:style w:type="paragraph" w:styleId="29">
    <w:name w:val="Title"/>
    <w:basedOn w:val="1"/>
    <w:next w:val="1"/>
    <w:link w:val="62"/>
    <w:qFormat/>
    <w:uiPriority w:val="9"/>
    <w:pPr>
      <w:spacing w:after="0" w:line="560" w:lineRule="exact"/>
      <w:contextualSpacing/>
      <w:jc w:val="center"/>
    </w:pPr>
    <w:rPr>
      <w:rFonts w:ascii="方正小标宋简体" w:hAnsi="Calibri Light" w:eastAsia="方正小标宋简体"/>
      <w:spacing w:val="-10"/>
      <w:kern w:val="28"/>
      <w:sz w:val="44"/>
      <w:szCs w:val="56"/>
    </w:rPr>
  </w:style>
  <w:style w:type="character" w:styleId="31">
    <w:name w:val="Strong"/>
    <w:basedOn w:val="30"/>
    <w:qFormat/>
    <w:uiPriority w:val="22"/>
    <w:rPr>
      <w:b/>
      <w:bCs/>
    </w:rPr>
  </w:style>
  <w:style w:type="character" w:styleId="32">
    <w:name w:val="Emphasis"/>
    <w:basedOn w:val="30"/>
    <w:qFormat/>
    <w:uiPriority w:val="20"/>
    <w:rPr>
      <w:i/>
      <w:iCs/>
    </w:rPr>
  </w:style>
  <w:style w:type="character" w:styleId="33">
    <w:name w:val="Hyperlink"/>
    <w:basedOn w:val="30"/>
    <w:unhideWhenUsed/>
    <w:qFormat/>
    <w:uiPriority w:val="99"/>
    <w:rPr>
      <w:color w:val="0000FF"/>
      <w:u w:val="single"/>
    </w:rPr>
  </w:style>
  <w:style w:type="character" w:styleId="34">
    <w:name w:val="annotation reference"/>
    <w:basedOn w:val="30"/>
    <w:unhideWhenUsed/>
    <w:qFormat/>
    <w:uiPriority w:val="99"/>
    <w:rPr>
      <w:sz w:val="16"/>
      <w:szCs w:val="16"/>
    </w:rPr>
  </w:style>
  <w:style w:type="character" w:styleId="35">
    <w:name w:val="footnote reference"/>
    <w:basedOn w:val="30"/>
    <w:unhideWhenUsed/>
    <w:qFormat/>
    <w:uiPriority w:val="99"/>
    <w:rPr>
      <w:vertAlign w:val="superscript"/>
    </w:rPr>
  </w:style>
  <w:style w:type="table" w:styleId="37">
    <w:name w:val="Table Grid"/>
    <w:basedOn w:val="36"/>
    <w:qFormat/>
    <w:uiPriority w:val="99"/>
    <w:pPr>
      <w:spacing w:after="0" w:line="240" w:lineRule="auto"/>
    </w:pPr>
    <w:rPr>
      <w:rFonts w:ascii="Verdana" w:hAnsi="Verdan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8">
    <w:name w:val="我的正文"/>
    <w:basedOn w:val="1"/>
    <w:link w:val="61"/>
    <w:qFormat/>
    <w:uiPriority w:val="0"/>
    <w:pPr>
      <w:spacing w:after="0" w:line="560" w:lineRule="exact"/>
      <w:ind w:firstLine="200" w:firstLineChars="200"/>
      <w:jc w:val="both"/>
    </w:pPr>
    <w:rPr>
      <w:sz w:val="32"/>
    </w:rPr>
  </w:style>
  <w:style w:type="paragraph" w:customStyle="1" w:styleId="39">
    <w:name w:val="表头"/>
    <w:basedOn w:val="1"/>
    <w:link w:val="63"/>
    <w:qFormat/>
    <w:uiPriority w:val="8"/>
    <w:pPr>
      <w:spacing w:after="0" w:line="560" w:lineRule="exact"/>
      <w:jc w:val="center"/>
    </w:pPr>
    <w:rPr>
      <w:kern w:val="2"/>
    </w:rPr>
  </w:style>
  <w:style w:type="paragraph" w:customStyle="1" w:styleId="40">
    <w:name w:val="图片"/>
    <w:basedOn w:val="39"/>
    <w:link w:val="64"/>
    <w:qFormat/>
    <w:uiPriority w:val="1"/>
    <w:rPr>
      <w:rFonts w:cs="Arial"/>
      <w:szCs w:val="24"/>
    </w:rPr>
  </w:style>
  <w:style w:type="paragraph" w:customStyle="1" w:styleId="41">
    <w:name w:val="资料来源"/>
    <w:basedOn w:val="1"/>
    <w:link w:val="65"/>
    <w:qFormat/>
    <w:uiPriority w:val="1"/>
    <w:pPr>
      <w:spacing w:after="0" w:line="560" w:lineRule="exact"/>
      <w:ind w:firstLine="200" w:firstLineChars="200"/>
      <w:jc w:val="both"/>
    </w:pPr>
    <w:rPr>
      <w:rFonts w:cs="Arial"/>
      <w:kern w:val="2"/>
      <w:sz w:val="32"/>
      <w:szCs w:val="24"/>
    </w:rPr>
  </w:style>
  <w:style w:type="paragraph" w:customStyle="1" w:styleId="42">
    <w:name w:val="List Paragraph1"/>
    <w:basedOn w:val="1"/>
    <w:qFormat/>
    <w:uiPriority w:val="34"/>
    <w:pPr>
      <w:widowControl w:val="0"/>
      <w:spacing w:after="0" w:line="560" w:lineRule="exact"/>
      <w:ind w:firstLine="420" w:firstLineChars="200"/>
      <w:jc w:val="both"/>
    </w:pPr>
    <w:rPr>
      <w:rFonts w:ascii="仿宋_GB2312" w:eastAsia="仿宋_GB2312"/>
      <w:kern w:val="2"/>
      <w:sz w:val="21"/>
    </w:rPr>
  </w:style>
  <w:style w:type="paragraph" w:customStyle="1" w:styleId="43">
    <w:name w:val="列出段落1"/>
    <w:basedOn w:val="1"/>
    <w:qFormat/>
    <w:uiPriority w:val="34"/>
    <w:pPr>
      <w:widowControl w:val="0"/>
      <w:spacing w:after="0" w:line="560" w:lineRule="exact"/>
      <w:ind w:left="720" w:firstLine="200" w:firstLineChars="200"/>
      <w:contextualSpacing/>
      <w:jc w:val="both"/>
    </w:pPr>
    <w:rPr>
      <w:rFonts w:ascii="仿宋_GB2312" w:eastAsia="仿宋_GB2312"/>
      <w:kern w:val="2"/>
      <w:sz w:val="21"/>
    </w:rPr>
  </w:style>
  <w:style w:type="paragraph" w:customStyle="1" w:styleId="44">
    <w:name w:val="Style1"/>
    <w:basedOn w:val="3"/>
    <w:link w:val="68"/>
    <w:semiHidden/>
    <w:qFormat/>
    <w:uiPriority w:val="0"/>
    <w:pPr>
      <w:widowControl w:val="0"/>
      <w:numPr>
        <w:numId w:val="0"/>
      </w:numPr>
      <w:spacing w:before="240" w:line="520" w:lineRule="exact"/>
      <w:jc w:val="center"/>
    </w:pPr>
    <w:rPr>
      <w:rFonts w:ascii="方正小标宋简体" w:hAnsi="方正小标宋简体" w:eastAsia="方正小标宋简体" w:cs="方正小标宋简体"/>
      <w:kern w:val="2"/>
      <w:sz w:val="36"/>
      <w:szCs w:val="44"/>
    </w:rPr>
  </w:style>
  <w:style w:type="paragraph" w:customStyle="1" w:styleId="45">
    <w:name w:val="题注1"/>
    <w:basedOn w:val="1"/>
    <w:next w:val="1"/>
    <w:unhideWhenUsed/>
    <w:qFormat/>
    <w:uiPriority w:val="35"/>
    <w:pPr>
      <w:spacing w:after="200" w:line="560" w:lineRule="exact"/>
      <w:ind w:firstLine="200" w:firstLineChars="200"/>
    </w:pPr>
    <w:rPr>
      <w:rFonts w:ascii="Arial" w:hAnsi="Arial" w:eastAsia="仿宋_GB2312"/>
      <w:b/>
      <w:bCs/>
      <w:color w:val="86BC25"/>
      <w:sz w:val="18"/>
      <w:szCs w:val="18"/>
    </w:rPr>
  </w:style>
  <w:style w:type="paragraph" w:customStyle="1" w:styleId="46">
    <w:name w:val="TOC 标题1"/>
    <w:basedOn w:val="3"/>
    <w:next w:val="1"/>
    <w:unhideWhenUsed/>
    <w:qFormat/>
    <w:uiPriority w:val="39"/>
    <w:pPr>
      <w:numPr>
        <w:numId w:val="0"/>
      </w:numPr>
      <w:spacing w:before="240" w:line="259" w:lineRule="auto"/>
      <w:outlineLvl w:val="9"/>
    </w:pPr>
    <w:rPr>
      <w:rFonts w:ascii="Calibri Light" w:eastAsia="等线 Light"/>
      <w:color w:val="2D73B3"/>
      <w:lang w:eastAsia="en-US"/>
    </w:rPr>
  </w:style>
  <w:style w:type="paragraph" w:customStyle="1" w:styleId="47">
    <w:name w:val="小标题"/>
    <w:basedOn w:val="38"/>
    <w:link w:val="74"/>
    <w:qFormat/>
    <w:uiPriority w:val="2"/>
    <w:pPr>
      <w:ind w:firstLine="0" w:firstLineChars="0"/>
      <w:jc w:val="center"/>
    </w:pPr>
  </w:style>
  <w:style w:type="paragraph" w:customStyle="1" w:styleId="48">
    <w:name w:val="我的脚注"/>
    <w:basedOn w:val="22"/>
    <w:link w:val="77"/>
    <w:qFormat/>
    <w:uiPriority w:val="2"/>
    <w:rPr>
      <w:rFonts w:ascii="Times New Roman" w:hAnsi="Times New Roman" w:eastAsia="仿宋"/>
      <w:sz w:val="20"/>
    </w:rPr>
  </w:style>
  <w:style w:type="paragraph" w:customStyle="1" w:styleId="49">
    <w:name w:val="目录"/>
    <w:basedOn w:val="47"/>
    <w:link w:val="78"/>
    <w:qFormat/>
    <w:uiPriority w:val="2"/>
    <w:rPr>
      <w:rFonts w:cs="Times New Roman"/>
      <w:color w:val="000000"/>
    </w:rPr>
  </w:style>
  <w:style w:type="paragraph" w:customStyle="1" w:styleId="50">
    <w:name w:val="List Paragraph2"/>
    <w:basedOn w:val="1"/>
    <w:qFormat/>
    <w:uiPriority w:val="34"/>
    <w:pPr>
      <w:widowControl w:val="0"/>
      <w:adjustRightInd w:val="0"/>
      <w:snapToGrid w:val="0"/>
      <w:spacing w:after="0" w:line="360" w:lineRule="auto"/>
      <w:ind w:firstLine="420" w:firstLineChars="200"/>
    </w:pPr>
    <w:rPr>
      <w:rFonts w:ascii="仿宋_GB2312" w:cs="Times New Roman"/>
      <w:kern w:val="2"/>
      <w:sz w:val="28"/>
      <w:szCs w:val="32"/>
    </w:rPr>
  </w:style>
  <w:style w:type="paragraph" w:customStyle="1" w:styleId="51">
    <w:name w:val="TOC 标题2"/>
    <w:basedOn w:val="3"/>
    <w:next w:val="1"/>
    <w:unhideWhenUsed/>
    <w:qFormat/>
    <w:uiPriority w:val="39"/>
    <w:pPr>
      <w:numPr>
        <w:numId w:val="0"/>
      </w:numPr>
      <w:spacing w:before="240" w:line="259" w:lineRule="auto"/>
      <w:outlineLvl w:val="9"/>
    </w:pPr>
    <w:rPr>
      <w:rFonts w:ascii="Cambria" w:hAnsi="Cambria" w:eastAsia="宋体"/>
      <w:color w:val="365F90"/>
      <w:lang w:eastAsia="en-US"/>
    </w:rPr>
  </w:style>
  <w:style w:type="paragraph" w:customStyle="1" w:styleId="52">
    <w:name w:val="修订1"/>
    <w:hidden/>
    <w:semiHidden/>
    <w:qFormat/>
    <w:uiPriority w:val="99"/>
    <w:pPr>
      <w:spacing w:after="0" w:line="240" w:lineRule="auto"/>
    </w:pPr>
    <w:rPr>
      <w:rFonts w:ascii="Times New Roman" w:hAnsi="Times New Roman" w:eastAsia="仿宋" w:cs="黑体"/>
      <w:sz w:val="24"/>
      <w:szCs w:val="22"/>
      <w:lang w:val="en-US" w:eastAsia="zh-CN" w:bidi="ar-SA"/>
    </w:rPr>
  </w:style>
  <w:style w:type="paragraph" w:customStyle="1" w:styleId="53">
    <w:name w:val="正文 样式4"/>
    <w:basedOn w:val="1"/>
    <w:qFormat/>
    <w:uiPriority w:val="0"/>
    <w:pPr>
      <w:spacing w:line="360" w:lineRule="auto"/>
      <w:ind w:firstLine="480" w:firstLineChars="200"/>
    </w:pPr>
    <w:rPr>
      <w:rFonts w:ascii="宋体" w:hAnsi="宋体" w:eastAsia="宋体"/>
      <w:sz w:val="30"/>
      <w:szCs w:val="28"/>
    </w:rPr>
  </w:style>
  <w:style w:type="paragraph" w:customStyle="1" w:styleId="54">
    <w:name w:val="修订2"/>
    <w:hidden/>
    <w:semiHidden/>
    <w:qFormat/>
    <w:uiPriority w:val="99"/>
    <w:pPr>
      <w:spacing w:after="0" w:line="240" w:lineRule="auto"/>
    </w:pPr>
    <w:rPr>
      <w:rFonts w:ascii="Times New Roman" w:hAnsi="Times New Roman" w:eastAsia="仿宋" w:cs="黑体"/>
      <w:sz w:val="24"/>
      <w:szCs w:val="22"/>
      <w:lang w:val="en-US" w:eastAsia="zh-CN" w:bidi="ar-SA"/>
    </w:rPr>
  </w:style>
  <w:style w:type="character" w:customStyle="1" w:styleId="55">
    <w:name w:val="页眉 字符"/>
    <w:basedOn w:val="30"/>
    <w:link w:val="19"/>
    <w:qFormat/>
    <w:uiPriority w:val="99"/>
  </w:style>
  <w:style w:type="character" w:customStyle="1" w:styleId="56">
    <w:name w:val="页脚 字符"/>
    <w:basedOn w:val="30"/>
    <w:link w:val="18"/>
    <w:qFormat/>
    <w:uiPriority w:val="99"/>
  </w:style>
  <w:style w:type="character" w:customStyle="1" w:styleId="57">
    <w:name w:val="标题 1 字符"/>
    <w:basedOn w:val="30"/>
    <w:link w:val="3"/>
    <w:qFormat/>
    <w:uiPriority w:val="8"/>
    <w:rPr>
      <w:rFonts w:ascii="黑体" w:hAnsi="Calibri Light" w:eastAsia="黑体" w:cs="黑体"/>
      <w:sz w:val="32"/>
      <w:szCs w:val="32"/>
    </w:rPr>
  </w:style>
  <w:style w:type="character" w:customStyle="1" w:styleId="58">
    <w:name w:val="标题 2 字符"/>
    <w:basedOn w:val="30"/>
    <w:link w:val="4"/>
    <w:qFormat/>
    <w:uiPriority w:val="8"/>
    <w:rPr>
      <w:rFonts w:ascii="楷体_GB2312" w:hAnsi="Calibri Light" w:eastAsia="楷体_GB2312" w:cs="黑体"/>
      <w:sz w:val="32"/>
      <w:szCs w:val="26"/>
    </w:rPr>
  </w:style>
  <w:style w:type="character" w:customStyle="1" w:styleId="59">
    <w:name w:val="标题 3 字符"/>
    <w:basedOn w:val="30"/>
    <w:link w:val="5"/>
    <w:qFormat/>
    <w:uiPriority w:val="8"/>
    <w:rPr>
      <w:rFonts w:eastAsia="仿宋_GB2312" w:cs="黑体"/>
      <w:b/>
      <w:sz w:val="32"/>
      <w:szCs w:val="24"/>
    </w:rPr>
  </w:style>
  <w:style w:type="character" w:customStyle="1" w:styleId="60">
    <w:name w:val="标题 4 字符"/>
    <w:basedOn w:val="30"/>
    <w:link w:val="6"/>
    <w:qFormat/>
    <w:uiPriority w:val="8"/>
    <w:rPr>
      <w:rFonts w:eastAsia="仿宋_GB2312" w:cs="黑体"/>
      <w:b/>
      <w:iCs/>
      <w:sz w:val="32"/>
      <w:szCs w:val="22"/>
    </w:rPr>
  </w:style>
  <w:style w:type="character" w:customStyle="1" w:styleId="61">
    <w:name w:val="我的正文 字符"/>
    <w:basedOn w:val="30"/>
    <w:link w:val="38"/>
    <w:qFormat/>
    <w:uiPriority w:val="0"/>
    <w:rPr>
      <w:rFonts w:ascii="Times New Roman" w:hAnsi="Times New Roman" w:eastAsia="仿宋"/>
      <w:sz w:val="32"/>
    </w:rPr>
  </w:style>
  <w:style w:type="character" w:customStyle="1" w:styleId="62">
    <w:name w:val="标题 字符"/>
    <w:basedOn w:val="30"/>
    <w:link w:val="29"/>
    <w:qFormat/>
    <w:uiPriority w:val="9"/>
    <w:rPr>
      <w:rFonts w:ascii="方正小标宋简体" w:hAnsi="Calibri Light" w:eastAsia="方正小标宋简体" w:cs="黑体"/>
      <w:spacing w:val="-10"/>
      <w:kern w:val="28"/>
      <w:sz w:val="44"/>
      <w:szCs w:val="56"/>
    </w:rPr>
  </w:style>
  <w:style w:type="character" w:customStyle="1" w:styleId="63">
    <w:name w:val="表头 字符"/>
    <w:basedOn w:val="30"/>
    <w:link w:val="39"/>
    <w:qFormat/>
    <w:uiPriority w:val="8"/>
    <w:rPr>
      <w:rFonts w:eastAsia="仿宋" w:cs="黑体"/>
      <w:kern w:val="2"/>
      <w:sz w:val="24"/>
      <w:szCs w:val="22"/>
    </w:rPr>
  </w:style>
  <w:style w:type="character" w:customStyle="1" w:styleId="64">
    <w:name w:val="图片 字符"/>
    <w:basedOn w:val="63"/>
    <w:link w:val="40"/>
    <w:qFormat/>
    <w:uiPriority w:val="1"/>
    <w:rPr>
      <w:rFonts w:ascii="Times New Roman" w:hAnsi="Times New Roman" w:eastAsia="仿宋" w:cs="Arial"/>
      <w:kern w:val="2"/>
      <w:sz w:val="32"/>
      <w:szCs w:val="24"/>
    </w:rPr>
  </w:style>
  <w:style w:type="character" w:customStyle="1" w:styleId="65">
    <w:name w:val="资料来源 字符"/>
    <w:basedOn w:val="30"/>
    <w:link w:val="41"/>
    <w:qFormat/>
    <w:uiPriority w:val="1"/>
    <w:rPr>
      <w:rFonts w:ascii="Times New Roman" w:hAnsi="Times New Roman" w:eastAsia="仿宋" w:cs="Arial"/>
      <w:kern w:val="2"/>
      <w:sz w:val="32"/>
      <w:szCs w:val="24"/>
    </w:rPr>
  </w:style>
  <w:style w:type="character" w:customStyle="1" w:styleId="66">
    <w:name w:val="标题 5 字符"/>
    <w:basedOn w:val="30"/>
    <w:link w:val="7"/>
    <w:qFormat/>
    <w:uiPriority w:val="8"/>
    <w:rPr>
      <w:rFonts w:ascii="仿宋_GB2312" w:hAnsi="Calibri Light" w:eastAsia="仿宋_GB2312" w:cs="黑体"/>
      <w:sz w:val="32"/>
      <w:szCs w:val="22"/>
    </w:rPr>
  </w:style>
  <w:style w:type="character" w:customStyle="1" w:styleId="67">
    <w:name w:val="批注框文本 字符"/>
    <w:basedOn w:val="30"/>
    <w:link w:val="17"/>
    <w:qFormat/>
    <w:uiPriority w:val="99"/>
    <w:rPr>
      <w:rFonts w:ascii="仿宋_GB2312" w:eastAsia="仿宋_GB2312"/>
      <w:kern w:val="2"/>
      <w:sz w:val="18"/>
      <w:szCs w:val="18"/>
    </w:rPr>
  </w:style>
  <w:style w:type="character" w:customStyle="1" w:styleId="68">
    <w:name w:val="Style1 Char"/>
    <w:basedOn w:val="57"/>
    <w:link w:val="44"/>
    <w:semiHidden/>
    <w:qFormat/>
    <w:uiPriority w:val="0"/>
    <w:rPr>
      <w:rFonts w:ascii="方正小标宋简体" w:hAnsi="方正小标宋简体" w:eastAsia="方正小标宋简体" w:cs="方正小标宋简体"/>
      <w:kern w:val="2"/>
      <w:sz w:val="36"/>
      <w:szCs w:val="44"/>
    </w:rPr>
  </w:style>
  <w:style w:type="character" w:customStyle="1" w:styleId="69">
    <w:name w:val="bjh-strong"/>
    <w:basedOn w:val="30"/>
    <w:semiHidden/>
    <w:qFormat/>
    <w:uiPriority w:val="0"/>
  </w:style>
  <w:style w:type="character" w:customStyle="1" w:styleId="70">
    <w:name w:val="脚注文本 字符"/>
    <w:basedOn w:val="30"/>
    <w:link w:val="22"/>
    <w:qFormat/>
    <w:uiPriority w:val="99"/>
    <w:rPr>
      <w:rFonts w:ascii="仿宋_GB2312" w:hAnsi="仿宋" w:eastAsia="仿宋_GB2312" w:cs="Arial"/>
      <w:kern w:val="2"/>
      <w:sz w:val="32"/>
      <w:szCs w:val="20"/>
    </w:rPr>
  </w:style>
  <w:style w:type="character" w:customStyle="1" w:styleId="71">
    <w:name w:val="bjh-p"/>
    <w:basedOn w:val="30"/>
    <w:semiHidden/>
    <w:qFormat/>
    <w:uiPriority w:val="0"/>
  </w:style>
  <w:style w:type="character" w:customStyle="1" w:styleId="72">
    <w:name w:val="文档结构图 字符"/>
    <w:link w:val="12"/>
    <w:semiHidden/>
    <w:qFormat/>
    <w:uiPriority w:val="0"/>
    <w:rPr>
      <w:rFonts w:ascii="Verdana" w:hAnsi="Verdana" w:eastAsia="仿宋_GB2312"/>
      <w:b/>
      <w:sz w:val="32"/>
      <w:szCs w:val="24"/>
      <w:shd w:val="clear" w:color="auto" w:fill="000080"/>
    </w:rPr>
  </w:style>
  <w:style w:type="character" w:customStyle="1" w:styleId="73">
    <w:name w:val="Document Map Char1"/>
    <w:basedOn w:val="30"/>
    <w:semiHidden/>
    <w:qFormat/>
    <w:uiPriority w:val="99"/>
    <w:rPr>
      <w:rFonts w:ascii="Segoe UI" w:hAnsi="Segoe UI" w:eastAsia="仿宋" w:cs="Segoe UI"/>
      <w:sz w:val="16"/>
      <w:szCs w:val="16"/>
    </w:rPr>
  </w:style>
  <w:style w:type="character" w:customStyle="1" w:styleId="74">
    <w:name w:val="小标题 字符"/>
    <w:basedOn w:val="61"/>
    <w:link w:val="47"/>
    <w:qFormat/>
    <w:uiPriority w:val="2"/>
    <w:rPr>
      <w:rFonts w:ascii="Times New Roman" w:hAnsi="Times New Roman" w:eastAsia="仿宋"/>
      <w:sz w:val="32"/>
    </w:rPr>
  </w:style>
  <w:style w:type="character" w:customStyle="1" w:styleId="75">
    <w:name w:val="批注文字 字符"/>
    <w:basedOn w:val="30"/>
    <w:link w:val="9"/>
    <w:semiHidden/>
    <w:qFormat/>
    <w:uiPriority w:val="99"/>
    <w:rPr>
      <w:rFonts w:eastAsia="仿宋" w:cs="黑体"/>
    </w:rPr>
  </w:style>
  <w:style w:type="character" w:customStyle="1" w:styleId="76">
    <w:name w:val="批注主题 字符"/>
    <w:basedOn w:val="75"/>
    <w:link w:val="8"/>
    <w:semiHidden/>
    <w:qFormat/>
    <w:uiPriority w:val="99"/>
    <w:rPr>
      <w:rFonts w:eastAsia="仿宋" w:cs="黑体"/>
      <w:b/>
      <w:bCs/>
    </w:rPr>
  </w:style>
  <w:style w:type="character" w:customStyle="1" w:styleId="77">
    <w:name w:val="我的脚注 字符"/>
    <w:basedOn w:val="70"/>
    <w:link w:val="48"/>
    <w:qFormat/>
    <w:uiPriority w:val="2"/>
    <w:rPr>
      <w:rFonts w:ascii="仿宋_GB2312" w:hAnsi="仿宋" w:eastAsia="仿宋" w:cs="Arial"/>
      <w:kern w:val="2"/>
      <w:sz w:val="32"/>
      <w:szCs w:val="20"/>
    </w:rPr>
  </w:style>
  <w:style w:type="character" w:customStyle="1" w:styleId="78">
    <w:name w:val="目录 字符"/>
    <w:basedOn w:val="74"/>
    <w:link w:val="49"/>
    <w:qFormat/>
    <w:uiPriority w:val="2"/>
    <w:rPr>
      <w:rFonts w:ascii="Times New Roman" w:hAnsi="Times New Roman" w:eastAsia="仿宋"/>
      <w:color w:val="000000"/>
      <w:sz w:val="32"/>
      <w:szCs w:val="22"/>
    </w:rPr>
  </w:style>
  <w:style w:type="character" w:customStyle="1" w:styleId="79">
    <w:name w:val="正文文本 字符"/>
    <w:basedOn w:val="30"/>
    <w:link w:val="2"/>
    <w:qFormat/>
    <w:uiPriority w:val="99"/>
    <w:rPr>
      <w:rFonts w:ascii="Calibri" w:hAnsi="Calibri" w:cs="宋体"/>
      <w:kern w:val="2"/>
      <w:sz w:val="21"/>
      <w:szCs w:val="24"/>
    </w:rPr>
  </w:style>
  <w:style w:type="character" w:customStyle="1" w:styleId="80">
    <w:name w:val="纯文本 字符"/>
    <w:basedOn w:val="30"/>
    <w:link w:val="15"/>
    <w:qFormat/>
    <w:uiPriority w:val="0"/>
    <w:rPr>
      <w:rFonts w:ascii="宋体" w:hAnsi="Courier New" w:eastAsia="仿宋_GB2312"/>
      <w:sz w:val="32"/>
      <w:szCs w:val="22"/>
    </w:rPr>
  </w:style>
  <w:style w:type="character" w:customStyle="1" w:styleId="81">
    <w:name w:val="NormalCharacter"/>
    <w:qFormat/>
    <w:uiPriority w:val="0"/>
  </w:style>
  <w:style w:type="table" w:customStyle="1" w:styleId="82">
    <w:name w:val="无格式表格 11"/>
    <w:basedOn w:val="36"/>
    <w:qFormat/>
    <w:uiPriority w:val="41"/>
    <w:pPr>
      <w:spacing w:after="0" w:line="240" w:lineRule="auto"/>
    </w:pPr>
    <w:rPr>
      <w:rFonts w:ascii="Verdana" w:hAnsi="Verdana"/>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83">
    <w:name w:val="无格式表格 12"/>
    <w:basedOn w:val="36"/>
    <w:qFormat/>
    <w:uiPriority w:val="41"/>
    <w:pPr>
      <w:spacing w:after="0" w:line="240" w:lineRule="auto"/>
    </w:p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fixed"/>
    </w:tblPr>
    <w:tblStylePr w:type="firstRow">
      <w:rPr>
        <w:b/>
        <w:bCs/>
      </w:rPr>
    </w:tblStylePr>
    <w:tblStylePr w:type="lastRow">
      <w:rPr>
        <w:b/>
        <w:bCs/>
      </w:rPr>
      <w:tcPr>
        <w:tcBorders>
          <w:top w:val="double" w:color="BFBFB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2658FE-8F39-4EF7-A4E2-F1B18096902D}">
  <ds:schemaRefs/>
</ds:datastoreItem>
</file>

<file path=docProps/app.xml><?xml version="1.0" encoding="utf-8"?>
<Properties xmlns="http://schemas.openxmlformats.org/officeDocument/2006/extended-properties" xmlns:vt="http://schemas.openxmlformats.org/officeDocument/2006/docPropsVTypes">
  <Template>Normal.dotm</Template>
  <Company>Deloitte Touche Tohmatsu Services, Inc.</Company>
  <Pages>27</Pages>
  <Words>2282</Words>
  <Characters>13012</Characters>
  <Lines>108</Lines>
  <Paragraphs>30</Paragraphs>
  <ScaleCrop>false</ScaleCrop>
  <LinksUpToDate>false</LinksUpToDate>
  <CharactersWithSpaces>15264</CharactersWithSpaces>
  <Application>WPS Office_10.8.0.6253_F1E327BC-269C-435d-A152-05C5408002CA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2021-05-11T11:54:00Z</dcterms:created>
  <dc:creator>Jeff RuixinMao</dc:creator>
  <cp:lastModifiedBy>刘冰</cp:lastModifiedBy>
  <cp:lastPrinted>2021-04-09T15:02:00Z</cp:lastPrinted>
  <dcterms:modified xsi:type="dcterms:W3CDTF">2021-05-18T06:37:56Z</dcterms:modified>
  <dc:title>东城区产业发展趋势与定位课题研究</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2052-10.8.0.6253</vt:lpwstr>
  </property>
</Properties>
</file>