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line="560" w:lineRule="exact"/>
        <w:jc w:val="center"/>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rPr>
        <w:t>关于制定</w:t>
      </w:r>
      <w:r>
        <w:rPr>
          <w:rFonts w:hint="eastAsia" w:ascii="方正小标宋简体" w:hAnsi="方正小标宋简体" w:eastAsia="方正小标宋简体" w:cs="方正小标宋简体"/>
          <w:sz w:val="44"/>
          <w:szCs w:val="44"/>
          <w:lang w:eastAsia="zh-CN"/>
        </w:rPr>
        <w:t>《北京市东城区群众举报涉嫌非法集资线索奖励办法》的起草说明</w:t>
      </w:r>
    </w:p>
    <w:p>
      <w:pPr>
        <w:rPr>
          <w:rFonts w:hint="eastAsia"/>
          <w:lang w:eastAsia="zh-CN"/>
        </w:rPr>
      </w:pPr>
    </w:p>
    <w:p>
      <w:pPr>
        <w:pStyle w:val="2"/>
        <w:widowControl/>
        <w:adjustRightInd w:val="0"/>
        <w:snapToGrid w:val="0"/>
        <w:spacing w:before="0" w:after="0"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为扎实有效推动防范和处置非法集资工作与群防群治有效结合，我办结合本区实际，特制定《北京市东城区群众举报涉嫌非法集资线索奖励办法》（以下简称“东城区奖励办法”），</w:t>
      </w:r>
      <w:r>
        <w:rPr>
          <w:rFonts w:hint="eastAsia" w:ascii="仿宋_GB2312" w:hAnsi="仿宋_GB2312" w:eastAsia="仿宋_GB2312" w:cs="仿宋_GB2312"/>
          <w:b w:val="0"/>
          <w:bCs w:val="0"/>
          <w:color w:val="auto"/>
          <w:sz w:val="32"/>
          <w:szCs w:val="32"/>
        </w:rPr>
        <w:t xml:space="preserve">政策制定必要性具体情况说明如下： </w:t>
      </w:r>
    </w:p>
    <w:p>
      <w:pPr>
        <w:widowControl w:val="0"/>
        <w:numPr>
          <w:ilvl w:val="0"/>
          <w:numId w:val="1"/>
        </w:numPr>
        <w:wordWrap/>
        <w:adjustRightInd/>
        <w:snapToGrid/>
        <w:spacing w:line="560" w:lineRule="exact"/>
        <w:ind w:right="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制定背景</w:t>
      </w:r>
    </w:p>
    <w:p>
      <w:pPr>
        <w:widowControl w:val="0"/>
        <w:numPr>
          <w:numId w:val="0"/>
        </w:numPr>
        <w:wordWrap/>
        <w:adjustRightInd/>
        <w:snapToGrid/>
        <w:spacing w:line="560" w:lineRule="exact"/>
        <w:ind w:right="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防范和处置非法集资是一项长期、复杂、艰巨的系统性工程，关系人民群众切身利益、经济金融健康发展和社会稳定大局。党中央、国务院对此高度重视，出台有关文件明确了防范和处置非法集资的基本原则、工作机制、工作责任、具体举措和重点任务。出台《</w:t>
      </w:r>
      <w:r>
        <w:rPr>
          <w:rFonts w:hint="eastAsia" w:ascii="仿宋_GB2312" w:hAnsi="仿宋_GB2312" w:eastAsia="仿宋_GB2312" w:cs="仿宋_GB2312"/>
          <w:b w:val="0"/>
          <w:bCs w:val="0"/>
          <w:color w:val="auto"/>
          <w:sz w:val="32"/>
          <w:szCs w:val="32"/>
          <w:lang w:val="en-US" w:eastAsia="zh-CN"/>
        </w:rPr>
        <w:t>东城区奖励办法</w:t>
      </w:r>
      <w:r>
        <w:rPr>
          <w:rFonts w:hint="eastAsia" w:ascii="仿宋_GB2312" w:hAnsi="仿宋_GB2312" w:eastAsia="仿宋_GB2312" w:cs="仿宋_GB2312"/>
          <w:color w:val="auto"/>
          <w:sz w:val="32"/>
          <w:szCs w:val="32"/>
          <w:highlight w:val="none"/>
          <w:lang w:val="en-US" w:eastAsia="zh-CN"/>
        </w:rPr>
        <w:t>》，对进一步强化社会监督、及时发现非法集资案件线索、有效化解金融风险隐患、严厉打击非法金融活动、切实维护经济金融秩序和社会稳定具有重要意义。</w:t>
      </w:r>
    </w:p>
    <w:p>
      <w:pPr>
        <w:widowControl w:val="0"/>
        <w:numPr>
          <w:numId w:val="0"/>
        </w:numPr>
        <w:wordWrap/>
        <w:adjustRightInd/>
        <w:snapToGrid/>
        <w:spacing w:line="560" w:lineRule="exact"/>
        <w:ind w:right="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二、制定依据</w:t>
      </w:r>
    </w:p>
    <w:p>
      <w:pPr>
        <w:widowControl w:val="0"/>
        <w:numPr>
          <w:ilvl w:val="0"/>
          <w:numId w:val="2"/>
        </w:numPr>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rPr>
        <w:t>《防范和处置非法集资条例》（中华人民共和国国务院令第737</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号，以下简称《条例》）经国务院批准于2021年2月10日发布，自2021年5月1日起施行。《条例》共五章四十条款，分别为总则、防范、处置、法律依据和附则。</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b/>
          <w:bCs/>
          <w:color w:val="auto"/>
          <w:sz w:val="32"/>
          <w:szCs w:val="32"/>
          <w:highlight w:val="none"/>
          <w:lang w:val="en-US" w:eastAsia="zh-CN"/>
        </w:rPr>
        <w:t>第十六条</w:t>
      </w:r>
      <w:r>
        <w:rPr>
          <w:rFonts w:hint="eastAsia" w:ascii="仿宋_GB2312" w:hAnsi="仿宋_GB2312" w:eastAsia="仿宋_GB2312" w:cs="仿宋_GB2312"/>
          <w:b w:val="0"/>
          <w:bCs w:val="0"/>
          <w:color w:val="auto"/>
          <w:sz w:val="32"/>
          <w:szCs w:val="32"/>
          <w:highlight w:val="none"/>
          <w:lang w:val="en-US" w:eastAsia="zh-CN"/>
        </w:rPr>
        <w:t>明确表示：</w:t>
      </w:r>
      <w:r>
        <w:rPr>
          <w:rFonts w:hint="eastAsia" w:ascii="仿宋_GB2312" w:hAnsi="仿宋_GB2312" w:eastAsia="仿宋_GB2312" w:cs="仿宋_GB2312"/>
          <w:color w:val="auto"/>
          <w:sz w:val="32"/>
          <w:szCs w:val="32"/>
          <w:highlight w:val="none"/>
          <w:lang w:val="en-US" w:eastAsia="zh-CN"/>
        </w:rPr>
        <w:t>国家鼓励对涉嫌非法集资行为进行举报。处置非法集资牵头部门以及其他有关部门应当公开举报电话和邮箱等举报方式、在政府网站设置举报专栏，接受举报，及时依法处理，并为举报人保密。</w:t>
      </w:r>
    </w:p>
    <w:p>
      <w:pPr>
        <w:widowControl w:val="0"/>
        <w:numPr>
          <w:ilvl w:val="0"/>
          <w:numId w:val="2"/>
        </w:numPr>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lang w:val="en-US" w:eastAsia="zh-CN"/>
        </w:rPr>
        <w:t>2016年3月30日，</w:t>
      </w:r>
      <w:r>
        <w:rPr>
          <w:rFonts w:hint="eastAsia" w:ascii="仿宋_GB2312" w:hAnsi="仿宋_GB2312" w:eastAsia="仿宋_GB2312" w:cs="仿宋_GB2312"/>
          <w:color w:val="auto"/>
          <w:sz w:val="32"/>
          <w:szCs w:val="32"/>
          <w:highlight w:val="none"/>
          <w:lang w:val="en-US" w:eastAsia="zh-CN"/>
        </w:rPr>
        <w:t>市金融监管局出台</w:t>
      </w:r>
      <w:r>
        <w:rPr>
          <w:rFonts w:hint="eastAsia" w:ascii="仿宋_GB2312" w:hAnsi="仿宋_GB2312" w:eastAsia="仿宋_GB2312" w:cs="仿宋_GB2312"/>
          <w:b w:val="0"/>
          <w:bCs w:val="0"/>
          <w:color w:val="auto"/>
          <w:sz w:val="32"/>
          <w:szCs w:val="32"/>
          <w:lang w:val="en-US" w:eastAsia="zh-CN"/>
        </w:rPr>
        <w:t>《北京市群众举报涉嫌非法集资线索奖励办法》</w:t>
      </w:r>
      <w:r>
        <w:rPr>
          <w:rFonts w:hint="eastAsia" w:ascii="仿宋_GB2312" w:hAnsi="仿宋_GB2312" w:eastAsia="仿宋_GB2312" w:cs="仿宋_GB2312"/>
          <w:color w:val="auto"/>
          <w:sz w:val="32"/>
          <w:szCs w:val="32"/>
          <w:highlight w:val="none"/>
          <w:lang w:val="en-US" w:eastAsia="zh-CN"/>
        </w:rPr>
        <w:t>，奖励最高</w:t>
      </w:r>
      <w:r>
        <w:rPr>
          <w:rFonts w:hint="eastAsia" w:ascii="仿宋_GB2312" w:hAnsi="仿宋_GB2312" w:eastAsia="仿宋_GB2312" w:cs="仿宋_GB2312"/>
          <w:sz w:val="32"/>
          <w:szCs w:val="32"/>
          <w:lang w:val="en-US" w:eastAsia="zh-CN"/>
        </w:rPr>
        <w:t>10万元</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shd w:val="clear" w:color="auto" w:fill="auto"/>
          <w:lang w:val="en-US" w:eastAsia="zh-CN"/>
        </w:rPr>
        <w:t>并提出鼓励各区出台相应奖励办法。</w:t>
      </w:r>
      <w:r>
        <w:rPr>
          <w:rFonts w:hint="eastAsia" w:ascii="仿宋_GB2312" w:hAnsi="仿宋_GB2312" w:eastAsia="仿宋_GB2312" w:cs="仿宋_GB2312"/>
          <w:color w:val="auto"/>
          <w:sz w:val="32"/>
          <w:szCs w:val="32"/>
          <w:highlight w:val="none"/>
          <w:lang w:val="en-US" w:eastAsia="zh-CN"/>
        </w:rPr>
        <w:t>2020年，市金融监管局将各区出台奖励办法纳入</w:t>
      </w:r>
      <w:r>
        <w:rPr>
          <w:rFonts w:hint="eastAsia" w:ascii="仿宋_GB2312" w:eastAsia="仿宋_GB2312"/>
          <w:color w:val="000000"/>
          <w:sz w:val="32"/>
          <w:szCs w:val="32"/>
        </w:rPr>
        <w:t>平安北京建设考核</w:t>
      </w:r>
      <w:r>
        <w:rPr>
          <w:rFonts w:hint="eastAsia" w:ascii="仿宋_GB2312" w:eastAsia="仿宋_GB2312"/>
          <w:color w:val="000000"/>
          <w:sz w:val="32"/>
          <w:szCs w:val="32"/>
          <w:lang w:eastAsia="zh-CN"/>
        </w:rPr>
        <w:t>事项</w:t>
      </w:r>
      <w:r>
        <w:rPr>
          <w:rFonts w:hint="eastAsia" w:ascii="仿宋_GB2312" w:hAnsi="仿宋_GB2312" w:eastAsia="仿宋_GB2312" w:cs="仿宋_GB2312"/>
          <w:color w:val="auto"/>
          <w:sz w:val="32"/>
          <w:szCs w:val="32"/>
          <w:highlight w:val="none"/>
          <w:lang w:val="en-US" w:eastAsia="zh-CN"/>
        </w:rPr>
        <w:t>中。据悉，丰台区、石景山区的最高奖励不超过1万元，大兴区的</w:t>
      </w:r>
      <w:r>
        <w:rPr>
          <w:rFonts w:hint="eastAsia" w:ascii="仿宋_GB2312" w:hAnsi="仿宋_GB2312" w:eastAsia="仿宋_GB2312" w:cs="仿宋_GB2312"/>
          <w:color w:val="auto"/>
          <w:sz w:val="32"/>
          <w:szCs w:val="32"/>
          <w:highlight w:val="none"/>
          <w:shd w:val="clear" w:color="auto" w:fill="auto"/>
          <w:lang w:val="en-US" w:eastAsia="zh-CN"/>
        </w:rPr>
        <w:t>最高奖励5000元</w:t>
      </w:r>
      <w:r>
        <w:rPr>
          <w:rFonts w:hint="eastAsia" w:ascii="仿宋_GB2312" w:hAnsi="仿宋_GB2312" w:eastAsia="仿宋_GB2312" w:cs="仿宋_GB2312"/>
          <w:color w:val="auto"/>
          <w:sz w:val="32"/>
          <w:szCs w:val="32"/>
          <w:highlight w:val="none"/>
          <w:lang w:val="en-US" w:eastAsia="zh-CN"/>
        </w:rPr>
        <w:t>，昌平区给予200元奖励。</w:t>
      </w:r>
    </w:p>
    <w:p>
      <w:pPr>
        <w:widowControl w:val="0"/>
        <w:numPr>
          <w:numId w:val="0"/>
        </w:numPr>
        <w:wordWrap/>
        <w:adjustRightInd/>
        <w:snapToGrid/>
        <w:spacing w:line="560" w:lineRule="exact"/>
        <w:ind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b w:val="0"/>
          <w:bCs w:val="0"/>
          <w:color w:val="auto"/>
          <w:sz w:val="32"/>
          <w:szCs w:val="32"/>
          <w:lang w:val="en-US" w:eastAsia="zh-CN"/>
        </w:rPr>
        <w:t>三、</w:t>
      </w:r>
      <w:r>
        <w:rPr>
          <w:rFonts w:hint="eastAsia" w:ascii="黑体" w:hAnsi="黑体" w:eastAsia="黑体" w:cs="黑体"/>
          <w:sz w:val="32"/>
          <w:szCs w:val="32"/>
          <w:lang w:val="en-US" w:eastAsia="zh-CN"/>
        </w:rPr>
        <w:t>《东城区奖励办法》主要内容</w:t>
      </w:r>
    </w:p>
    <w:p>
      <w:pPr>
        <w:widowControl w:val="0"/>
        <w:numPr>
          <w:numId w:val="0"/>
        </w:numPr>
        <w:wordWrap/>
        <w:adjustRightInd/>
        <w:snapToGrid/>
        <w:spacing w:line="560" w:lineRule="exact"/>
        <w:ind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1.组建</w:t>
      </w:r>
      <w:r>
        <w:rPr>
          <w:rFonts w:hint="eastAsia" w:ascii="仿宋_GB2312" w:hAnsi="仿宋_GB2312" w:eastAsia="仿宋_GB2312" w:cs="仿宋_GB2312"/>
          <w:sz w:val="32"/>
          <w:szCs w:val="28"/>
          <w:lang w:eastAsia="zh-CN"/>
        </w:rPr>
        <w:t>东城区非法集资奖励认定工作组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28"/>
        </w:rPr>
        <w:t>由</w:t>
      </w:r>
      <w:r>
        <w:rPr>
          <w:rFonts w:hint="eastAsia" w:ascii="仿宋_GB2312" w:hAnsi="仿宋_GB2312" w:eastAsia="仿宋_GB2312" w:cs="仿宋_GB2312"/>
          <w:sz w:val="32"/>
          <w:szCs w:val="28"/>
          <w:lang w:eastAsia="zh-CN"/>
        </w:rPr>
        <w:t>东城区金融服务办公室、东城区市场监督管理局、东城公安分局组成，</w:t>
      </w:r>
      <w:r>
        <w:rPr>
          <w:rFonts w:hint="eastAsia" w:ascii="仿宋_GB2312" w:hAnsi="仿宋_GB2312" w:eastAsia="仿宋_GB2312" w:cs="仿宋_GB2312"/>
          <w:sz w:val="32"/>
          <w:szCs w:val="28"/>
        </w:rPr>
        <w:t>负责线索的评定、奖励等工作</w:t>
      </w:r>
      <w:r>
        <w:rPr>
          <w:rFonts w:hint="eastAsia" w:ascii="仿宋_GB2312" w:hAnsi="仿宋_GB2312" w:eastAsia="仿宋_GB2312" w:cs="仿宋_GB2312"/>
          <w:sz w:val="32"/>
          <w:szCs w:val="28"/>
          <w:lang w:eastAsia="zh-CN"/>
        </w:rPr>
        <w:t>。</w:t>
      </w:r>
    </w:p>
    <w:p>
      <w:pPr>
        <w:widowControl w:val="0"/>
        <w:numPr>
          <w:numId w:val="0"/>
        </w:numPr>
        <w:wordWrap/>
        <w:adjustRightInd/>
        <w:snapToGrid/>
        <w:spacing w:line="560" w:lineRule="exact"/>
        <w:ind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2.畅通线索举报渠道，分别为电话举报、现场举报、邮件举报和传真举报。</w:t>
      </w:r>
    </w:p>
    <w:p>
      <w:pPr>
        <w:widowControl w:val="0"/>
        <w:numPr>
          <w:numId w:val="0"/>
        </w:numPr>
        <w:wordWrap/>
        <w:adjustRightInd/>
        <w:snapToGrid/>
        <w:spacing w:line="560" w:lineRule="exact"/>
        <w:ind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3.明确线索评定奖金发放等级，分别为500元、1000元、2000元、3000元。</w:t>
      </w:r>
    </w:p>
    <w:p>
      <w:pPr>
        <w:widowControl w:val="0"/>
        <w:numPr>
          <w:numId w:val="0"/>
        </w:numPr>
        <w:wordWrap/>
        <w:adjustRightInd/>
        <w:snapToGrid/>
        <w:spacing w:line="560" w:lineRule="exact"/>
        <w:ind w:right="0" w:firstLine="640" w:firstLineChars="200"/>
        <w:jc w:val="both"/>
        <w:textAlignment w:val="auto"/>
        <w:outlineLvl w:val="9"/>
        <w:rPr>
          <w:rFonts w:hint="eastAsia" w:ascii="仿宋_GB2312" w:hAnsi="仿宋_GB2312" w:eastAsia="仿宋_GB2312" w:cs="仿宋_GB2312"/>
          <w:sz w:val="32"/>
          <w:szCs w:val="28"/>
          <w:lang w:eastAsia="zh-CN"/>
        </w:rPr>
      </w:pPr>
      <w:r>
        <w:rPr>
          <w:rFonts w:hint="eastAsia" w:ascii="仿宋_GB2312" w:hAnsi="仿宋_GB2312" w:eastAsia="仿宋_GB2312" w:cs="仿宋_GB2312"/>
          <w:sz w:val="32"/>
          <w:szCs w:val="32"/>
          <w:lang w:val="en-US" w:eastAsia="zh-CN"/>
        </w:rPr>
        <w:t>4.设置奖励条件。针对符合</w:t>
      </w:r>
      <w:r>
        <w:rPr>
          <w:rFonts w:hint="eastAsia" w:ascii="仿宋_GB2312" w:hAnsi="仿宋_GB2312" w:eastAsia="仿宋_GB2312" w:cs="仿宋_GB2312"/>
          <w:sz w:val="32"/>
          <w:szCs w:val="28"/>
        </w:rPr>
        <w:t>举报奖励条件</w:t>
      </w:r>
      <w:r>
        <w:rPr>
          <w:rFonts w:hint="eastAsia" w:ascii="仿宋_GB2312" w:hAnsi="仿宋_GB2312" w:eastAsia="仿宋_GB2312" w:cs="仿宋_GB2312"/>
          <w:sz w:val="32"/>
          <w:szCs w:val="28"/>
          <w:lang w:eastAsia="zh-CN"/>
        </w:rPr>
        <w:t>和不符合奖励条件分别予以说明。</w:t>
      </w: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pPr>
    <w:r>
      <w:fldChar w:fldCharType="begin"/>
    </w:r>
    <w:r>
      <w:instrText xml:space="preserve">PAGE   \* MERGEFORMAT</w:instrText>
    </w:r>
    <w:r>
      <w:fldChar w:fldCharType="separate"/>
    </w:r>
    <w:r>
      <w:rPr>
        <w:lang w:val="zh-CN"/>
      </w:rPr>
      <w:t>2</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18824433">
    <w:nsid w:val="607D4CF1"/>
    <w:multiLevelType w:val="singleLevel"/>
    <w:tmpl w:val="607D4CF1"/>
    <w:lvl w:ilvl="0" w:tentative="1">
      <w:start w:val="1"/>
      <w:numFmt w:val="chineseCounting"/>
      <w:suff w:val="nothing"/>
      <w:lvlText w:val="%1、"/>
      <w:lvlJc w:val="left"/>
    </w:lvl>
  </w:abstractNum>
  <w:abstractNum w:abstractNumId="1598839441">
    <w:nsid w:val="5F4C5A91"/>
    <w:multiLevelType w:val="singleLevel"/>
    <w:tmpl w:val="5F4C5A91"/>
    <w:lvl w:ilvl="0" w:tentative="1">
      <w:start w:val="1"/>
      <w:numFmt w:val="decimal"/>
      <w:suff w:val="nothing"/>
      <w:lvlText w:val="%1."/>
      <w:lvlJc w:val="left"/>
    </w:lvl>
  </w:abstractNum>
  <w:num w:numId="1">
    <w:abstractNumId w:val="1618824433"/>
  </w:num>
  <w:num w:numId="2">
    <w:abstractNumId w:val="15988394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0408C"/>
    <w:rsid w:val="000E549E"/>
    <w:rsid w:val="00594C5C"/>
    <w:rsid w:val="006F0CDA"/>
    <w:rsid w:val="007123BF"/>
    <w:rsid w:val="00A10E1E"/>
    <w:rsid w:val="00A87C55"/>
    <w:rsid w:val="00B41BD5"/>
    <w:rsid w:val="00BB5008"/>
    <w:rsid w:val="00CD1D60"/>
    <w:rsid w:val="00CE3377"/>
    <w:rsid w:val="00D0408C"/>
    <w:rsid w:val="00FC02AA"/>
    <w:rsid w:val="01823A06"/>
    <w:rsid w:val="052E6A0B"/>
    <w:rsid w:val="06436553"/>
    <w:rsid w:val="07F40498"/>
    <w:rsid w:val="07F7141C"/>
    <w:rsid w:val="081C745E"/>
    <w:rsid w:val="0A2E5BC4"/>
    <w:rsid w:val="0A64281B"/>
    <w:rsid w:val="0B4E021A"/>
    <w:rsid w:val="0B673342"/>
    <w:rsid w:val="0BE61692"/>
    <w:rsid w:val="0BFB5DB4"/>
    <w:rsid w:val="0C0C18D2"/>
    <w:rsid w:val="0DB4420C"/>
    <w:rsid w:val="0DBF73B5"/>
    <w:rsid w:val="0E3C4AD6"/>
    <w:rsid w:val="0F14764B"/>
    <w:rsid w:val="107E469F"/>
    <w:rsid w:val="11D35ECA"/>
    <w:rsid w:val="128D43FF"/>
    <w:rsid w:val="132A1CFF"/>
    <w:rsid w:val="13AE7D5A"/>
    <w:rsid w:val="15612C23"/>
    <w:rsid w:val="15782848"/>
    <w:rsid w:val="15C23F41"/>
    <w:rsid w:val="167C0DF1"/>
    <w:rsid w:val="16892685"/>
    <w:rsid w:val="18104A8B"/>
    <w:rsid w:val="18F217FA"/>
    <w:rsid w:val="193B5472"/>
    <w:rsid w:val="19962308"/>
    <w:rsid w:val="19EF0419"/>
    <w:rsid w:val="1A4D4035"/>
    <w:rsid w:val="1FCE373D"/>
    <w:rsid w:val="200E1FA8"/>
    <w:rsid w:val="204358FA"/>
    <w:rsid w:val="260B6A7A"/>
    <w:rsid w:val="26492CDC"/>
    <w:rsid w:val="27DC5671"/>
    <w:rsid w:val="28412E17"/>
    <w:rsid w:val="28EB582E"/>
    <w:rsid w:val="2B642A3F"/>
    <w:rsid w:val="2C840918"/>
    <w:rsid w:val="2E8B326C"/>
    <w:rsid w:val="2EE85B84"/>
    <w:rsid w:val="2F6B4AD8"/>
    <w:rsid w:val="32265FD5"/>
    <w:rsid w:val="33452BAA"/>
    <w:rsid w:val="345507E9"/>
    <w:rsid w:val="36476A1A"/>
    <w:rsid w:val="36900113"/>
    <w:rsid w:val="37FB2BE8"/>
    <w:rsid w:val="38265C2B"/>
    <w:rsid w:val="39A3641C"/>
    <w:rsid w:val="3C3257D1"/>
    <w:rsid w:val="3DD73903"/>
    <w:rsid w:val="3EDB1EAC"/>
    <w:rsid w:val="3F5056EE"/>
    <w:rsid w:val="42895E35"/>
    <w:rsid w:val="43407B62"/>
    <w:rsid w:val="439E7EFB"/>
    <w:rsid w:val="44B52F47"/>
    <w:rsid w:val="45383520"/>
    <w:rsid w:val="456B71F2"/>
    <w:rsid w:val="47F96071"/>
    <w:rsid w:val="49C60D15"/>
    <w:rsid w:val="4BD97AE8"/>
    <w:rsid w:val="4C0360C1"/>
    <w:rsid w:val="4C6528E3"/>
    <w:rsid w:val="4C870899"/>
    <w:rsid w:val="4CA07244"/>
    <w:rsid w:val="4D152A86"/>
    <w:rsid w:val="4F8F4094"/>
    <w:rsid w:val="4FC61FF0"/>
    <w:rsid w:val="5013686C"/>
    <w:rsid w:val="51766B4E"/>
    <w:rsid w:val="522265CC"/>
    <w:rsid w:val="540B196F"/>
    <w:rsid w:val="54EF3267"/>
    <w:rsid w:val="5571253B"/>
    <w:rsid w:val="55E737FF"/>
    <w:rsid w:val="56E65920"/>
    <w:rsid w:val="56E755A0"/>
    <w:rsid w:val="579D6934"/>
    <w:rsid w:val="57A624DB"/>
    <w:rsid w:val="58381A4A"/>
    <w:rsid w:val="58FB7589"/>
    <w:rsid w:val="59E35308"/>
    <w:rsid w:val="5B1C630A"/>
    <w:rsid w:val="5B3204AE"/>
    <w:rsid w:val="5CB46E24"/>
    <w:rsid w:val="5E1C33F4"/>
    <w:rsid w:val="5EB71074"/>
    <w:rsid w:val="5F9573DD"/>
    <w:rsid w:val="5F9F7CED"/>
    <w:rsid w:val="600C6122"/>
    <w:rsid w:val="61AB234B"/>
    <w:rsid w:val="63937C6D"/>
    <w:rsid w:val="645A41B3"/>
    <w:rsid w:val="64CD2E6D"/>
    <w:rsid w:val="64D4607B"/>
    <w:rsid w:val="66624588"/>
    <w:rsid w:val="666F52E3"/>
    <w:rsid w:val="67010C0E"/>
    <w:rsid w:val="67041B93"/>
    <w:rsid w:val="672D16D2"/>
    <w:rsid w:val="68C504EF"/>
    <w:rsid w:val="69282792"/>
    <w:rsid w:val="69D31C41"/>
    <w:rsid w:val="6A596387"/>
    <w:rsid w:val="6A953FED"/>
    <w:rsid w:val="6AAD5E11"/>
    <w:rsid w:val="6D1D4911"/>
    <w:rsid w:val="6D1E5C16"/>
    <w:rsid w:val="6D860ABD"/>
    <w:rsid w:val="6E7E1055"/>
    <w:rsid w:val="6EAB66A1"/>
    <w:rsid w:val="774A7EC4"/>
    <w:rsid w:val="78A75C02"/>
    <w:rsid w:val="78C93BB8"/>
    <w:rsid w:val="7CC13438"/>
    <w:rsid w:val="7D672CCD"/>
    <w:rsid w:val="7EE5313E"/>
    <w:rsid w:val="7F132988"/>
    <w:rsid w:val="7F951C5D"/>
    <w:rsid w:val="7FD065B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jc w:val="both"/>
    </w:pPr>
    <w:rPr>
      <w:rFonts w:ascii="Calibri" w:hAnsi="Calibri" w:eastAsia="宋体" w:cs="黑体"/>
      <w:kern w:val="2"/>
      <w:sz w:val="24"/>
      <w:szCs w:val="24"/>
      <w:lang w:val="en-US" w:eastAsia="zh-CN" w:bidi="ar-SA"/>
    </w:rPr>
  </w:style>
  <w:style w:type="paragraph" w:styleId="2">
    <w:name w:val="heading 2"/>
    <w:basedOn w:val="1"/>
    <w:next w:val="1"/>
    <w:link w:val="9"/>
    <w:unhideWhenUsed/>
    <w:qFormat/>
    <w:uiPriority w:val="0"/>
    <w:pPr>
      <w:keepNext/>
      <w:keepLines/>
      <w:spacing w:before="260" w:after="260" w:line="416" w:lineRule="auto"/>
      <w:outlineLvl w:val="1"/>
    </w:pPr>
    <w:rPr>
      <w:rFonts w:ascii="Calibri Light" w:hAnsi="Calibri Light" w:cs="Times New Roman"/>
      <w:b/>
      <w:bCs/>
      <w:sz w:val="32"/>
      <w:szCs w:val="32"/>
    </w:rPr>
  </w:style>
  <w:style w:type="character" w:default="1" w:styleId="6">
    <w:name w:val="Default Paragraph Font"/>
    <w:unhideWhenUsed/>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3">
    <w:name w:val="footer"/>
    <w:basedOn w:val="1"/>
    <w:link w:val="11"/>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uiPriority w:val="99"/>
    <w:pPr>
      <w:spacing w:before="100" w:beforeAutospacing="1" w:after="100" w:afterAutospacing="1"/>
      <w:ind w:left="0" w:right="0"/>
      <w:jc w:val="left"/>
    </w:pPr>
    <w:rPr>
      <w:kern w:val="0"/>
      <w:sz w:val="24"/>
      <w:lang w:val="en-US" w:eastAsia="zh-CN" w:bidi="ar-SA"/>
    </w:rPr>
  </w:style>
  <w:style w:type="character" w:styleId="7">
    <w:name w:val="Hyperlink"/>
    <w:basedOn w:val="6"/>
    <w:unhideWhenUsed/>
    <w:uiPriority w:val="99"/>
    <w:rPr>
      <w:color w:val="0000FF"/>
      <w:u w:val="single"/>
    </w:rPr>
  </w:style>
  <w:style w:type="character" w:customStyle="1" w:styleId="9">
    <w:name w:val="标题 2 字符"/>
    <w:basedOn w:val="6"/>
    <w:link w:val="2"/>
    <w:qFormat/>
    <w:uiPriority w:val="0"/>
    <w:rPr>
      <w:rFonts w:ascii="Calibri Light" w:hAnsi="Calibri Light" w:eastAsia="宋体" w:cs="Times New Roman"/>
      <w:b/>
      <w:bCs/>
      <w:sz w:val="32"/>
      <w:szCs w:val="32"/>
    </w:rPr>
  </w:style>
  <w:style w:type="character" w:customStyle="1" w:styleId="10">
    <w:name w:val="页眉 字符"/>
    <w:basedOn w:val="6"/>
    <w:link w:val="4"/>
    <w:qFormat/>
    <w:uiPriority w:val="99"/>
    <w:rPr>
      <w:rFonts w:ascii="Calibri" w:hAnsi="Calibri" w:eastAsia="宋体" w:cs="黑体"/>
      <w:sz w:val="18"/>
      <w:szCs w:val="18"/>
    </w:rPr>
  </w:style>
  <w:style w:type="character" w:customStyle="1" w:styleId="11">
    <w:name w:val="页脚 字符"/>
    <w:basedOn w:val="6"/>
    <w:link w:val="3"/>
    <w:qFormat/>
    <w:uiPriority w:val="99"/>
    <w:rPr>
      <w:rFonts w:ascii="Calibri" w:hAnsi="Calibri" w:eastAsia="宋体" w:cs="黑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104</Words>
  <Characters>598</Characters>
  <Lines>4</Lines>
  <Paragraphs>1</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2020-02-11T14:16:00Z</dcterms:created>
  <dc:creator>user</dc:creator>
  <cp:lastModifiedBy>张文晶</cp:lastModifiedBy>
  <dcterms:modified xsi:type="dcterms:W3CDTF">2021-12-24T06:09:06Z</dcterms:modified>
  <dc:title>区金融服务办关于制定行政规范性</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