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Cs w:val="32"/>
        </w:rPr>
      </w:pPr>
      <w:bookmarkStart w:id="0" w:name="_GoBack"/>
      <w:r>
        <w:rPr>
          <w:rFonts w:hint="eastAsia" w:ascii="Times New Roman" w:hAnsi="Times New Roman" w:eastAsia="方正小标宋简体" w:cs="Times New Roman"/>
          <w:sz w:val="44"/>
          <w:szCs w:val="44"/>
        </w:rPr>
        <w:t>东城区深入打好污染防治攻坚战2021年行动计划</w:t>
      </w:r>
      <w:r>
        <w:rPr>
          <w:rFonts w:hint="eastAsia" w:ascii="方正小标宋简体" w:hAnsi="微软雅黑" w:eastAsia="方正小标宋简体"/>
          <w:color w:val="404040"/>
          <w:spacing w:val="-4"/>
          <w:sz w:val="44"/>
          <w:szCs w:val="44"/>
        </w:rPr>
        <w:t>（征求意见稿）</w:t>
      </w:r>
    </w:p>
    <w:bookmarkEnd w:id="0"/>
    <w:p>
      <w:pPr>
        <w:jc w:val="center"/>
        <w:rPr>
          <w:rFonts w:ascii="仿宋" w:hAnsi="仿宋" w:eastAsia="仿宋"/>
          <w:szCs w:val="32"/>
        </w:rPr>
      </w:pPr>
      <w:r>
        <w:rPr>
          <w:rFonts w:hint="eastAsia" w:ascii="仿宋" w:hAnsi="仿宋" w:eastAsia="仿宋" w:cs="方正小标宋简体"/>
          <w:szCs w:val="32"/>
        </w:rPr>
        <w:t>东城区</w:t>
      </w:r>
      <w:r>
        <w:rPr>
          <w:rFonts w:hint="eastAsia" w:ascii="仿宋" w:hAnsi="仿宋" w:eastAsia="仿宋"/>
          <w:szCs w:val="32"/>
        </w:rPr>
        <w:t>大气污染防治</w:t>
      </w:r>
      <w:r>
        <w:rPr>
          <w:rFonts w:hint="eastAsia" w:ascii="仿宋" w:hAnsi="仿宋" w:eastAsia="仿宋" w:cs="方正小标宋简体"/>
          <w:szCs w:val="32"/>
        </w:rPr>
        <w:t>2021年</w:t>
      </w:r>
      <w:r>
        <w:rPr>
          <w:rFonts w:hint="eastAsia" w:ascii="仿宋" w:hAnsi="仿宋" w:eastAsia="仿宋"/>
          <w:szCs w:val="32"/>
        </w:rPr>
        <w:t>行动计划</w:t>
      </w:r>
    </w:p>
    <w:tbl>
      <w:tblPr>
        <w:tblStyle w:val="5"/>
        <w:tblW w:w="14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839"/>
        <w:gridCol w:w="6382"/>
        <w:gridCol w:w="1422"/>
        <w:gridCol w:w="2268"/>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1"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序号</w:t>
            </w:r>
          </w:p>
        </w:tc>
        <w:tc>
          <w:tcPr>
            <w:tcW w:w="1839"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重点任务</w:t>
            </w:r>
          </w:p>
        </w:tc>
        <w:tc>
          <w:tcPr>
            <w:tcW w:w="6382"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工作措施</w:t>
            </w:r>
          </w:p>
        </w:tc>
        <w:tc>
          <w:tcPr>
            <w:tcW w:w="1422"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完成</w:t>
            </w:r>
          </w:p>
          <w:p>
            <w:pPr>
              <w:spacing w:line="360" w:lineRule="exact"/>
              <w:jc w:val="center"/>
              <w:rPr>
                <w:rFonts w:ascii="黑体" w:hAnsi="黑体" w:eastAsia="黑体"/>
                <w:sz w:val="28"/>
                <w:szCs w:val="28"/>
              </w:rPr>
            </w:pPr>
            <w:r>
              <w:rPr>
                <w:rFonts w:hint="eastAsia" w:ascii="黑体" w:hAnsi="黑体" w:eastAsia="黑体"/>
                <w:sz w:val="28"/>
                <w:szCs w:val="28"/>
              </w:rPr>
              <w:t>时限</w:t>
            </w:r>
          </w:p>
        </w:tc>
        <w:tc>
          <w:tcPr>
            <w:tcW w:w="2268"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牵头单位</w:t>
            </w:r>
          </w:p>
        </w:tc>
        <w:tc>
          <w:tcPr>
            <w:tcW w:w="2339"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91" w:type="dxa"/>
            <w:gridSpan w:val="6"/>
            <w:vAlign w:val="center"/>
          </w:tcPr>
          <w:p>
            <w:pPr>
              <w:jc w:val="center"/>
            </w:pPr>
            <w:r>
              <w:rPr>
                <w:rFonts w:hint="eastAsia" w:ascii="黑体" w:hAnsi="黑体" w:eastAsia="黑体"/>
                <w:sz w:val="28"/>
                <w:szCs w:val="28"/>
              </w:rPr>
              <w:t>一、空气质量目标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741" w:type="dxa"/>
            <w:vMerge w:val="restart"/>
            <w:vAlign w:val="center"/>
          </w:tcPr>
          <w:p>
            <w:pPr>
              <w:spacing w:line="360" w:lineRule="exact"/>
              <w:jc w:val="center"/>
              <w:rPr>
                <w:sz w:val="28"/>
                <w:szCs w:val="28"/>
              </w:rPr>
            </w:pPr>
            <w:r>
              <w:rPr>
                <w:rFonts w:hint="eastAsia" w:cs="仿宋_GB2312"/>
                <w:sz w:val="28"/>
                <w:szCs w:val="28"/>
              </w:rPr>
              <w:t>1</w:t>
            </w:r>
          </w:p>
        </w:tc>
        <w:tc>
          <w:tcPr>
            <w:tcW w:w="1839" w:type="dxa"/>
            <w:vMerge w:val="restart"/>
            <w:vAlign w:val="center"/>
          </w:tcPr>
          <w:p>
            <w:pPr>
              <w:spacing w:line="360" w:lineRule="exact"/>
              <w:jc w:val="center"/>
              <w:rPr>
                <w:sz w:val="28"/>
                <w:szCs w:val="28"/>
              </w:rPr>
            </w:pPr>
            <w:r>
              <w:rPr>
                <w:rFonts w:hint="eastAsia" w:cs="仿宋_GB2312"/>
                <w:sz w:val="28"/>
                <w:szCs w:val="28"/>
              </w:rPr>
              <w:t>目标任务</w:t>
            </w:r>
          </w:p>
        </w:tc>
        <w:tc>
          <w:tcPr>
            <w:tcW w:w="6382" w:type="dxa"/>
            <w:vAlign w:val="center"/>
          </w:tcPr>
          <w:p>
            <w:pPr>
              <w:spacing w:line="360" w:lineRule="exact"/>
              <w:jc w:val="left"/>
              <w:rPr>
                <w:rFonts w:cs="仿宋_GB2312"/>
                <w:sz w:val="28"/>
                <w:szCs w:val="28"/>
              </w:rPr>
            </w:pPr>
            <w:r>
              <w:rPr>
                <w:rFonts w:hint="eastAsia" w:cs="仿宋_GB2312"/>
                <w:sz w:val="28"/>
                <w:szCs w:val="28"/>
              </w:rPr>
              <w:t>在完成北京市目标任务基础上，全区尽最大努力巩固改善空气质量，细颗粒物（PM</w:t>
            </w:r>
            <w:r>
              <w:rPr>
                <w:rFonts w:hint="eastAsia" w:cs="仿宋_GB2312"/>
                <w:sz w:val="28"/>
                <w:szCs w:val="28"/>
                <w:vertAlign w:val="subscript"/>
              </w:rPr>
              <w:t>2.5</w:t>
            </w:r>
            <w:r>
              <w:rPr>
                <w:rFonts w:hint="eastAsia" w:cs="仿宋_GB2312"/>
                <w:sz w:val="28"/>
                <w:szCs w:val="28"/>
              </w:rPr>
              <w:t>）浓度、重污染天数力争继续下降。</w:t>
            </w:r>
          </w:p>
        </w:tc>
        <w:tc>
          <w:tcPr>
            <w:tcW w:w="1422" w:type="dxa"/>
            <w:vAlign w:val="center"/>
          </w:tcPr>
          <w:p>
            <w:pPr>
              <w:spacing w:line="360" w:lineRule="exact"/>
              <w:jc w:val="center"/>
              <w:rPr>
                <w:sz w:val="28"/>
                <w:szCs w:val="28"/>
              </w:rPr>
            </w:pPr>
            <w:r>
              <w:rPr>
                <w:rFonts w:hint="eastAsia" w:cs="仿宋_GB2312"/>
                <w:sz w:val="28"/>
                <w:szCs w:val="28"/>
              </w:rPr>
              <w:t>年底前</w:t>
            </w:r>
          </w:p>
        </w:tc>
        <w:tc>
          <w:tcPr>
            <w:tcW w:w="4607" w:type="dxa"/>
            <w:gridSpan w:val="2"/>
            <w:vAlign w:val="center"/>
          </w:tcPr>
          <w:p>
            <w:pPr>
              <w:snapToGrid w:val="0"/>
              <w:spacing w:line="360" w:lineRule="exact"/>
              <w:jc w:val="center"/>
            </w:pPr>
            <w:r>
              <w:rPr>
                <w:rFonts w:hint="eastAsia" w:cs="仿宋_GB2312"/>
                <w:color w:val="000000"/>
                <w:sz w:val="28"/>
                <w:szCs w:val="28"/>
              </w:rPr>
              <w:t>区委生态文明委大气污染综合治理及应对气候变化工作小组成员单位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jc w:val="center"/>
        </w:trPr>
        <w:tc>
          <w:tcPr>
            <w:tcW w:w="741" w:type="dxa"/>
            <w:vMerge w:val="continue"/>
            <w:vAlign w:val="center"/>
          </w:tcPr>
          <w:p>
            <w:pPr>
              <w:jc w:val="center"/>
            </w:pPr>
          </w:p>
        </w:tc>
        <w:tc>
          <w:tcPr>
            <w:tcW w:w="1839" w:type="dxa"/>
            <w:vMerge w:val="continue"/>
            <w:vAlign w:val="center"/>
          </w:tcPr>
          <w:p>
            <w:pPr>
              <w:jc w:val="center"/>
            </w:pPr>
          </w:p>
        </w:tc>
        <w:tc>
          <w:tcPr>
            <w:tcW w:w="6382" w:type="dxa"/>
            <w:vAlign w:val="center"/>
          </w:tcPr>
          <w:p>
            <w:pPr>
              <w:spacing w:line="360" w:lineRule="exact"/>
              <w:jc w:val="left"/>
              <w:rPr>
                <w:rFonts w:cs="仿宋_GB2312"/>
                <w:sz w:val="28"/>
                <w:szCs w:val="28"/>
              </w:rPr>
            </w:pPr>
            <w:r>
              <w:rPr>
                <w:rFonts w:hint="eastAsia" w:cs="仿宋_GB2312"/>
                <w:sz w:val="28"/>
                <w:szCs w:val="28"/>
              </w:rPr>
              <w:t>各街道PM</w:t>
            </w:r>
            <w:r>
              <w:rPr>
                <w:rFonts w:hint="eastAsia" w:cs="仿宋_GB2312"/>
                <w:sz w:val="28"/>
                <w:szCs w:val="28"/>
                <w:vertAlign w:val="subscript"/>
              </w:rPr>
              <w:t>2.5</w:t>
            </w:r>
            <w:r>
              <w:rPr>
                <w:rFonts w:hint="eastAsia" w:cs="仿宋_GB2312"/>
                <w:sz w:val="28"/>
                <w:szCs w:val="28"/>
              </w:rPr>
              <w:t>年均浓度比2020年下降1微克/立方米或以上，目标值分别为：</w:t>
            </w:r>
          </w:p>
          <w:p>
            <w:pPr>
              <w:spacing w:line="360" w:lineRule="exact"/>
              <w:jc w:val="left"/>
              <w:rPr>
                <w:rFonts w:cs="仿宋_GB2312"/>
                <w:sz w:val="28"/>
                <w:szCs w:val="28"/>
              </w:rPr>
            </w:pPr>
            <w:r>
              <w:rPr>
                <w:rFonts w:hint="eastAsia" w:cs="仿宋_GB2312"/>
                <w:sz w:val="28"/>
                <w:szCs w:val="28"/>
              </w:rPr>
              <w:t>永外街道41微克/立方米；天坛、崇外街道40微克/立方米；前门、交道口、东华门街道39微克/立方米；体育馆路、龙潭、朝阳门街道38微克/立方米；建国门、东四、景山街道37微克/立方米；东直门、北新桥、安定门街道36微克/立方米；东花市街道34微克/立方米；和平里街道33微克/立方米。</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color w:val="000000"/>
                <w:sz w:val="28"/>
                <w:szCs w:val="28"/>
              </w:rPr>
            </w:pPr>
            <w:r>
              <w:rPr>
                <w:rFonts w:hint="eastAsia" w:cs="仿宋_GB2312"/>
                <w:color w:val="000000"/>
                <w:sz w:val="28"/>
                <w:szCs w:val="28"/>
              </w:rPr>
              <w:t>各街道</w:t>
            </w:r>
          </w:p>
        </w:tc>
        <w:tc>
          <w:tcPr>
            <w:tcW w:w="2339" w:type="dxa"/>
            <w:vAlign w:val="center"/>
          </w:tcPr>
          <w:p>
            <w:pPr>
              <w:spacing w:line="360" w:lineRule="exact"/>
              <w:jc w:val="center"/>
              <w:rPr>
                <w:rFonts w:cs="仿宋_GB2312"/>
                <w:color w:val="000000"/>
                <w:sz w:val="28"/>
                <w:szCs w:val="28"/>
              </w:rPr>
            </w:pPr>
            <w:r>
              <w:rPr>
                <w:rFonts w:hint="eastAsia" w:cs="仿宋_GB2312"/>
                <w:color w:val="000000"/>
                <w:sz w:val="28"/>
                <w:szCs w:val="28"/>
              </w:rPr>
              <w:t>区委生态文明委大气污染综合治理及应对气候变化工作小组成员单位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91" w:type="dxa"/>
            <w:gridSpan w:val="6"/>
            <w:vAlign w:val="center"/>
          </w:tcPr>
          <w:p>
            <w:pPr>
              <w:jc w:val="center"/>
            </w:pPr>
            <w:r>
              <w:rPr>
                <w:rFonts w:hint="eastAsia" w:ascii="黑体" w:hAnsi="黑体" w:eastAsia="黑体"/>
                <w:sz w:val="28"/>
                <w:szCs w:val="28"/>
              </w:rPr>
              <w:t>二、实施挥发性有机物（VOCs）专项治理行动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2</w:t>
            </w:r>
          </w:p>
        </w:tc>
        <w:tc>
          <w:tcPr>
            <w:tcW w:w="1839" w:type="dxa"/>
            <w:vAlign w:val="center"/>
          </w:tcPr>
          <w:p>
            <w:pPr>
              <w:spacing w:line="360" w:lineRule="exact"/>
              <w:jc w:val="center"/>
              <w:rPr>
                <w:rFonts w:cs="仿宋_GB2312"/>
                <w:sz w:val="28"/>
                <w:szCs w:val="28"/>
              </w:rPr>
            </w:pPr>
            <w:r>
              <w:rPr>
                <w:rFonts w:hint="eastAsia" w:cs="仿宋_GB2312"/>
                <w:sz w:val="28"/>
                <w:szCs w:val="28"/>
              </w:rPr>
              <w:t>健全VOCs监管模式</w:t>
            </w:r>
          </w:p>
        </w:tc>
        <w:tc>
          <w:tcPr>
            <w:tcW w:w="6382" w:type="dxa"/>
            <w:vAlign w:val="center"/>
          </w:tcPr>
          <w:p>
            <w:pPr>
              <w:spacing w:line="360" w:lineRule="exact"/>
              <w:jc w:val="left"/>
              <w:rPr>
                <w:rFonts w:cs="仿宋_GB2312"/>
                <w:sz w:val="28"/>
                <w:szCs w:val="28"/>
              </w:rPr>
            </w:pPr>
            <w:r>
              <w:rPr>
                <w:rFonts w:hint="eastAsia" w:cs="仿宋_GB2312"/>
                <w:sz w:val="28"/>
                <w:szCs w:val="28"/>
              </w:rPr>
              <w:t>完善空气质量监测网络建设，在现有基础上，增加VOCs、O</w:t>
            </w:r>
            <w:r>
              <w:rPr>
                <w:rFonts w:hint="eastAsia" w:cs="仿宋_GB2312"/>
                <w:sz w:val="28"/>
                <w:szCs w:val="28"/>
                <w:vertAlign w:val="subscript"/>
              </w:rPr>
              <w:t>3</w:t>
            </w:r>
            <w:r>
              <w:rPr>
                <w:rFonts w:hint="eastAsia" w:cs="仿宋_GB2312"/>
                <w:sz w:val="28"/>
                <w:szCs w:val="28"/>
              </w:rPr>
              <w:t>等重点污染物监测功能，为下一步PM</w:t>
            </w:r>
            <w:r>
              <w:rPr>
                <w:rFonts w:hint="eastAsia" w:cs="仿宋_GB2312"/>
                <w:sz w:val="28"/>
                <w:szCs w:val="28"/>
                <w:vertAlign w:val="subscript"/>
              </w:rPr>
              <w:t>2.5</w:t>
            </w:r>
            <w:r>
              <w:rPr>
                <w:rFonts w:hint="eastAsia" w:cs="仿宋_GB2312"/>
                <w:sz w:val="28"/>
                <w:szCs w:val="28"/>
              </w:rPr>
              <w:t>与O</w:t>
            </w:r>
            <w:r>
              <w:rPr>
                <w:rFonts w:hint="eastAsia" w:cs="仿宋_GB2312"/>
                <w:sz w:val="28"/>
                <w:szCs w:val="28"/>
                <w:vertAlign w:val="subscript"/>
              </w:rPr>
              <w:t>3</w:t>
            </w:r>
            <w:r>
              <w:rPr>
                <w:rFonts w:hint="eastAsia" w:cs="仿宋_GB2312"/>
                <w:sz w:val="28"/>
                <w:szCs w:val="28"/>
              </w:rPr>
              <w:t>协同治理提供技术支持。</w:t>
            </w:r>
          </w:p>
          <w:p>
            <w:pPr>
              <w:spacing w:line="360" w:lineRule="exact"/>
              <w:jc w:val="left"/>
              <w:rPr>
                <w:rFonts w:cs="仿宋_GB2312"/>
                <w:sz w:val="28"/>
                <w:szCs w:val="28"/>
              </w:rPr>
            </w:pPr>
            <w:r>
              <w:rPr>
                <w:rFonts w:hint="eastAsia" w:cs="仿宋_GB2312"/>
                <w:sz w:val="28"/>
                <w:szCs w:val="28"/>
              </w:rPr>
              <w:t>充分发挥市级部门覆盖街道的VOCs高密度监测网作用，采用走航监测、热点网格监管等方式，探索建立溯源查处、快速处置的VOCs监管模式。</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sz w:val="28"/>
                <w:szCs w:val="28"/>
              </w:rPr>
            </w:pPr>
            <w:r>
              <w:rPr>
                <w:rFonts w:hint="eastAsia" w:cs="仿宋_GB2312"/>
                <w:sz w:val="28"/>
                <w:szCs w:val="28"/>
              </w:rPr>
              <w:t>区生态环境局</w:t>
            </w:r>
          </w:p>
        </w:tc>
        <w:tc>
          <w:tcPr>
            <w:tcW w:w="2339" w:type="dxa"/>
            <w:vAlign w:val="center"/>
          </w:tcPr>
          <w:p>
            <w:pPr>
              <w:spacing w:line="360" w:lineRule="exact"/>
              <w:jc w:val="center"/>
              <w:rPr>
                <w:rFonts w:cs="仿宋_GB2312"/>
                <w:sz w:val="28"/>
                <w:szCs w:val="28"/>
              </w:rPr>
            </w:pPr>
            <w:r>
              <w:rPr>
                <w:rFonts w:hint="eastAsia" w:cs="仿宋_GB2312"/>
                <w:sz w:val="28"/>
                <w:szCs w:val="28"/>
              </w:rPr>
              <w:t>区科信局</w:t>
            </w:r>
          </w:p>
          <w:p>
            <w:pPr>
              <w:spacing w:line="360" w:lineRule="exact"/>
              <w:jc w:val="center"/>
              <w:rPr>
                <w:rFonts w:cs="仿宋_GB2312"/>
                <w:sz w:val="28"/>
                <w:szCs w:val="28"/>
              </w:rPr>
            </w:pPr>
            <w:r>
              <w:rPr>
                <w:rFonts w:hint="eastAsia" w:cs="仿宋_GB2312"/>
                <w:sz w:val="28"/>
                <w:szCs w:val="28"/>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741" w:type="dxa"/>
            <w:vMerge w:val="restart"/>
            <w:vAlign w:val="center"/>
          </w:tcPr>
          <w:p>
            <w:pPr>
              <w:spacing w:line="360" w:lineRule="exact"/>
              <w:jc w:val="center"/>
              <w:rPr>
                <w:rFonts w:cs="仿宋_GB2312"/>
                <w:sz w:val="28"/>
                <w:szCs w:val="28"/>
              </w:rPr>
            </w:pPr>
            <w:r>
              <w:rPr>
                <w:rFonts w:hint="eastAsia" w:cs="仿宋_GB2312"/>
                <w:sz w:val="28"/>
                <w:szCs w:val="28"/>
              </w:rPr>
              <w:t>3</w:t>
            </w:r>
          </w:p>
        </w:tc>
        <w:tc>
          <w:tcPr>
            <w:tcW w:w="1839" w:type="dxa"/>
            <w:vMerge w:val="restart"/>
            <w:vAlign w:val="center"/>
          </w:tcPr>
          <w:p>
            <w:pPr>
              <w:spacing w:line="360" w:lineRule="exact"/>
              <w:jc w:val="center"/>
              <w:rPr>
                <w:rFonts w:cs="仿宋_GB2312"/>
                <w:sz w:val="28"/>
                <w:szCs w:val="28"/>
              </w:rPr>
            </w:pPr>
            <w:r>
              <w:rPr>
                <w:rFonts w:hint="eastAsia" w:cs="仿宋_GB2312"/>
                <w:sz w:val="28"/>
                <w:szCs w:val="28"/>
              </w:rPr>
              <w:t>推进低VOCs含量产品源头替代</w:t>
            </w:r>
          </w:p>
        </w:tc>
        <w:tc>
          <w:tcPr>
            <w:tcW w:w="6382" w:type="dxa"/>
            <w:vAlign w:val="center"/>
          </w:tcPr>
          <w:p>
            <w:pPr>
              <w:spacing w:line="360" w:lineRule="exact"/>
              <w:jc w:val="left"/>
              <w:rPr>
                <w:rFonts w:cs="仿宋_GB2312"/>
                <w:sz w:val="28"/>
                <w:szCs w:val="28"/>
              </w:rPr>
            </w:pPr>
            <w:r>
              <w:rPr>
                <w:rFonts w:hint="eastAsia" w:cs="仿宋_GB2312"/>
                <w:sz w:val="28"/>
                <w:szCs w:val="28"/>
              </w:rPr>
              <w:t>严格落实国家胶粘剂、清洗剂、工业防护涂料、车辆涂料、油墨等产品及本市建筑类涂料与胶粘剂VOCs含量限值标准。</w:t>
            </w:r>
          </w:p>
          <w:p>
            <w:pPr>
              <w:spacing w:line="360" w:lineRule="exact"/>
              <w:jc w:val="left"/>
              <w:rPr>
                <w:rFonts w:cs="仿宋_GB2312"/>
                <w:sz w:val="28"/>
                <w:szCs w:val="28"/>
              </w:rPr>
            </w:pPr>
            <w:r>
              <w:rPr>
                <w:rFonts w:hint="eastAsia" w:cs="仿宋_GB2312"/>
                <w:sz w:val="28"/>
                <w:szCs w:val="28"/>
              </w:rPr>
              <w:t>加强执法检查，督促企业按标准要求建立原辅材料台账，并使用符合标准的低VOCs含量产品。</w:t>
            </w:r>
          </w:p>
        </w:tc>
        <w:tc>
          <w:tcPr>
            <w:tcW w:w="1422" w:type="dxa"/>
            <w:vAlign w:val="center"/>
          </w:tcPr>
          <w:p>
            <w:pPr>
              <w:spacing w:line="360" w:lineRule="exact"/>
              <w:jc w:val="center"/>
              <w:rPr>
                <w:rFonts w:cs="仿宋_GB2312"/>
                <w:sz w:val="28"/>
                <w:szCs w:val="28"/>
              </w:rPr>
            </w:pPr>
            <w:r>
              <w:rPr>
                <w:rFonts w:hint="eastAsia" w:cs="仿宋_GB2312"/>
                <w:sz w:val="28"/>
                <w:szCs w:val="28"/>
              </w:rPr>
              <w:t>长期实施</w:t>
            </w:r>
          </w:p>
        </w:tc>
        <w:tc>
          <w:tcPr>
            <w:tcW w:w="2268" w:type="dxa"/>
            <w:vAlign w:val="center"/>
          </w:tcPr>
          <w:p>
            <w:pPr>
              <w:spacing w:line="360" w:lineRule="exact"/>
              <w:ind w:left="-160" w:leftChars="-50" w:right="-160" w:rightChars="-50"/>
              <w:jc w:val="center"/>
              <w:rPr>
                <w:rFonts w:cs="仿宋_GB2312"/>
                <w:sz w:val="28"/>
                <w:szCs w:val="28"/>
              </w:rPr>
            </w:pPr>
            <w:r>
              <w:rPr>
                <w:rFonts w:hint="eastAsia" w:cs="仿宋_GB2312"/>
                <w:sz w:val="28"/>
                <w:szCs w:val="28"/>
              </w:rPr>
              <w:t>区发改委</w:t>
            </w:r>
          </w:p>
          <w:p>
            <w:pPr>
              <w:spacing w:line="360" w:lineRule="exact"/>
              <w:ind w:left="-160" w:leftChars="-50" w:right="-160" w:rightChars="-50"/>
              <w:jc w:val="center"/>
              <w:rPr>
                <w:rFonts w:cs="仿宋_GB2312"/>
                <w:sz w:val="28"/>
                <w:szCs w:val="28"/>
              </w:rPr>
            </w:pPr>
            <w:r>
              <w:rPr>
                <w:rFonts w:hint="eastAsia" w:cs="仿宋_GB2312"/>
                <w:sz w:val="28"/>
                <w:szCs w:val="28"/>
              </w:rPr>
              <w:t>区科信局</w:t>
            </w:r>
          </w:p>
          <w:p>
            <w:pPr>
              <w:spacing w:line="360" w:lineRule="exact"/>
              <w:ind w:left="-160" w:leftChars="-50" w:right="-160" w:rightChars="-50"/>
              <w:jc w:val="center"/>
              <w:rPr>
                <w:rFonts w:cs="仿宋_GB2312"/>
                <w:sz w:val="28"/>
                <w:szCs w:val="28"/>
              </w:rPr>
            </w:pPr>
            <w:r>
              <w:rPr>
                <w:rFonts w:hint="eastAsia" w:cs="仿宋_GB2312"/>
                <w:sz w:val="28"/>
                <w:szCs w:val="28"/>
              </w:rPr>
              <w:t>区生态环境局</w:t>
            </w:r>
          </w:p>
        </w:tc>
        <w:tc>
          <w:tcPr>
            <w:tcW w:w="2339" w:type="dxa"/>
            <w:vAlign w:val="center"/>
          </w:tcPr>
          <w:p>
            <w:pPr>
              <w:spacing w:line="360" w:lineRule="exact"/>
              <w:jc w:val="center"/>
              <w:rPr>
                <w:rFonts w:cs="仿宋_GB2312"/>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741" w:type="dxa"/>
            <w:vMerge w:val="continue"/>
            <w:vAlign w:val="center"/>
          </w:tcPr>
          <w:p>
            <w:pPr>
              <w:jc w:val="center"/>
            </w:pPr>
          </w:p>
        </w:tc>
        <w:tc>
          <w:tcPr>
            <w:tcW w:w="1839" w:type="dxa"/>
            <w:vMerge w:val="continue"/>
            <w:vAlign w:val="center"/>
          </w:tcPr>
          <w:p>
            <w:pPr>
              <w:jc w:val="center"/>
            </w:pPr>
          </w:p>
        </w:tc>
        <w:tc>
          <w:tcPr>
            <w:tcW w:w="6382" w:type="dxa"/>
            <w:vAlign w:val="center"/>
          </w:tcPr>
          <w:p>
            <w:pPr>
              <w:spacing w:line="360" w:lineRule="exact"/>
              <w:jc w:val="left"/>
              <w:rPr>
                <w:rFonts w:cs="仿宋_GB2312"/>
                <w:sz w:val="28"/>
                <w:szCs w:val="28"/>
              </w:rPr>
            </w:pPr>
            <w:r>
              <w:rPr>
                <w:rFonts w:hint="eastAsia" w:cs="仿宋_GB2312"/>
                <w:sz w:val="28"/>
                <w:szCs w:val="28"/>
              </w:rPr>
              <w:t>针对流通环节，市场监管部门对胶粘剂、涂料、油墨等含VOCs产品开展抽检，全年检测量不低于8组。</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sz w:val="28"/>
                <w:szCs w:val="28"/>
              </w:rPr>
            </w:pPr>
            <w:r>
              <w:rPr>
                <w:rFonts w:hint="eastAsia" w:cs="仿宋_GB2312"/>
                <w:sz w:val="28"/>
                <w:szCs w:val="28"/>
              </w:rPr>
              <w:t>区市场监管局</w:t>
            </w:r>
          </w:p>
        </w:tc>
        <w:tc>
          <w:tcPr>
            <w:tcW w:w="2339" w:type="dxa"/>
            <w:vAlign w:val="center"/>
          </w:tcPr>
          <w:p>
            <w:pPr>
              <w:widowControl/>
              <w:jc w:val="center"/>
              <w:rPr>
                <w:rFonts w:cs="仿宋_GB2312"/>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741" w:type="dxa"/>
            <w:vAlign w:val="center"/>
          </w:tcPr>
          <w:p>
            <w:pPr>
              <w:widowControl/>
              <w:jc w:val="center"/>
              <w:rPr>
                <w:rFonts w:cs="仿宋_GB2312"/>
                <w:sz w:val="28"/>
                <w:szCs w:val="28"/>
              </w:rPr>
            </w:pPr>
            <w:r>
              <w:rPr>
                <w:rFonts w:hint="eastAsia" w:cs="仿宋_GB2312"/>
                <w:sz w:val="28"/>
                <w:szCs w:val="28"/>
              </w:rPr>
              <w:t>4</w:t>
            </w:r>
          </w:p>
        </w:tc>
        <w:tc>
          <w:tcPr>
            <w:tcW w:w="1839" w:type="dxa"/>
            <w:vAlign w:val="center"/>
          </w:tcPr>
          <w:p>
            <w:pPr>
              <w:widowControl/>
              <w:snapToGrid w:val="0"/>
              <w:spacing w:line="360" w:lineRule="exact"/>
              <w:jc w:val="center"/>
              <w:rPr>
                <w:rFonts w:cs="仿宋_GB2312"/>
                <w:sz w:val="28"/>
                <w:szCs w:val="28"/>
              </w:rPr>
            </w:pPr>
            <w:r>
              <w:rPr>
                <w:rFonts w:hint="eastAsia" w:cs="仿宋_GB2312"/>
                <w:sz w:val="28"/>
                <w:szCs w:val="28"/>
              </w:rPr>
              <w:t>强化建设工程等使用环节含VOCs产品监管</w:t>
            </w:r>
          </w:p>
        </w:tc>
        <w:tc>
          <w:tcPr>
            <w:tcW w:w="6382" w:type="dxa"/>
            <w:vAlign w:val="center"/>
          </w:tcPr>
          <w:p>
            <w:pPr>
              <w:spacing w:line="320" w:lineRule="exact"/>
              <w:jc w:val="left"/>
              <w:rPr>
                <w:rFonts w:cs="仿宋_GB2312"/>
                <w:sz w:val="28"/>
                <w:szCs w:val="28"/>
              </w:rPr>
            </w:pPr>
            <w:r>
              <w:rPr>
                <w:rFonts w:hint="eastAsia" w:cs="仿宋_GB2312"/>
                <w:sz w:val="28"/>
                <w:szCs w:val="28"/>
              </w:rPr>
              <w:t>针对使用环节，住建、城市管理、交通等部门和单位对政府投资的建设工程中使用的胶粘剂、涂料等产品组织开展抽检，全年抽检覆盖率达到10%左右。在政府采购中推广使用低VOCs含量产品。</w:t>
            </w:r>
          </w:p>
        </w:tc>
        <w:tc>
          <w:tcPr>
            <w:tcW w:w="1422" w:type="dxa"/>
            <w:vAlign w:val="center"/>
          </w:tcPr>
          <w:p>
            <w:pPr>
              <w:spacing w:line="320" w:lineRule="exact"/>
              <w:jc w:val="center"/>
              <w:rPr>
                <w:rFonts w:cs="仿宋_GB2312"/>
                <w:sz w:val="28"/>
                <w:szCs w:val="28"/>
              </w:rPr>
            </w:pPr>
            <w:r>
              <w:rPr>
                <w:rFonts w:hint="eastAsia" w:cs="仿宋_GB2312"/>
                <w:sz w:val="28"/>
                <w:szCs w:val="28"/>
              </w:rPr>
              <w:t>年底前</w:t>
            </w:r>
          </w:p>
        </w:tc>
        <w:tc>
          <w:tcPr>
            <w:tcW w:w="2268" w:type="dxa"/>
            <w:vAlign w:val="center"/>
          </w:tcPr>
          <w:p>
            <w:pPr>
              <w:spacing w:line="310" w:lineRule="exact"/>
              <w:jc w:val="center"/>
              <w:rPr>
                <w:rFonts w:cs="仿宋_GB2312"/>
                <w:sz w:val="28"/>
                <w:szCs w:val="28"/>
              </w:rPr>
            </w:pPr>
            <w:r>
              <w:rPr>
                <w:rFonts w:hint="eastAsia" w:cs="仿宋_GB2312"/>
                <w:sz w:val="28"/>
                <w:szCs w:val="28"/>
              </w:rPr>
              <w:t>区住建委</w:t>
            </w:r>
          </w:p>
          <w:p>
            <w:pPr>
              <w:spacing w:line="310" w:lineRule="exact"/>
              <w:jc w:val="center"/>
              <w:rPr>
                <w:rFonts w:cs="仿宋_GB2312"/>
                <w:sz w:val="28"/>
                <w:szCs w:val="28"/>
              </w:rPr>
            </w:pPr>
            <w:r>
              <w:rPr>
                <w:rFonts w:hint="eastAsia" w:cs="仿宋_GB2312"/>
                <w:sz w:val="28"/>
                <w:szCs w:val="28"/>
              </w:rPr>
              <w:t>区城管委</w:t>
            </w:r>
          </w:p>
          <w:p>
            <w:pPr>
              <w:spacing w:line="310" w:lineRule="exact"/>
              <w:jc w:val="center"/>
              <w:rPr>
                <w:rFonts w:cs="仿宋_GB2312"/>
                <w:sz w:val="28"/>
                <w:szCs w:val="28"/>
              </w:rPr>
            </w:pPr>
            <w:r>
              <w:rPr>
                <w:rFonts w:hint="eastAsia" w:cs="仿宋_GB2312"/>
                <w:sz w:val="28"/>
                <w:szCs w:val="28"/>
              </w:rPr>
              <w:t>区财政局</w:t>
            </w:r>
          </w:p>
        </w:tc>
        <w:tc>
          <w:tcPr>
            <w:tcW w:w="2339" w:type="dxa"/>
            <w:vAlign w:val="center"/>
          </w:tcPr>
          <w:p>
            <w:pPr>
              <w:spacing w:line="360" w:lineRule="exact"/>
              <w:jc w:val="center"/>
              <w:rPr>
                <w:rFonts w:cs="仿宋_GB2312"/>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41" w:type="dxa"/>
            <w:vMerge w:val="restart"/>
            <w:vAlign w:val="center"/>
          </w:tcPr>
          <w:p>
            <w:pPr>
              <w:widowControl/>
              <w:jc w:val="center"/>
              <w:rPr>
                <w:rFonts w:cs="仿宋_GB2312"/>
                <w:sz w:val="28"/>
                <w:szCs w:val="28"/>
              </w:rPr>
            </w:pPr>
            <w:r>
              <w:rPr>
                <w:rFonts w:hint="eastAsia" w:cs="仿宋_GB2312"/>
                <w:sz w:val="28"/>
                <w:szCs w:val="28"/>
              </w:rPr>
              <w:t>5</w:t>
            </w:r>
          </w:p>
        </w:tc>
        <w:tc>
          <w:tcPr>
            <w:tcW w:w="1839" w:type="dxa"/>
            <w:vMerge w:val="restart"/>
            <w:vAlign w:val="center"/>
          </w:tcPr>
          <w:p>
            <w:pPr>
              <w:spacing w:line="360" w:lineRule="exact"/>
              <w:jc w:val="center"/>
              <w:rPr>
                <w:rFonts w:cs="仿宋_GB2312"/>
                <w:sz w:val="28"/>
                <w:szCs w:val="28"/>
              </w:rPr>
            </w:pPr>
            <w:r>
              <w:rPr>
                <w:rFonts w:hint="eastAsia" w:cs="仿宋_GB2312"/>
                <w:sz w:val="28"/>
                <w:szCs w:val="28"/>
              </w:rPr>
              <w:t>加强重点行业VOCs全流程管控</w:t>
            </w:r>
          </w:p>
        </w:tc>
        <w:tc>
          <w:tcPr>
            <w:tcW w:w="6382" w:type="dxa"/>
            <w:vAlign w:val="center"/>
          </w:tcPr>
          <w:p>
            <w:pPr>
              <w:spacing w:line="320" w:lineRule="exact"/>
              <w:jc w:val="left"/>
              <w:rPr>
                <w:rFonts w:cs="仿宋_GB2312"/>
                <w:sz w:val="28"/>
                <w:szCs w:val="28"/>
              </w:rPr>
            </w:pPr>
            <w:r>
              <w:rPr>
                <w:rFonts w:hint="eastAsia" w:cs="仿宋_GB2312"/>
                <w:sz w:val="28"/>
                <w:szCs w:val="28"/>
              </w:rPr>
              <w:t>对VOCs排放重点企业依法开展强制性清洁生产审核。积极推行“一厂一策”制度，组织1家重点行业企业开展精细化治理，并开展治理效果评估。</w:t>
            </w:r>
          </w:p>
        </w:tc>
        <w:tc>
          <w:tcPr>
            <w:tcW w:w="1422" w:type="dxa"/>
            <w:vAlign w:val="center"/>
          </w:tcPr>
          <w:p>
            <w:pPr>
              <w:jc w:val="center"/>
              <w:rPr>
                <w:rFonts w:cs="仿宋_GB2312"/>
                <w:sz w:val="28"/>
                <w:szCs w:val="28"/>
              </w:rPr>
            </w:pPr>
            <w:r>
              <w:rPr>
                <w:rFonts w:hint="eastAsia" w:cs="仿宋_GB2312"/>
                <w:sz w:val="28"/>
                <w:szCs w:val="28"/>
              </w:rPr>
              <w:t>年底前</w:t>
            </w:r>
          </w:p>
        </w:tc>
        <w:tc>
          <w:tcPr>
            <w:tcW w:w="2268" w:type="dxa"/>
            <w:vMerge w:val="restart"/>
            <w:vAlign w:val="center"/>
          </w:tcPr>
          <w:p>
            <w:pPr>
              <w:spacing w:line="360" w:lineRule="exact"/>
              <w:jc w:val="center"/>
              <w:rPr>
                <w:rFonts w:cs="仿宋_GB2312"/>
                <w:sz w:val="28"/>
                <w:szCs w:val="28"/>
              </w:rPr>
            </w:pPr>
            <w:r>
              <w:rPr>
                <w:rFonts w:hint="eastAsia" w:cs="仿宋_GB2312"/>
                <w:sz w:val="28"/>
                <w:szCs w:val="28"/>
              </w:rPr>
              <w:t>区生态环境局</w:t>
            </w:r>
          </w:p>
        </w:tc>
        <w:tc>
          <w:tcPr>
            <w:tcW w:w="2339" w:type="dxa"/>
            <w:vAlign w:val="center"/>
          </w:tcPr>
          <w:p>
            <w:pPr>
              <w:spacing w:line="360" w:lineRule="exact"/>
              <w:jc w:val="center"/>
              <w:rPr>
                <w:rFonts w:cs="仿宋_GB2312"/>
                <w:sz w:val="28"/>
                <w:szCs w:val="28"/>
              </w:rPr>
            </w:pPr>
            <w:r>
              <w:rPr>
                <w:rFonts w:hint="eastAsia" w:cs="仿宋_GB2312"/>
                <w:sz w:val="28"/>
                <w:szCs w:val="28"/>
              </w:rPr>
              <w:t>区发改委</w:t>
            </w:r>
          </w:p>
          <w:p>
            <w:pPr>
              <w:spacing w:line="360" w:lineRule="exact"/>
              <w:jc w:val="center"/>
              <w:rPr>
                <w:rFonts w:cs="仿宋_GB2312"/>
                <w:sz w:val="28"/>
                <w:szCs w:val="28"/>
              </w:rPr>
            </w:pPr>
            <w:r>
              <w:rPr>
                <w:rFonts w:hint="eastAsia" w:cs="仿宋_GB2312"/>
                <w:sz w:val="28"/>
                <w:szCs w:val="28"/>
              </w:rPr>
              <w:t>区科信局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741" w:type="dxa"/>
            <w:vMerge w:val="continue"/>
            <w:vAlign w:val="center"/>
          </w:tcPr>
          <w:p>
            <w:pPr>
              <w:jc w:val="center"/>
            </w:pPr>
          </w:p>
        </w:tc>
        <w:tc>
          <w:tcPr>
            <w:tcW w:w="1839" w:type="dxa"/>
            <w:vMerge w:val="continue"/>
            <w:vAlign w:val="center"/>
          </w:tcPr>
          <w:p>
            <w:pPr>
              <w:jc w:val="center"/>
            </w:pPr>
          </w:p>
        </w:tc>
        <w:tc>
          <w:tcPr>
            <w:tcW w:w="6382" w:type="dxa"/>
            <w:vAlign w:val="center"/>
          </w:tcPr>
          <w:p>
            <w:pPr>
              <w:spacing w:line="320" w:lineRule="exact"/>
              <w:jc w:val="left"/>
              <w:rPr>
                <w:rFonts w:cs="仿宋_GB2312"/>
                <w:sz w:val="28"/>
                <w:szCs w:val="28"/>
              </w:rPr>
            </w:pPr>
            <w:r>
              <w:rPr>
                <w:rFonts w:hint="eastAsia" w:cs="仿宋_GB2312"/>
                <w:sz w:val="28"/>
                <w:szCs w:val="28"/>
              </w:rPr>
              <w:t>以工业涂装、印刷等行业为重点，开展VOCs排放专项执法，督促指导问题企业加快原辅材料替代、强化无组织排放管理、提高“三率”（VOCs治理设施废气收集率、同步运行率和去除率）水平。</w:t>
            </w:r>
          </w:p>
        </w:tc>
        <w:tc>
          <w:tcPr>
            <w:tcW w:w="1422" w:type="dxa"/>
            <w:vAlign w:val="center"/>
          </w:tcPr>
          <w:p>
            <w:pPr>
              <w:spacing w:line="360" w:lineRule="exact"/>
              <w:jc w:val="center"/>
              <w:rPr>
                <w:rFonts w:cs="仿宋_GB2312"/>
                <w:sz w:val="28"/>
                <w:szCs w:val="28"/>
              </w:rPr>
            </w:pPr>
            <w:r>
              <w:rPr>
                <w:rFonts w:hint="eastAsia" w:cs="仿宋_GB2312"/>
                <w:sz w:val="28"/>
                <w:szCs w:val="28"/>
              </w:rPr>
              <w:t>长期实施</w:t>
            </w:r>
          </w:p>
        </w:tc>
        <w:tc>
          <w:tcPr>
            <w:tcW w:w="2268" w:type="dxa"/>
            <w:vMerge w:val="continue"/>
            <w:vAlign w:val="center"/>
          </w:tcPr>
          <w:p>
            <w:pPr>
              <w:widowControl/>
              <w:jc w:val="left"/>
              <w:rPr>
                <w:rFonts w:cs="仿宋_GB2312"/>
                <w:sz w:val="28"/>
                <w:szCs w:val="28"/>
              </w:rPr>
            </w:pPr>
          </w:p>
        </w:tc>
        <w:tc>
          <w:tcPr>
            <w:tcW w:w="2339" w:type="dxa"/>
            <w:vAlign w:val="center"/>
          </w:tcPr>
          <w:p>
            <w:pPr>
              <w:widowControl/>
              <w:jc w:val="center"/>
              <w:rPr>
                <w:rFonts w:cs="仿宋_GB2312"/>
                <w:sz w:val="28"/>
                <w:szCs w:val="28"/>
              </w:rPr>
            </w:pPr>
            <w:r>
              <w:rPr>
                <w:rFonts w:hint="eastAsia" w:cs="仿宋_GB2312"/>
                <w:sz w:val="28"/>
                <w:szCs w:val="28"/>
              </w:rPr>
              <w:t>区科信局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741" w:type="dxa"/>
            <w:vMerge w:val="restart"/>
            <w:vAlign w:val="center"/>
          </w:tcPr>
          <w:p>
            <w:pPr>
              <w:widowControl/>
              <w:jc w:val="center"/>
              <w:rPr>
                <w:rFonts w:cs="仿宋_GB2312"/>
                <w:sz w:val="28"/>
                <w:szCs w:val="28"/>
              </w:rPr>
            </w:pPr>
            <w:r>
              <w:rPr>
                <w:rFonts w:hint="eastAsia" w:cs="仿宋_GB2312"/>
                <w:sz w:val="28"/>
                <w:szCs w:val="28"/>
              </w:rPr>
              <w:t>6</w:t>
            </w:r>
          </w:p>
        </w:tc>
        <w:tc>
          <w:tcPr>
            <w:tcW w:w="1839" w:type="dxa"/>
            <w:vMerge w:val="restart"/>
            <w:vAlign w:val="center"/>
          </w:tcPr>
          <w:p>
            <w:pPr>
              <w:spacing w:line="360" w:lineRule="exact"/>
              <w:jc w:val="center"/>
              <w:rPr>
                <w:rFonts w:cs="仿宋_GB2312"/>
                <w:sz w:val="28"/>
                <w:szCs w:val="28"/>
              </w:rPr>
            </w:pPr>
            <w:r>
              <w:rPr>
                <w:rFonts w:hint="eastAsia" w:cs="仿宋_GB2312"/>
                <w:sz w:val="28"/>
                <w:szCs w:val="28"/>
              </w:rPr>
              <w:t>推进重点企业VOCs治理</w:t>
            </w:r>
          </w:p>
        </w:tc>
        <w:tc>
          <w:tcPr>
            <w:tcW w:w="6382" w:type="dxa"/>
            <w:vAlign w:val="center"/>
          </w:tcPr>
          <w:p>
            <w:pPr>
              <w:spacing w:line="310" w:lineRule="exact"/>
              <w:jc w:val="left"/>
              <w:rPr>
                <w:rFonts w:cs="仿宋_GB2312"/>
                <w:sz w:val="28"/>
                <w:szCs w:val="28"/>
              </w:rPr>
            </w:pPr>
            <w:r>
              <w:rPr>
                <w:rFonts w:hint="eastAsia" w:cs="仿宋_GB2312"/>
                <w:sz w:val="28"/>
                <w:szCs w:val="28"/>
              </w:rPr>
              <w:t>动态监控重点企业生产和排放情况，及时发现问题并实施整改，引导具备条件的企业试点推广有机溶剂集中回收处置、活性炭集中再生等管理模式。</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sz w:val="28"/>
                <w:szCs w:val="28"/>
              </w:rPr>
            </w:pPr>
            <w:r>
              <w:rPr>
                <w:rFonts w:hint="eastAsia" w:cs="仿宋_GB2312"/>
                <w:sz w:val="28"/>
                <w:szCs w:val="28"/>
              </w:rPr>
              <w:t>区科信局</w:t>
            </w:r>
          </w:p>
          <w:p>
            <w:pPr>
              <w:spacing w:line="360" w:lineRule="exact"/>
              <w:jc w:val="center"/>
              <w:rPr>
                <w:rFonts w:cs="仿宋_GB2312"/>
                <w:sz w:val="28"/>
                <w:szCs w:val="28"/>
              </w:rPr>
            </w:pPr>
            <w:r>
              <w:rPr>
                <w:rFonts w:hint="eastAsia" w:cs="仿宋_GB2312"/>
                <w:sz w:val="28"/>
                <w:szCs w:val="28"/>
              </w:rPr>
              <w:t>区生态环境局</w:t>
            </w:r>
          </w:p>
        </w:tc>
        <w:tc>
          <w:tcPr>
            <w:tcW w:w="2339" w:type="dxa"/>
            <w:vAlign w:val="center"/>
          </w:tcPr>
          <w:p>
            <w:pPr>
              <w:spacing w:line="360" w:lineRule="exact"/>
              <w:jc w:val="center"/>
              <w:rPr>
                <w:sz w:val="28"/>
                <w:szCs w:val="28"/>
              </w:rPr>
            </w:pPr>
            <w:r>
              <w:rPr>
                <w:rFonts w:hint="eastAsia"/>
                <w:sz w:val="28"/>
                <w:szCs w:val="2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41" w:type="dxa"/>
            <w:vMerge w:val="continue"/>
            <w:vAlign w:val="center"/>
          </w:tcPr>
          <w:p>
            <w:pPr>
              <w:jc w:val="center"/>
            </w:pPr>
          </w:p>
        </w:tc>
        <w:tc>
          <w:tcPr>
            <w:tcW w:w="1839" w:type="dxa"/>
            <w:vMerge w:val="continue"/>
            <w:vAlign w:val="center"/>
          </w:tcPr>
          <w:p>
            <w:pPr>
              <w:jc w:val="center"/>
            </w:pPr>
          </w:p>
        </w:tc>
        <w:tc>
          <w:tcPr>
            <w:tcW w:w="6382" w:type="dxa"/>
            <w:vAlign w:val="center"/>
          </w:tcPr>
          <w:p>
            <w:pPr>
              <w:spacing w:line="310" w:lineRule="exact"/>
              <w:jc w:val="left"/>
              <w:rPr>
                <w:rFonts w:cs="仿宋_GB2312"/>
                <w:sz w:val="28"/>
                <w:szCs w:val="28"/>
              </w:rPr>
            </w:pPr>
            <w:r>
              <w:rPr>
                <w:rFonts w:hint="eastAsia" w:cs="仿宋_GB2312"/>
                <w:sz w:val="28"/>
                <w:szCs w:val="28"/>
              </w:rPr>
              <w:t>在市交通委的统筹安排下，持续推进汽修行业污染防治能力提质升级，继续推动辖区内汽修单位钣金喷漆工艺迁出，提升VOCs管控水平。</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sz w:val="28"/>
                <w:szCs w:val="28"/>
              </w:rPr>
            </w:pPr>
            <w:r>
              <w:rPr>
                <w:rFonts w:hint="eastAsia" w:cs="仿宋_GB2312"/>
                <w:sz w:val="28"/>
                <w:szCs w:val="28"/>
              </w:rPr>
              <w:t>市交通委运输管理局东城分局</w:t>
            </w:r>
          </w:p>
          <w:p>
            <w:pPr>
              <w:spacing w:line="360" w:lineRule="exact"/>
              <w:jc w:val="center"/>
              <w:rPr>
                <w:rFonts w:cs="仿宋_GB2312"/>
                <w:sz w:val="28"/>
                <w:szCs w:val="28"/>
              </w:rPr>
            </w:pPr>
            <w:r>
              <w:rPr>
                <w:rFonts w:hint="eastAsia" w:cs="仿宋_GB2312"/>
                <w:sz w:val="28"/>
                <w:szCs w:val="28"/>
              </w:rPr>
              <w:t>区生态环境局</w:t>
            </w:r>
          </w:p>
        </w:tc>
        <w:tc>
          <w:tcPr>
            <w:tcW w:w="2339" w:type="dxa"/>
            <w:vAlign w:val="center"/>
          </w:tcPr>
          <w:p>
            <w:pPr>
              <w:snapToGrid w:val="0"/>
              <w:spacing w:line="320" w:lineRule="exact"/>
              <w:jc w:val="center"/>
              <w:rPr>
                <w:rFonts w:cs="仿宋_GB2312"/>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741" w:type="dxa"/>
            <w:vMerge w:val="restart"/>
            <w:vAlign w:val="center"/>
          </w:tcPr>
          <w:p>
            <w:pPr>
              <w:spacing w:line="360" w:lineRule="exact"/>
              <w:jc w:val="center"/>
              <w:rPr>
                <w:rFonts w:cs="仿宋_GB2312"/>
                <w:sz w:val="28"/>
                <w:szCs w:val="28"/>
              </w:rPr>
            </w:pPr>
            <w:r>
              <w:rPr>
                <w:rFonts w:hint="eastAsia" w:cs="仿宋_GB2312"/>
                <w:sz w:val="28"/>
                <w:szCs w:val="28"/>
              </w:rPr>
              <w:t>7</w:t>
            </w:r>
          </w:p>
        </w:tc>
        <w:tc>
          <w:tcPr>
            <w:tcW w:w="1839" w:type="dxa"/>
            <w:vMerge w:val="restart"/>
            <w:vAlign w:val="center"/>
          </w:tcPr>
          <w:p>
            <w:pPr>
              <w:spacing w:line="360" w:lineRule="exact"/>
              <w:jc w:val="center"/>
              <w:rPr>
                <w:rFonts w:cs="仿宋_GB2312"/>
                <w:sz w:val="28"/>
                <w:szCs w:val="28"/>
              </w:rPr>
            </w:pPr>
            <w:r>
              <w:rPr>
                <w:rFonts w:hint="eastAsia" w:cs="仿宋_GB2312"/>
                <w:sz w:val="28"/>
                <w:szCs w:val="28"/>
              </w:rPr>
              <w:t>促进成品油储运系统油气减排</w:t>
            </w:r>
          </w:p>
        </w:tc>
        <w:tc>
          <w:tcPr>
            <w:tcW w:w="6382" w:type="dxa"/>
            <w:vAlign w:val="center"/>
          </w:tcPr>
          <w:p>
            <w:pPr>
              <w:spacing w:line="320" w:lineRule="exact"/>
              <w:jc w:val="left"/>
              <w:rPr>
                <w:rFonts w:cs="仿宋_GB2312"/>
                <w:sz w:val="28"/>
                <w:szCs w:val="28"/>
              </w:rPr>
            </w:pPr>
            <w:r>
              <w:rPr>
                <w:rFonts w:hint="eastAsia" w:cs="仿宋_GB2312"/>
                <w:sz w:val="28"/>
                <w:szCs w:val="28"/>
              </w:rPr>
              <w:t>充分利用加油站油气回收在线监控系统，对在线监控系统报警、未稳定运行和数据不准确的加油站进行依法处理。</w:t>
            </w:r>
          </w:p>
        </w:tc>
        <w:tc>
          <w:tcPr>
            <w:tcW w:w="1422" w:type="dxa"/>
            <w:vAlign w:val="center"/>
          </w:tcPr>
          <w:p>
            <w:pPr>
              <w:spacing w:line="360" w:lineRule="exact"/>
              <w:jc w:val="center"/>
              <w:rPr>
                <w:rFonts w:cs="仿宋_GB2312"/>
                <w:sz w:val="28"/>
                <w:szCs w:val="28"/>
              </w:rPr>
            </w:pPr>
            <w:r>
              <w:rPr>
                <w:rFonts w:hint="eastAsia" w:cs="仿宋_GB2312"/>
                <w:sz w:val="28"/>
                <w:szCs w:val="28"/>
              </w:rPr>
              <w:t>长期</w:t>
            </w:r>
          </w:p>
          <w:p>
            <w:pPr>
              <w:spacing w:line="360" w:lineRule="exact"/>
              <w:jc w:val="center"/>
              <w:rPr>
                <w:rFonts w:cs="仿宋_GB2312"/>
                <w:sz w:val="28"/>
                <w:szCs w:val="28"/>
              </w:rPr>
            </w:pPr>
            <w:r>
              <w:rPr>
                <w:rFonts w:hint="eastAsia" w:cs="仿宋_GB2312"/>
                <w:sz w:val="28"/>
                <w:szCs w:val="28"/>
              </w:rPr>
              <w:t>实施</w:t>
            </w:r>
          </w:p>
        </w:tc>
        <w:tc>
          <w:tcPr>
            <w:tcW w:w="2268" w:type="dxa"/>
            <w:vAlign w:val="center"/>
          </w:tcPr>
          <w:p>
            <w:pPr>
              <w:spacing w:line="360" w:lineRule="exact"/>
              <w:jc w:val="center"/>
              <w:rPr>
                <w:rFonts w:cs="仿宋_GB2312"/>
                <w:sz w:val="28"/>
                <w:szCs w:val="28"/>
              </w:rPr>
            </w:pPr>
            <w:r>
              <w:rPr>
                <w:rFonts w:hint="eastAsia" w:cs="仿宋_GB2312"/>
                <w:sz w:val="28"/>
                <w:szCs w:val="28"/>
              </w:rPr>
              <w:t>区生态环境局</w:t>
            </w:r>
          </w:p>
        </w:tc>
        <w:tc>
          <w:tcPr>
            <w:tcW w:w="2339" w:type="dxa"/>
            <w:vAlign w:val="center"/>
          </w:tcPr>
          <w:p>
            <w:pPr>
              <w:snapToGrid w:val="0"/>
              <w:spacing w:line="320" w:lineRule="exact"/>
              <w:jc w:val="center"/>
              <w:rPr>
                <w:rFonts w:cs="仿宋_GB2312"/>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741" w:type="dxa"/>
            <w:vMerge w:val="continue"/>
            <w:vAlign w:val="center"/>
          </w:tcPr>
          <w:p>
            <w:pPr>
              <w:jc w:val="center"/>
            </w:pPr>
          </w:p>
        </w:tc>
        <w:tc>
          <w:tcPr>
            <w:tcW w:w="1839" w:type="dxa"/>
            <w:vMerge w:val="continue"/>
            <w:vAlign w:val="center"/>
          </w:tcPr>
          <w:p>
            <w:pPr>
              <w:jc w:val="center"/>
            </w:pPr>
          </w:p>
        </w:tc>
        <w:tc>
          <w:tcPr>
            <w:tcW w:w="6382" w:type="dxa"/>
            <w:vAlign w:val="center"/>
          </w:tcPr>
          <w:p>
            <w:pPr>
              <w:spacing w:line="320" w:lineRule="exact"/>
              <w:jc w:val="left"/>
              <w:rPr>
                <w:rFonts w:cs="仿宋_GB2312"/>
                <w:sz w:val="28"/>
                <w:szCs w:val="28"/>
              </w:rPr>
            </w:pPr>
            <w:r>
              <w:rPr>
                <w:rFonts w:hint="eastAsia" w:cs="仿宋_GB2312"/>
                <w:sz w:val="28"/>
                <w:szCs w:val="28"/>
              </w:rPr>
              <w:t>夏季（6-9月）区商务局、区生态环境局督促加油站和储油库实施错峰装卸油，以及加油站出台措施鼓励夜间加油。</w:t>
            </w:r>
          </w:p>
        </w:tc>
        <w:tc>
          <w:tcPr>
            <w:tcW w:w="1422" w:type="dxa"/>
            <w:vAlign w:val="center"/>
          </w:tcPr>
          <w:p>
            <w:pPr>
              <w:spacing w:line="360" w:lineRule="exact"/>
              <w:jc w:val="center"/>
              <w:rPr>
                <w:rFonts w:cs="仿宋_GB2312"/>
                <w:sz w:val="28"/>
                <w:szCs w:val="28"/>
              </w:rPr>
            </w:pPr>
            <w:r>
              <w:rPr>
                <w:rFonts w:hint="eastAsia" w:cs="仿宋_GB2312"/>
                <w:sz w:val="28"/>
                <w:szCs w:val="28"/>
              </w:rPr>
              <w:t>6-9月</w:t>
            </w:r>
          </w:p>
        </w:tc>
        <w:tc>
          <w:tcPr>
            <w:tcW w:w="2268" w:type="dxa"/>
            <w:vAlign w:val="center"/>
          </w:tcPr>
          <w:p>
            <w:pPr>
              <w:spacing w:line="360" w:lineRule="exact"/>
              <w:jc w:val="center"/>
              <w:rPr>
                <w:rFonts w:cs="仿宋_GB2312"/>
                <w:sz w:val="28"/>
                <w:szCs w:val="28"/>
              </w:rPr>
            </w:pPr>
            <w:r>
              <w:rPr>
                <w:rFonts w:hint="eastAsia" w:cs="仿宋_GB2312"/>
                <w:sz w:val="28"/>
                <w:szCs w:val="28"/>
              </w:rPr>
              <w:t>区商务局</w:t>
            </w:r>
          </w:p>
          <w:p>
            <w:pPr>
              <w:spacing w:line="360" w:lineRule="exact"/>
              <w:jc w:val="center"/>
              <w:rPr>
                <w:rFonts w:cs="仿宋_GB2312"/>
                <w:sz w:val="28"/>
                <w:szCs w:val="28"/>
              </w:rPr>
            </w:pPr>
            <w:r>
              <w:rPr>
                <w:rFonts w:hint="eastAsia" w:cs="仿宋_GB2312"/>
                <w:sz w:val="28"/>
                <w:szCs w:val="28"/>
              </w:rPr>
              <w:t>区生态环境局</w:t>
            </w:r>
          </w:p>
        </w:tc>
        <w:tc>
          <w:tcPr>
            <w:tcW w:w="2339" w:type="dxa"/>
            <w:vAlign w:val="center"/>
          </w:tcPr>
          <w:p>
            <w:pPr>
              <w:snapToGrid w:val="0"/>
              <w:spacing w:line="320" w:lineRule="exact"/>
              <w:jc w:val="center"/>
              <w:rPr>
                <w:rFonts w:cs="仿宋_GB2312"/>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jc w:val="center"/>
        </w:trPr>
        <w:tc>
          <w:tcPr>
            <w:tcW w:w="741" w:type="dxa"/>
            <w:vAlign w:val="center"/>
          </w:tcPr>
          <w:p>
            <w:pPr>
              <w:spacing w:line="320" w:lineRule="exact"/>
              <w:jc w:val="center"/>
              <w:rPr>
                <w:rFonts w:cs="仿宋_GB2312"/>
                <w:sz w:val="28"/>
                <w:szCs w:val="28"/>
              </w:rPr>
            </w:pPr>
            <w:r>
              <w:rPr>
                <w:rFonts w:hint="eastAsia" w:cs="仿宋_GB2312"/>
                <w:sz w:val="28"/>
                <w:szCs w:val="28"/>
              </w:rPr>
              <w:t>8</w:t>
            </w:r>
          </w:p>
        </w:tc>
        <w:tc>
          <w:tcPr>
            <w:tcW w:w="1839" w:type="dxa"/>
            <w:vAlign w:val="center"/>
          </w:tcPr>
          <w:p>
            <w:pPr>
              <w:spacing w:line="320" w:lineRule="exact"/>
              <w:jc w:val="left"/>
              <w:rPr>
                <w:sz w:val="28"/>
                <w:szCs w:val="28"/>
              </w:rPr>
            </w:pPr>
            <w:r>
              <w:rPr>
                <w:rFonts w:hint="eastAsia"/>
                <w:sz w:val="28"/>
                <w:szCs w:val="28"/>
              </w:rPr>
              <w:t>加强油品质量监管检查</w:t>
            </w:r>
          </w:p>
        </w:tc>
        <w:tc>
          <w:tcPr>
            <w:tcW w:w="6382" w:type="dxa"/>
            <w:vAlign w:val="center"/>
          </w:tcPr>
          <w:p>
            <w:pPr>
              <w:spacing w:line="320" w:lineRule="exact"/>
              <w:ind w:right="83" w:rightChars="26"/>
              <w:rPr>
                <w:sz w:val="28"/>
                <w:szCs w:val="28"/>
              </w:rPr>
            </w:pPr>
            <w:r>
              <w:rPr>
                <w:rFonts w:hint="eastAsia"/>
                <w:sz w:val="28"/>
                <w:szCs w:val="28"/>
              </w:rPr>
              <w:t>市场监管部门依法对销售和使用环节中影响机动车和非道路移动机械排放大气污染物的油品、氮氧化物还原剂、车用油品清净剂等有关产品的质量开展监督检查。依法查处销售以及运输企业和非道路移动机械使用单位使用不合格燃料违法行为。</w:t>
            </w:r>
          </w:p>
          <w:p>
            <w:pPr>
              <w:spacing w:line="320" w:lineRule="exact"/>
              <w:ind w:right="83" w:rightChars="26"/>
              <w:rPr>
                <w:rFonts w:cs="仿宋_GB2312"/>
                <w:sz w:val="28"/>
                <w:szCs w:val="28"/>
              </w:rPr>
            </w:pPr>
            <w:r>
              <w:rPr>
                <w:rFonts w:hint="eastAsia" w:cs="仿宋_GB2312"/>
                <w:sz w:val="28"/>
                <w:szCs w:val="28"/>
              </w:rPr>
              <w:t>东城公安分局按照市公安局部署，组织开展清除无证无照经营黑加油站点、流动加油罐车专项整治行动；加大对施工工地非道路移动机械违法销售油品查处力度。</w:t>
            </w:r>
          </w:p>
          <w:p>
            <w:pPr>
              <w:spacing w:line="320" w:lineRule="exact"/>
              <w:ind w:right="83" w:rightChars="26"/>
              <w:rPr>
                <w:sz w:val="28"/>
                <w:szCs w:val="28"/>
              </w:rPr>
            </w:pPr>
            <w:r>
              <w:rPr>
                <w:rFonts w:hint="eastAsia" w:cs="仿宋_GB2312"/>
                <w:sz w:val="28"/>
                <w:szCs w:val="28"/>
              </w:rPr>
              <w:t>区住建委督促本行业非道路移动机械使用单位使用符合标准的燃料。</w:t>
            </w:r>
          </w:p>
        </w:tc>
        <w:tc>
          <w:tcPr>
            <w:tcW w:w="1422" w:type="dxa"/>
            <w:vAlign w:val="center"/>
          </w:tcPr>
          <w:p>
            <w:pPr>
              <w:spacing w:line="320" w:lineRule="exact"/>
              <w:jc w:val="center"/>
              <w:rPr>
                <w:sz w:val="28"/>
                <w:szCs w:val="28"/>
              </w:rPr>
            </w:pPr>
            <w:r>
              <w:rPr>
                <w:rFonts w:hint="eastAsia"/>
                <w:sz w:val="28"/>
                <w:szCs w:val="28"/>
              </w:rPr>
              <w:t>年底前</w:t>
            </w:r>
          </w:p>
        </w:tc>
        <w:tc>
          <w:tcPr>
            <w:tcW w:w="2268" w:type="dxa"/>
            <w:vAlign w:val="center"/>
          </w:tcPr>
          <w:p>
            <w:pPr>
              <w:spacing w:line="320" w:lineRule="exact"/>
              <w:jc w:val="center"/>
              <w:rPr>
                <w:rFonts w:cs="仿宋_GB2312"/>
                <w:sz w:val="28"/>
                <w:szCs w:val="28"/>
              </w:rPr>
            </w:pPr>
            <w:r>
              <w:rPr>
                <w:rFonts w:hint="eastAsia" w:cs="仿宋_GB2312"/>
                <w:sz w:val="28"/>
                <w:szCs w:val="28"/>
              </w:rPr>
              <w:t>区市场监管局</w:t>
            </w:r>
          </w:p>
          <w:p>
            <w:pPr>
              <w:spacing w:line="320" w:lineRule="exact"/>
              <w:jc w:val="center"/>
              <w:rPr>
                <w:rFonts w:cs="仿宋_GB2312"/>
                <w:sz w:val="28"/>
                <w:szCs w:val="28"/>
              </w:rPr>
            </w:pPr>
            <w:r>
              <w:rPr>
                <w:rFonts w:hint="eastAsia" w:cs="仿宋_GB2312"/>
                <w:sz w:val="28"/>
                <w:szCs w:val="28"/>
              </w:rPr>
              <w:t>东城公安分局</w:t>
            </w:r>
          </w:p>
          <w:p>
            <w:pPr>
              <w:spacing w:line="300" w:lineRule="exact"/>
              <w:ind w:left="-218" w:leftChars="-68" w:right="-99" w:rightChars="-31"/>
              <w:jc w:val="center"/>
              <w:rPr>
                <w:sz w:val="28"/>
                <w:szCs w:val="28"/>
              </w:rPr>
            </w:pPr>
            <w:r>
              <w:rPr>
                <w:rFonts w:hint="eastAsia" w:cs="仿宋_GB2312"/>
                <w:sz w:val="28"/>
                <w:szCs w:val="28"/>
              </w:rPr>
              <w:t>区住建委</w:t>
            </w:r>
          </w:p>
        </w:tc>
        <w:tc>
          <w:tcPr>
            <w:tcW w:w="2339" w:type="dxa"/>
            <w:vAlign w:val="center"/>
          </w:tcPr>
          <w:p>
            <w:pPr>
              <w:spacing w:line="320" w:lineRule="exact"/>
              <w:jc w:val="center"/>
              <w:rPr>
                <w:color w:val="000000"/>
                <w:sz w:val="28"/>
                <w:szCs w:val="28"/>
              </w:rPr>
            </w:pPr>
            <w:r>
              <w:rPr>
                <w:rFonts w:hint="eastAsia"/>
                <w:color w:val="000000"/>
                <w:sz w:val="28"/>
                <w:szCs w:val="28"/>
              </w:rPr>
              <w:t>区商务局</w:t>
            </w:r>
          </w:p>
          <w:p>
            <w:pPr>
              <w:spacing w:line="320" w:lineRule="exact"/>
              <w:jc w:val="center"/>
              <w:rPr>
                <w:color w:val="000000"/>
                <w:sz w:val="28"/>
                <w:szCs w:val="28"/>
              </w:rPr>
            </w:pPr>
            <w:r>
              <w:rPr>
                <w:rFonts w:hint="eastAsia"/>
                <w:color w:val="000000"/>
                <w:sz w:val="28"/>
                <w:szCs w:val="28"/>
              </w:rPr>
              <w:t>区城管委</w:t>
            </w:r>
          </w:p>
          <w:p>
            <w:pPr>
              <w:spacing w:line="320" w:lineRule="exact"/>
              <w:jc w:val="center"/>
              <w:rPr>
                <w:color w:val="000000"/>
                <w:sz w:val="28"/>
                <w:szCs w:val="28"/>
              </w:rPr>
            </w:pPr>
            <w:r>
              <w:rPr>
                <w:rFonts w:hint="eastAsia"/>
                <w:color w:val="000000"/>
                <w:sz w:val="28"/>
                <w:szCs w:val="2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741" w:type="dxa"/>
            <w:vAlign w:val="center"/>
          </w:tcPr>
          <w:p>
            <w:pPr>
              <w:spacing w:line="320" w:lineRule="exact"/>
              <w:jc w:val="center"/>
              <w:rPr>
                <w:rFonts w:cs="仿宋_GB2312"/>
                <w:sz w:val="28"/>
                <w:szCs w:val="28"/>
              </w:rPr>
            </w:pPr>
            <w:r>
              <w:rPr>
                <w:rFonts w:hint="eastAsia" w:cs="仿宋_GB2312"/>
                <w:sz w:val="28"/>
                <w:szCs w:val="28"/>
              </w:rPr>
              <w:t>9</w:t>
            </w:r>
          </w:p>
        </w:tc>
        <w:tc>
          <w:tcPr>
            <w:tcW w:w="1839" w:type="dxa"/>
            <w:vAlign w:val="center"/>
          </w:tcPr>
          <w:p>
            <w:pPr>
              <w:spacing w:line="320" w:lineRule="exact"/>
              <w:jc w:val="center"/>
              <w:rPr>
                <w:sz w:val="28"/>
                <w:szCs w:val="28"/>
              </w:rPr>
            </w:pPr>
            <w:r>
              <w:rPr>
                <w:rFonts w:hint="eastAsia" w:cs="仿宋_GB2312"/>
                <w:sz w:val="28"/>
                <w:szCs w:val="28"/>
              </w:rPr>
              <w:t>强化环境精准执法和精细化监管</w:t>
            </w:r>
          </w:p>
        </w:tc>
        <w:tc>
          <w:tcPr>
            <w:tcW w:w="6382" w:type="dxa"/>
            <w:vAlign w:val="center"/>
          </w:tcPr>
          <w:p>
            <w:pPr>
              <w:spacing w:line="360" w:lineRule="exact"/>
              <w:jc w:val="left"/>
              <w:rPr>
                <w:sz w:val="28"/>
                <w:szCs w:val="28"/>
              </w:rPr>
            </w:pPr>
            <w:r>
              <w:rPr>
                <w:rFonts w:hint="eastAsia" w:cs="仿宋_GB2312"/>
                <w:sz w:val="28"/>
                <w:szCs w:val="28"/>
              </w:rPr>
              <w:t>生态环境、公安、城管执法、市场监管等部门依据职责，组织开展贯穿全年的环境问题执法检查；利用热点网格、在线监控、视频监控等技术，实施精准执法、联合执法、“点穴式”执法，强化行刑衔接，严厉打击各类大气违法行为，加大对违法行为的曝光力度。强化排污许可证后监管执法，严格查处无证和不按证排污行为。</w:t>
            </w:r>
          </w:p>
        </w:tc>
        <w:tc>
          <w:tcPr>
            <w:tcW w:w="1422" w:type="dxa"/>
            <w:vAlign w:val="center"/>
          </w:tcPr>
          <w:p>
            <w:pPr>
              <w:spacing w:line="320" w:lineRule="exact"/>
              <w:jc w:val="center"/>
              <w:rPr>
                <w:sz w:val="28"/>
                <w:szCs w:val="28"/>
              </w:rPr>
            </w:pPr>
            <w:r>
              <w:rPr>
                <w:rFonts w:hint="eastAsia" w:cs="仿宋_GB2312"/>
                <w:sz w:val="28"/>
                <w:szCs w:val="28"/>
              </w:rPr>
              <w:t>年底前</w:t>
            </w:r>
          </w:p>
        </w:tc>
        <w:tc>
          <w:tcPr>
            <w:tcW w:w="2268" w:type="dxa"/>
            <w:vAlign w:val="center"/>
          </w:tcPr>
          <w:p>
            <w:pPr>
              <w:spacing w:line="320" w:lineRule="exact"/>
              <w:jc w:val="center"/>
              <w:rPr>
                <w:color w:val="000000"/>
                <w:sz w:val="28"/>
                <w:szCs w:val="28"/>
              </w:rPr>
            </w:pPr>
            <w:r>
              <w:rPr>
                <w:rFonts w:hint="eastAsia" w:cs="仿宋_GB2312"/>
                <w:color w:val="000000"/>
                <w:sz w:val="28"/>
                <w:szCs w:val="28"/>
              </w:rPr>
              <w:t>区生态环境局</w:t>
            </w:r>
          </w:p>
          <w:p>
            <w:pPr>
              <w:spacing w:line="320" w:lineRule="exact"/>
              <w:jc w:val="center"/>
              <w:rPr>
                <w:rFonts w:cs="仿宋_GB2312"/>
                <w:color w:val="000000"/>
                <w:sz w:val="28"/>
                <w:szCs w:val="28"/>
              </w:rPr>
            </w:pPr>
            <w:r>
              <w:rPr>
                <w:rFonts w:hint="eastAsia" w:cs="仿宋_GB2312"/>
                <w:color w:val="000000"/>
                <w:sz w:val="28"/>
                <w:szCs w:val="28"/>
              </w:rPr>
              <w:t>东城公安分局</w:t>
            </w:r>
          </w:p>
          <w:p>
            <w:pPr>
              <w:spacing w:line="320" w:lineRule="exact"/>
              <w:jc w:val="center"/>
              <w:rPr>
                <w:rFonts w:cs="仿宋_GB2312"/>
                <w:color w:val="000000"/>
                <w:sz w:val="28"/>
                <w:szCs w:val="28"/>
              </w:rPr>
            </w:pPr>
            <w:r>
              <w:rPr>
                <w:rFonts w:hint="eastAsia" w:cs="仿宋_GB2312"/>
                <w:color w:val="000000"/>
                <w:sz w:val="28"/>
                <w:szCs w:val="28"/>
              </w:rPr>
              <w:t>区城管委</w:t>
            </w:r>
          </w:p>
          <w:p>
            <w:pPr>
              <w:spacing w:line="320" w:lineRule="exact"/>
              <w:jc w:val="center"/>
              <w:rPr>
                <w:sz w:val="28"/>
                <w:szCs w:val="28"/>
              </w:rPr>
            </w:pPr>
            <w:r>
              <w:rPr>
                <w:rFonts w:hint="eastAsia" w:cs="仿宋_GB2312"/>
                <w:color w:val="000000"/>
                <w:sz w:val="28"/>
                <w:szCs w:val="28"/>
              </w:rPr>
              <w:t>区市场监管局</w:t>
            </w:r>
          </w:p>
        </w:tc>
        <w:tc>
          <w:tcPr>
            <w:tcW w:w="2339" w:type="dxa"/>
            <w:vAlign w:val="center"/>
          </w:tcPr>
          <w:p>
            <w:pPr>
              <w:spacing w:line="320" w:lineRule="exact"/>
              <w:jc w:val="center"/>
              <w:rPr>
                <w:sz w:val="28"/>
                <w:szCs w:val="28"/>
              </w:rPr>
            </w:pPr>
            <w:r>
              <w:rPr>
                <w:rFonts w:hint="eastAsia" w:cs="仿宋_GB2312"/>
                <w:sz w:val="28"/>
                <w:szCs w:val="2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10</w:t>
            </w:r>
          </w:p>
        </w:tc>
        <w:tc>
          <w:tcPr>
            <w:tcW w:w="1839" w:type="dxa"/>
            <w:vAlign w:val="center"/>
          </w:tcPr>
          <w:p>
            <w:pPr>
              <w:spacing w:line="360" w:lineRule="exact"/>
              <w:jc w:val="center"/>
              <w:rPr>
                <w:sz w:val="28"/>
                <w:szCs w:val="28"/>
              </w:rPr>
            </w:pPr>
            <w:r>
              <w:rPr>
                <w:rFonts w:hint="eastAsia" w:cs="仿宋_GB2312"/>
                <w:sz w:val="28"/>
                <w:szCs w:val="28"/>
              </w:rPr>
              <w:t>VOCs总量减排</w:t>
            </w:r>
          </w:p>
        </w:tc>
        <w:tc>
          <w:tcPr>
            <w:tcW w:w="6382" w:type="dxa"/>
            <w:vAlign w:val="center"/>
          </w:tcPr>
          <w:p>
            <w:pPr>
              <w:spacing w:line="360" w:lineRule="exact"/>
              <w:jc w:val="left"/>
              <w:rPr>
                <w:rFonts w:cs="仿宋_GB2312"/>
                <w:sz w:val="28"/>
                <w:szCs w:val="28"/>
              </w:rPr>
            </w:pPr>
            <w:r>
              <w:rPr>
                <w:rFonts w:hint="eastAsia" w:cs="仿宋_GB2312"/>
                <w:sz w:val="28"/>
                <w:szCs w:val="28"/>
              </w:rPr>
              <w:t>完成国家和本市减排目标要求。</w:t>
            </w:r>
          </w:p>
        </w:tc>
        <w:tc>
          <w:tcPr>
            <w:tcW w:w="1422" w:type="dxa"/>
            <w:vAlign w:val="center"/>
          </w:tcPr>
          <w:p>
            <w:pPr>
              <w:spacing w:line="300" w:lineRule="exact"/>
              <w:jc w:val="center"/>
              <w:rPr>
                <w:rFonts w:cs="仿宋_GB2312"/>
                <w:sz w:val="28"/>
                <w:szCs w:val="28"/>
              </w:rPr>
            </w:pPr>
            <w:r>
              <w:rPr>
                <w:rFonts w:hint="eastAsia" w:cs="仿宋_GB2312"/>
                <w:sz w:val="28"/>
                <w:szCs w:val="28"/>
              </w:rPr>
              <w:t>年底前</w:t>
            </w:r>
          </w:p>
        </w:tc>
        <w:tc>
          <w:tcPr>
            <w:tcW w:w="2268" w:type="dxa"/>
            <w:vAlign w:val="center"/>
          </w:tcPr>
          <w:p>
            <w:pPr>
              <w:spacing w:line="300" w:lineRule="exact"/>
              <w:jc w:val="center"/>
              <w:rPr>
                <w:rFonts w:cs="仿宋_GB2312"/>
                <w:color w:val="000000"/>
                <w:sz w:val="28"/>
                <w:szCs w:val="28"/>
              </w:rPr>
            </w:pPr>
            <w:r>
              <w:rPr>
                <w:rFonts w:hint="eastAsia" w:cs="仿宋_GB2312"/>
                <w:color w:val="000000"/>
                <w:sz w:val="28"/>
                <w:szCs w:val="28"/>
              </w:rPr>
              <w:t>区生态环境局</w:t>
            </w:r>
          </w:p>
        </w:tc>
        <w:tc>
          <w:tcPr>
            <w:tcW w:w="2339" w:type="dxa"/>
            <w:vAlign w:val="center"/>
          </w:tcPr>
          <w:p>
            <w:pPr>
              <w:spacing w:line="300" w:lineRule="exact"/>
              <w:jc w:val="center"/>
              <w:rPr>
                <w:rFonts w:cs="仿宋_GB2312"/>
                <w:color w:val="000000"/>
                <w:sz w:val="28"/>
                <w:szCs w:val="28"/>
              </w:rPr>
            </w:pPr>
            <w:r>
              <w:rPr>
                <w:rFonts w:hint="eastAsia"/>
                <w:sz w:val="28"/>
                <w:szCs w:val="28"/>
              </w:rPr>
              <w:t>区委生态文明委大气污染综合治理及应对气候变化工作小组成员单位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91" w:type="dxa"/>
            <w:gridSpan w:val="6"/>
            <w:vAlign w:val="center"/>
          </w:tcPr>
          <w:p>
            <w:pPr>
              <w:widowControl/>
              <w:jc w:val="center"/>
              <w:rPr>
                <w:sz w:val="28"/>
                <w:szCs w:val="28"/>
              </w:rPr>
            </w:pPr>
            <w:r>
              <w:rPr>
                <w:rFonts w:hint="eastAsia" w:ascii="黑体" w:hAnsi="黑体" w:eastAsia="黑体"/>
                <w:sz w:val="28"/>
                <w:szCs w:val="28"/>
              </w:rPr>
              <w:t>三、推进机动车结构进一步优化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741" w:type="dxa"/>
            <w:tcBorders>
              <w:bottom w:val="single" w:color="auto" w:sz="4" w:space="0"/>
            </w:tcBorders>
            <w:vAlign w:val="center"/>
          </w:tcPr>
          <w:p>
            <w:pPr>
              <w:spacing w:line="360" w:lineRule="exact"/>
              <w:jc w:val="center"/>
            </w:pPr>
            <w:r>
              <w:rPr>
                <w:rFonts w:hint="eastAsia" w:cs="仿宋_GB2312"/>
                <w:sz w:val="28"/>
                <w:szCs w:val="28"/>
              </w:rPr>
              <w:t>11</w:t>
            </w:r>
          </w:p>
        </w:tc>
        <w:tc>
          <w:tcPr>
            <w:tcW w:w="1839" w:type="dxa"/>
            <w:tcBorders>
              <w:bottom w:val="single" w:color="auto" w:sz="4" w:space="0"/>
            </w:tcBorders>
            <w:vAlign w:val="center"/>
          </w:tcPr>
          <w:p>
            <w:pPr>
              <w:spacing w:line="360" w:lineRule="exact"/>
              <w:jc w:val="center"/>
            </w:pPr>
            <w:r>
              <w:rPr>
                <w:rFonts w:hint="eastAsia"/>
                <w:sz w:val="28"/>
                <w:szCs w:val="28"/>
              </w:rPr>
              <w:t>积极推广新能源汽车</w:t>
            </w:r>
          </w:p>
        </w:tc>
        <w:tc>
          <w:tcPr>
            <w:tcW w:w="6382" w:type="dxa"/>
            <w:tcBorders>
              <w:bottom w:val="single" w:color="auto" w:sz="4" w:space="0"/>
            </w:tcBorders>
            <w:vAlign w:val="center"/>
          </w:tcPr>
          <w:p>
            <w:pPr>
              <w:spacing w:line="360" w:lineRule="exact"/>
              <w:jc w:val="left"/>
              <w:rPr>
                <w:color w:val="000000"/>
                <w:sz w:val="28"/>
                <w:szCs w:val="28"/>
              </w:rPr>
            </w:pPr>
            <w:r>
              <w:rPr>
                <w:rFonts w:hint="eastAsia"/>
                <w:color w:val="000000"/>
                <w:sz w:val="28"/>
                <w:szCs w:val="28"/>
              </w:rPr>
              <w:t>按照北京市要求，加快推进新能源车的更新和使用。</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color w:val="000000"/>
                <w:sz w:val="28"/>
                <w:szCs w:val="28"/>
              </w:rPr>
            </w:pPr>
            <w:r>
              <w:rPr>
                <w:rFonts w:hint="eastAsia"/>
                <w:color w:val="000000"/>
                <w:sz w:val="28"/>
                <w:szCs w:val="28"/>
              </w:rPr>
              <w:t>区科信局</w:t>
            </w:r>
          </w:p>
        </w:tc>
        <w:tc>
          <w:tcPr>
            <w:tcW w:w="2339" w:type="dxa"/>
            <w:vAlign w:val="center"/>
          </w:tcPr>
          <w:p>
            <w:pPr>
              <w:spacing w:line="360" w:lineRule="exact"/>
              <w:jc w:val="center"/>
              <w:rPr>
                <w:rFonts w:cs="仿宋_GB2312"/>
                <w:color w:val="000000"/>
                <w:sz w:val="28"/>
                <w:szCs w:val="28"/>
              </w:rPr>
            </w:pPr>
            <w:r>
              <w:rPr>
                <w:rFonts w:hint="eastAsia" w:cs="仿宋_GB2312"/>
                <w:color w:val="000000"/>
                <w:sz w:val="28"/>
                <w:szCs w:val="28"/>
              </w:rPr>
              <w:t>区城管委</w:t>
            </w:r>
          </w:p>
          <w:p>
            <w:pPr>
              <w:spacing w:line="360" w:lineRule="exact"/>
              <w:jc w:val="center"/>
              <w:rPr>
                <w:rFonts w:cs="仿宋_GB2312"/>
                <w:color w:val="000000"/>
                <w:sz w:val="28"/>
                <w:szCs w:val="28"/>
              </w:rPr>
            </w:pPr>
            <w:r>
              <w:rPr>
                <w:rFonts w:hint="eastAsia" w:cs="仿宋_GB2312"/>
                <w:color w:val="000000"/>
                <w:sz w:val="28"/>
                <w:szCs w:val="28"/>
              </w:rPr>
              <w:t>区发改委</w:t>
            </w:r>
          </w:p>
          <w:p>
            <w:pPr>
              <w:spacing w:line="360" w:lineRule="exact"/>
              <w:jc w:val="center"/>
              <w:rPr>
                <w:rFonts w:cs="仿宋_GB2312"/>
                <w:color w:val="000000"/>
                <w:sz w:val="28"/>
                <w:szCs w:val="28"/>
              </w:rPr>
            </w:pPr>
            <w:r>
              <w:rPr>
                <w:rFonts w:hint="eastAsia" w:cs="仿宋_GB2312"/>
                <w:color w:val="000000"/>
                <w:sz w:val="28"/>
                <w:szCs w:val="28"/>
              </w:rPr>
              <w:t>东城规自分局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74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sz w:val="28"/>
                <w:szCs w:val="28"/>
              </w:rPr>
            </w:pPr>
            <w:r>
              <w:rPr>
                <w:rFonts w:hint="eastAsia" w:cs="仿宋_GB2312"/>
                <w:sz w:val="28"/>
                <w:szCs w:val="28"/>
              </w:rPr>
              <w:t>11</w:t>
            </w:r>
          </w:p>
        </w:tc>
        <w:tc>
          <w:tcPr>
            <w:tcW w:w="18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积极推广新能源汽车</w:t>
            </w:r>
          </w:p>
        </w:tc>
        <w:tc>
          <w:tcPr>
            <w:tcW w:w="638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color w:val="000000"/>
                <w:sz w:val="28"/>
                <w:szCs w:val="28"/>
              </w:rPr>
            </w:pPr>
            <w:r>
              <w:rPr>
                <w:rFonts w:hint="eastAsia"/>
                <w:color w:val="000000"/>
                <w:sz w:val="28"/>
                <w:szCs w:val="28"/>
              </w:rPr>
              <w:t>区城管委按照市级部门要求，推进换电、智能有序充电、大功率充电等技术应用；会同区发改委、区财政局等相关部门，按要求落实新能源汽车充换电设施建设和运营补贴政策。</w:t>
            </w:r>
          </w:p>
        </w:tc>
        <w:tc>
          <w:tcPr>
            <w:tcW w:w="1422" w:type="dxa"/>
            <w:tcBorders>
              <w:left w:val="single" w:color="auto" w:sz="4" w:space="0"/>
            </w:tcBorders>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color w:val="000000"/>
                <w:sz w:val="28"/>
                <w:szCs w:val="28"/>
              </w:rPr>
            </w:pPr>
            <w:r>
              <w:rPr>
                <w:rFonts w:hint="eastAsia"/>
                <w:color w:val="000000"/>
                <w:sz w:val="28"/>
                <w:szCs w:val="28"/>
              </w:rPr>
              <w:t>区城管委</w:t>
            </w:r>
          </w:p>
          <w:p>
            <w:pPr>
              <w:spacing w:line="360" w:lineRule="exact"/>
              <w:jc w:val="center"/>
              <w:rPr>
                <w:color w:val="000000"/>
                <w:sz w:val="28"/>
                <w:szCs w:val="28"/>
              </w:rPr>
            </w:pPr>
            <w:r>
              <w:rPr>
                <w:rFonts w:hint="eastAsia"/>
                <w:color w:val="000000"/>
                <w:sz w:val="28"/>
                <w:szCs w:val="28"/>
              </w:rPr>
              <w:t>区发展改革委</w:t>
            </w:r>
          </w:p>
          <w:p>
            <w:pPr>
              <w:spacing w:line="360" w:lineRule="exact"/>
              <w:jc w:val="center"/>
              <w:rPr>
                <w:color w:val="000000"/>
                <w:sz w:val="28"/>
                <w:szCs w:val="28"/>
              </w:rPr>
            </w:pPr>
            <w:r>
              <w:rPr>
                <w:rFonts w:hint="eastAsia"/>
                <w:color w:val="000000"/>
                <w:sz w:val="28"/>
                <w:szCs w:val="28"/>
              </w:rPr>
              <w:t>区财政局</w:t>
            </w:r>
          </w:p>
        </w:tc>
        <w:tc>
          <w:tcPr>
            <w:tcW w:w="2339" w:type="dxa"/>
            <w:vAlign w:val="center"/>
          </w:tcPr>
          <w:p>
            <w:pPr>
              <w:spacing w:line="360" w:lineRule="exact"/>
              <w:jc w:val="center"/>
              <w:rPr>
                <w:rFonts w:cs="仿宋_GB2312"/>
                <w:color w:val="000000"/>
                <w:sz w:val="28"/>
                <w:szCs w:val="28"/>
              </w:rPr>
            </w:pPr>
            <w:r>
              <w:rPr>
                <w:rFonts w:hint="eastAsia" w:cs="仿宋_GB2312"/>
                <w:color w:val="000000"/>
                <w:sz w:val="28"/>
                <w:szCs w:val="28"/>
              </w:rPr>
              <w:t>区科信局</w:t>
            </w:r>
          </w:p>
          <w:p>
            <w:pPr>
              <w:spacing w:line="360" w:lineRule="exact"/>
              <w:jc w:val="center"/>
              <w:rPr>
                <w:rFonts w:cs="仿宋_GB2312"/>
                <w:color w:val="000000"/>
                <w:sz w:val="28"/>
                <w:szCs w:val="28"/>
              </w:rPr>
            </w:pPr>
            <w:r>
              <w:rPr>
                <w:rFonts w:hint="eastAsia" w:cs="仿宋_GB2312"/>
                <w:color w:val="000000"/>
                <w:sz w:val="28"/>
                <w:szCs w:val="28"/>
              </w:rPr>
              <w:t>东城规自分局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sz w:val="28"/>
                <w:szCs w:val="28"/>
              </w:rPr>
            </w:pPr>
          </w:p>
        </w:tc>
        <w:tc>
          <w:tcPr>
            <w:tcW w:w="18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6382"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color w:val="000000"/>
                <w:sz w:val="28"/>
                <w:szCs w:val="28"/>
              </w:rPr>
            </w:pPr>
            <w:r>
              <w:rPr>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-1702435</wp:posOffset>
                      </wp:positionH>
                      <wp:positionV relativeFrom="paragraph">
                        <wp:posOffset>13970</wp:posOffset>
                      </wp:positionV>
                      <wp:extent cx="1781175" cy="9525"/>
                      <wp:effectExtent l="2540" t="4445" r="0" b="0"/>
                      <wp:wrapNone/>
                      <wp:docPr id="1"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1781175" cy="9525"/>
                              </a:xfrm>
                              <a:prstGeom prst="line">
                                <a:avLst/>
                              </a:prstGeom>
                              <a:noFill/>
                              <a:ln>
                                <a:noFill/>
                              </a:ln>
                            </wps:spPr>
                            <wps:bodyPr/>
                          </wps:wsp>
                        </a:graphicData>
                      </a:graphic>
                    </wp:anchor>
                  </w:drawing>
                </mc:Choice>
                <mc:Fallback>
                  <w:pict>
                    <v:line id="直接连接符 2" o:spid="_x0000_s1026" o:spt="20" style="position:absolute;left:0pt;flip:y;margin-left:-134.05pt;margin-top:1.1pt;height:0.75pt;width:140.25pt;z-index:251659264;mso-width-relative:page;mso-height-relative:page;" filled="f" stroked="f" coordsize="21600,21600" o:gfxdata="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8+FUNYAAAAHAQAADwAAAAAAAAABACAAAAAiAAAAZHJz&#10;L2Rvd25yZXYueG1sUEsBAhQAFAAAAAgAh07iQDuEi/fNAQAAewMAAA4AAAAAAAAAAQAgAAAAJQEA&#10;AGRycy9lMm9Eb2MueG1sUEsFBgAAAAAGAAYAWQEAAGQFAAAAAA==&#10;">
                      <v:fill on="f" focussize="0,0"/>
                      <v:stroke on="f"/>
                      <v:imagedata o:title=""/>
                      <o:lock v:ext="edit" aspectratio="f"/>
                    </v:line>
                  </w:pict>
                </mc:Fallback>
              </mc:AlternateContent>
            </w:r>
            <w:r>
              <w:rPr>
                <w:rFonts w:hint="eastAsia"/>
                <w:color w:val="000000"/>
                <w:sz w:val="28"/>
                <w:szCs w:val="28"/>
              </w:rPr>
              <w:t>区城管委按要求牵头制定“控车减油”工作方案，推动辖区行业车辆用油总量下降。</w:t>
            </w:r>
          </w:p>
          <w:p>
            <w:pPr>
              <w:spacing w:line="340" w:lineRule="exact"/>
              <w:jc w:val="left"/>
              <w:rPr>
                <w:color w:val="000000"/>
                <w:sz w:val="28"/>
                <w:szCs w:val="28"/>
              </w:rPr>
            </w:pPr>
            <w:r>
              <w:rPr>
                <w:rFonts w:hint="eastAsia"/>
                <w:color w:val="000000"/>
                <w:sz w:val="28"/>
                <w:szCs w:val="28"/>
              </w:rPr>
              <w:t>鼓励新增和更新的旅游客车班线车辆为纯电动车或氢燃料电池车；严格落实《北京市新增产业的禁止和限制目录（2018年版）》，禁止新设立或迁入汽柴油道路货物运输业户（含车辆）；按要求实施新一轮纯电动物流配送车辆通行管理政策，年底前办理货车通行证的4.5吨以下车辆（危险品运输车辆和冷链运输车辆除外）力争全部为纯电动车，逐步提高4.5吨以上（含）车辆使用纯电动车的比例。</w:t>
            </w:r>
          </w:p>
        </w:tc>
        <w:tc>
          <w:tcPr>
            <w:tcW w:w="1422" w:type="dxa"/>
            <w:tcBorders>
              <w:left w:val="single" w:color="auto" w:sz="4" w:space="0"/>
            </w:tcBorders>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color w:val="000000"/>
                <w:sz w:val="28"/>
                <w:szCs w:val="28"/>
              </w:rPr>
            </w:pPr>
            <w:r>
              <w:rPr>
                <w:rFonts w:hint="eastAsia"/>
                <w:color w:val="000000"/>
                <w:sz w:val="28"/>
                <w:szCs w:val="28"/>
              </w:rPr>
              <w:t>区文旅局</w:t>
            </w:r>
          </w:p>
          <w:p>
            <w:pPr>
              <w:spacing w:line="360" w:lineRule="exact"/>
              <w:jc w:val="center"/>
              <w:rPr>
                <w:color w:val="000000"/>
                <w:sz w:val="28"/>
                <w:szCs w:val="28"/>
              </w:rPr>
            </w:pPr>
            <w:r>
              <w:rPr>
                <w:rFonts w:hint="eastAsia"/>
                <w:color w:val="000000"/>
                <w:sz w:val="28"/>
                <w:szCs w:val="28"/>
              </w:rPr>
              <w:t>区城管委</w:t>
            </w:r>
          </w:p>
          <w:p>
            <w:pPr>
              <w:spacing w:line="360" w:lineRule="exact"/>
              <w:jc w:val="center"/>
              <w:rPr>
                <w:color w:val="000000"/>
                <w:sz w:val="28"/>
                <w:szCs w:val="28"/>
              </w:rPr>
            </w:pPr>
            <w:r>
              <w:rPr>
                <w:rFonts w:hint="eastAsia"/>
                <w:color w:val="000000"/>
                <w:sz w:val="28"/>
                <w:szCs w:val="28"/>
              </w:rPr>
              <w:t>东城交通支队</w:t>
            </w:r>
          </w:p>
        </w:tc>
        <w:tc>
          <w:tcPr>
            <w:tcW w:w="2339" w:type="dxa"/>
            <w:vAlign w:val="center"/>
          </w:tcPr>
          <w:p>
            <w:pPr>
              <w:spacing w:line="360" w:lineRule="exact"/>
              <w:jc w:val="center"/>
              <w:rPr>
                <w:sz w:val="28"/>
                <w:szCs w:val="28"/>
              </w:rPr>
            </w:pPr>
            <w:r>
              <w:rPr>
                <w:rFonts w:hint="eastAsia"/>
                <w:sz w:val="28"/>
                <w:szCs w:val="2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sz w:val="28"/>
                <w:szCs w:val="28"/>
              </w:rPr>
            </w:pPr>
          </w:p>
        </w:tc>
        <w:tc>
          <w:tcPr>
            <w:tcW w:w="18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638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sz w:val="28"/>
                <w:szCs w:val="28"/>
              </w:rPr>
            </w:pPr>
            <w:r>
              <w:rPr>
                <w:rFonts w:hint="eastAsia"/>
                <w:color w:val="000000"/>
                <w:sz w:val="28"/>
                <w:szCs w:val="28"/>
              </w:rPr>
              <w:t>积极配合市交通委、市文旅局、市规自委等市级部门，研究旅游车集中停放规划布局，规划纯电动车或氢燃料电池车的巡回观光旅游巴士线路。</w:t>
            </w:r>
          </w:p>
          <w:p>
            <w:pPr>
              <w:spacing w:line="300" w:lineRule="exact"/>
              <w:jc w:val="left"/>
              <w:rPr>
                <w:color w:val="000000"/>
                <w:sz w:val="28"/>
                <w:szCs w:val="28"/>
              </w:rPr>
            </w:pPr>
            <w:r>
              <w:rPr>
                <w:rFonts w:hint="eastAsia"/>
                <w:color w:val="000000"/>
                <w:sz w:val="28"/>
                <w:szCs w:val="28"/>
              </w:rPr>
              <w:t>按照市级部门要求，区文旅局牵头研究制订加强核心区旅游大客车管理的工作方案。</w:t>
            </w:r>
          </w:p>
        </w:tc>
        <w:tc>
          <w:tcPr>
            <w:tcW w:w="1422" w:type="dxa"/>
            <w:tcBorders>
              <w:left w:val="single" w:color="auto" w:sz="4" w:space="0"/>
            </w:tcBorders>
            <w:vAlign w:val="center"/>
          </w:tcPr>
          <w:p>
            <w:pPr>
              <w:spacing w:line="300" w:lineRule="exact"/>
              <w:jc w:val="center"/>
              <w:rPr>
                <w:rFonts w:cs="仿宋_GB2312"/>
                <w:sz w:val="28"/>
                <w:szCs w:val="28"/>
              </w:rPr>
            </w:pPr>
            <w:r>
              <w:rPr>
                <w:rFonts w:hint="eastAsia" w:cs="仿宋_GB2312"/>
                <w:sz w:val="28"/>
                <w:szCs w:val="28"/>
              </w:rPr>
              <w:t>年底前</w:t>
            </w:r>
          </w:p>
        </w:tc>
        <w:tc>
          <w:tcPr>
            <w:tcW w:w="2268" w:type="dxa"/>
            <w:vAlign w:val="center"/>
          </w:tcPr>
          <w:p>
            <w:pPr>
              <w:spacing w:line="300" w:lineRule="exact"/>
              <w:ind w:left="-218" w:leftChars="-68" w:right="-99" w:rightChars="-31"/>
              <w:jc w:val="center"/>
              <w:rPr>
                <w:rFonts w:cs="仿宋_GB2312"/>
                <w:color w:val="000000"/>
                <w:sz w:val="28"/>
                <w:szCs w:val="28"/>
              </w:rPr>
            </w:pPr>
            <w:r>
              <w:rPr>
                <w:rFonts w:hint="eastAsia" w:cs="仿宋_GB2312"/>
                <w:color w:val="000000"/>
                <w:sz w:val="28"/>
                <w:szCs w:val="28"/>
              </w:rPr>
              <w:t>区城管委</w:t>
            </w:r>
          </w:p>
          <w:p>
            <w:pPr>
              <w:spacing w:line="300" w:lineRule="exact"/>
              <w:ind w:left="-218" w:leftChars="-68" w:right="-99" w:rightChars="-31"/>
              <w:jc w:val="center"/>
              <w:rPr>
                <w:rFonts w:cs="仿宋_GB2312"/>
                <w:color w:val="000000"/>
                <w:sz w:val="28"/>
                <w:szCs w:val="28"/>
              </w:rPr>
            </w:pPr>
            <w:r>
              <w:rPr>
                <w:rFonts w:hint="eastAsia" w:cs="仿宋_GB2312"/>
                <w:color w:val="000000"/>
                <w:sz w:val="28"/>
                <w:szCs w:val="28"/>
              </w:rPr>
              <w:t>区文旅局</w:t>
            </w:r>
          </w:p>
          <w:p>
            <w:pPr>
              <w:spacing w:line="300" w:lineRule="exact"/>
              <w:ind w:left="-218" w:leftChars="-68" w:right="-99" w:rightChars="-31"/>
              <w:jc w:val="center"/>
              <w:rPr>
                <w:rFonts w:cs="仿宋_GB2312"/>
                <w:color w:val="000000"/>
                <w:sz w:val="28"/>
                <w:szCs w:val="28"/>
              </w:rPr>
            </w:pPr>
            <w:r>
              <w:rPr>
                <w:rFonts w:hint="eastAsia" w:cs="仿宋_GB2312"/>
                <w:color w:val="000000"/>
                <w:sz w:val="28"/>
                <w:szCs w:val="28"/>
              </w:rPr>
              <w:t>东城规自分局</w:t>
            </w:r>
          </w:p>
        </w:tc>
        <w:tc>
          <w:tcPr>
            <w:tcW w:w="2339" w:type="dxa"/>
            <w:vAlign w:val="center"/>
          </w:tcPr>
          <w:p>
            <w:pPr>
              <w:snapToGrid w:val="0"/>
              <w:spacing w:line="300" w:lineRule="exact"/>
              <w:jc w:val="center"/>
              <w:rPr>
                <w:rFonts w:cs="仿宋_GB2312"/>
                <w:color w:val="000000"/>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41" w:type="dxa"/>
            <w:vMerge w:val="restart"/>
            <w:tcBorders>
              <w:top w:val="single" w:color="auto" w:sz="4" w:space="0"/>
            </w:tcBorders>
            <w:vAlign w:val="center"/>
          </w:tcPr>
          <w:p>
            <w:pPr>
              <w:spacing w:line="360" w:lineRule="exact"/>
              <w:jc w:val="center"/>
              <w:rPr>
                <w:rFonts w:cs="仿宋_GB2312"/>
                <w:sz w:val="28"/>
                <w:szCs w:val="28"/>
              </w:rPr>
            </w:pPr>
            <w:r>
              <w:rPr>
                <w:rFonts w:hint="eastAsia" w:cs="仿宋_GB2312"/>
                <w:sz w:val="28"/>
                <w:szCs w:val="28"/>
              </w:rPr>
              <w:t>11</w:t>
            </w:r>
          </w:p>
        </w:tc>
        <w:tc>
          <w:tcPr>
            <w:tcW w:w="1839" w:type="dxa"/>
            <w:vMerge w:val="restart"/>
            <w:tcBorders>
              <w:top w:val="single" w:color="auto" w:sz="4" w:space="0"/>
            </w:tcBorders>
            <w:vAlign w:val="center"/>
          </w:tcPr>
          <w:p>
            <w:pPr>
              <w:spacing w:line="360" w:lineRule="exact"/>
              <w:jc w:val="center"/>
              <w:rPr>
                <w:sz w:val="28"/>
                <w:szCs w:val="28"/>
              </w:rPr>
            </w:pPr>
            <w:r>
              <w:rPr>
                <w:rFonts w:hint="eastAsia"/>
                <w:sz w:val="28"/>
                <w:szCs w:val="28"/>
              </w:rPr>
              <w:t>积极推广新能源汽车</w:t>
            </w:r>
          </w:p>
        </w:tc>
        <w:tc>
          <w:tcPr>
            <w:tcW w:w="6382" w:type="dxa"/>
            <w:tcBorders>
              <w:top w:val="single" w:color="auto" w:sz="4" w:space="0"/>
            </w:tcBorders>
            <w:vAlign w:val="center"/>
          </w:tcPr>
          <w:p>
            <w:pPr>
              <w:spacing w:line="300" w:lineRule="exact"/>
              <w:jc w:val="left"/>
              <w:rPr>
                <w:color w:val="000000"/>
                <w:sz w:val="28"/>
                <w:szCs w:val="28"/>
              </w:rPr>
            </w:pPr>
            <w:r>
              <w:rPr>
                <w:rFonts w:hint="eastAsia"/>
                <w:color w:val="000000"/>
                <w:sz w:val="28"/>
                <w:szCs w:val="28"/>
              </w:rPr>
              <w:t>全区新增和更新的环卫、园林绿化等行业车辆全部为纯电动、氢燃料等清洁能源车辆。</w:t>
            </w:r>
          </w:p>
        </w:tc>
        <w:tc>
          <w:tcPr>
            <w:tcW w:w="1422" w:type="dxa"/>
            <w:vMerge w:val="restart"/>
            <w:vAlign w:val="center"/>
          </w:tcPr>
          <w:p>
            <w:pPr>
              <w:spacing w:line="30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color w:val="000000"/>
                <w:sz w:val="28"/>
                <w:szCs w:val="28"/>
              </w:rPr>
            </w:pPr>
            <w:r>
              <w:rPr>
                <w:rFonts w:hint="eastAsia"/>
                <w:color w:val="000000"/>
                <w:sz w:val="28"/>
                <w:szCs w:val="28"/>
              </w:rPr>
              <w:t>区城管委</w:t>
            </w:r>
          </w:p>
          <w:p>
            <w:pPr>
              <w:spacing w:line="360" w:lineRule="exact"/>
              <w:jc w:val="center"/>
              <w:rPr>
                <w:color w:val="000000"/>
                <w:sz w:val="28"/>
                <w:szCs w:val="28"/>
              </w:rPr>
            </w:pPr>
            <w:r>
              <w:rPr>
                <w:rFonts w:hint="eastAsia"/>
                <w:color w:val="000000"/>
                <w:sz w:val="28"/>
                <w:szCs w:val="28"/>
              </w:rPr>
              <w:t>区园林绿化局</w:t>
            </w:r>
          </w:p>
          <w:p>
            <w:pPr>
              <w:spacing w:line="300" w:lineRule="exact"/>
              <w:jc w:val="center"/>
              <w:rPr>
                <w:sz w:val="28"/>
                <w:szCs w:val="28"/>
              </w:rPr>
            </w:pPr>
            <w:r>
              <w:rPr>
                <w:rFonts w:hint="eastAsia"/>
                <w:color w:val="000000"/>
                <w:sz w:val="28"/>
                <w:szCs w:val="28"/>
              </w:rPr>
              <w:t>区环卫中心</w:t>
            </w:r>
          </w:p>
        </w:tc>
        <w:tc>
          <w:tcPr>
            <w:tcW w:w="2339" w:type="dxa"/>
            <w:vAlign w:val="center"/>
          </w:tcPr>
          <w:p>
            <w:pPr>
              <w:widowControl/>
              <w:jc w:val="center"/>
              <w:rPr>
                <w:rFonts w:cs="仿宋_GB2312"/>
                <w:color w:val="000000"/>
                <w:sz w:val="28"/>
                <w:szCs w:val="28"/>
              </w:rPr>
            </w:pPr>
            <w:r>
              <w:rPr>
                <w:rFonts w:hint="eastAsia"/>
                <w:sz w:val="28"/>
                <w:szCs w:val="2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741" w:type="dxa"/>
            <w:vMerge w:val="continue"/>
            <w:vAlign w:val="center"/>
          </w:tcPr>
          <w:p>
            <w:pPr>
              <w:jc w:val="center"/>
            </w:pPr>
          </w:p>
        </w:tc>
        <w:tc>
          <w:tcPr>
            <w:tcW w:w="1839" w:type="dxa"/>
            <w:vMerge w:val="continue"/>
            <w:vAlign w:val="center"/>
          </w:tcPr>
          <w:p>
            <w:pPr>
              <w:jc w:val="center"/>
            </w:pPr>
          </w:p>
        </w:tc>
        <w:tc>
          <w:tcPr>
            <w:tcW w:w="6382" w:type="dxa"/>
            <w:vAlign w:val="center"/>
          </w:tcPr>
          <w:p>
            <w:pPr>
              <w:spacing w:line="300" w:lineRule="exact"/>
              <w:jc w:val="left"/>
              <w:rPr>
                <w:color w:val="000000"/>
                <w:sz w:val="28"/>
                <w:szCs w:val="28"/>
              </w:rPr>
            </w:pPr>
            <w:r>
              <w:rPr>
                <w:rFonts w:hint="eastAsia"/>
                <w:color w:val="000000"/>
                <w:sz w:val="28"/>
                <w:szCs w:val="28"/>
              </w:rPr>
              <w:t>研究制定工作方案，区属党政机关、事业单位和社会团体中新增和更新车辆以及租赁车辆全部为纯电动车，按照北京市要求，所有区属公务用车辆逐步更新为纯电动车。对于相对固定线路执法执勤（不宜配备纯电动车等特殊情况除外）、通勤等新增及更新车辆力争全部选用纯电动车。</w:t>
            </w:r>
          </w:p>
        </w:tc>
        <w:tc>
          <w:tcPr>
            <w:tcW w:w="1422" w:type="dxa"/>
            <w:vMerge w:val="continue"/>
            <w:vAlign w:val="center"/>
          </w:tcPr>
          <w:p>
            <w:pPr>
              <w:spacing w:line="300" w:lineRule="exact"/>
              <w:jc w:val="center"/>
              <w:rPr>
                <w:rFonts w:cs="仿宋_GB2312"/>
                <w:sz w:val="28"/>
                <w:szCs w:val="28"/>
              </w:rPr>
            </w:pPr>
          </w:p>
        </w:tc>
        <w:tc>
          <w:tcPr>
            <w:tcW w:w="2268" w:type="dxa"/>
            <w:vAlign w:val="center"/>
          </w:tcPr>
          <w:p>
            <w:pPr>
              <w:spacing w:line="280" w:lineRule="exact"/>
              <w:jc w:val="center"/>
              <w:rPr>
                <w:rFonts w:cs="仿宋_GB2312"/>
                <w:color w:val="000000"/>
                <w:sz w:val="28"/>
                <w:szCs w:val="28"/>
              </w:rPr>
            </w:pPr>
            <w:r>
              <w:rPr>
                <w:rFonts w:hint="eastAsia" w:cs="仿宋_GB2312"/>
                <w:color w:val="000000"/>
                <w:sz w:val="28"/>
                <w:szCs w:val="28"/>
              </w:rPr>
              <w:t>区机关事务管理服务中心</w:t>
            </w:r>
          </w:p>
          <w:p>
            <w:pPr>
              <w:spacing w:line="280" w:lineRule="exact"/>
              <w:jc w:val="center"/>
              <w:rPr>
                <w:rFonts w:cs="仿宋_GB2312"/>
                <w:color w:val="000000"/>
                <w:sz w:val="28"/>
                <w:szCs w:val="28"/>
              </w:rPr>
            </w:pPr>
            <w:r>
              <w:rPr>
                <w:rFonts w:hint="eastAsia" w:cs="仿宋_GB2312"/>
                <w:color w:val="000000"/>
                <w:sz w:val="28"/>
                <w:szCs w:val="28"/>
              </w:rPr>
              <w:t>区财政局</w:t>
            </w:r>
          </w:p>
          <w:p>
            <w:pPr>
              <w:spacing w:line="280" w:lineRule="exact"/>
              <w:jc w:val="center"/>
              <w:rPr>
                <w:color w:val="000000"/>
                <w:sz w:val="28"/>
                <w:szCs w:val="28"/>
              </w:rPr>
            </w:pPr>
            <w:r>
              <w:rPr>
                <w:rFonts w:hint="eastAsia" w:cs="仿宋_GB2312"/>
                <w:color w:val="000000"/>
                <w:sz w:val="28"/>
                <w:szCs w:val="28"/>
              </w:rPr>
              <w:t>区国资委</w:t>
            </w:r>
          </w:p>
        </w:tc>
        <w:tc>
          <w:tcPr>
            <w:tcW w:w="2339" w:type="dxa"/>
            <w:vAlign w:val="center"/>
          </w:tcPr>
          <w:p>
            <w:pPr>
              <w:spacing w:line="300" w:lineRule="exact"/>
              <w:jc w:val="center"/>
              <w:rPr>
                <w:rFonts w:cs="仿宋_GB2312"/>
                <w:color w:val="000000"/>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741" w:type="dxa"/>
            <w:vAlign w:val="center"/>
          </w:tcPr>
          <w:p>
            <w:pPr>
              <w:spacing w:line="300" w:lineRule="exact"/>
              <w:jc w:val="center"/>
              <w:rPr>
                <w:rFonts w:cs="仿宋_GB2312"/>
                <w:sz w:val="28"/>
                <w:szCs w:val="28"/>
              </w:rPr>
            </w:pPr>
            <w:r>
              <w:rPr>
                <w:rFonts w:hint="eastAsia" w:cs="仿宋_GB2312"/>
                <w:sz w:val="28"/>
                <w:szCs w:val="28"/>
              </w:rPr>
              <w:t>12</w:t>
            </w:r>
          </w:p>
        </w:tc>
        <w:tc>
          <w:tcPr>
            <w:tcW w:w="1839" w:type="dxa"/>
            <w:vAlign w:val="center"/>
          </w:tcPr>
          <w:p>
            <w:pPr>
              <w:spacing w:line="300" w:lineRule="exact"/>
              <w:jc w:val="center"/>
              <w:rPr>
                <w:sz w:val="28"/>
                <w:szCs w:val="28"/>
              </w:rPr>
            </w:pPr>
            <w:r>
              <w:rPr>
                <w:rFonts w:hint="eastAsia" w:cs="仿宋_GB2312"/>
                <w:sz w:val="28"/>
                <w:szCs w:val="28"/>
              </w:rPr>
              <w:t>加快高排放车淘汰</w:t>
            </w:r>
          </w:p>
        </w:tc>
        <w:tc>
          <w:tcPr>
            <w:tcW w:w="6382" w:type="dxa"/>
            <w:vAlign w:val="center"/>
          </w:tcPr>
          <w:p>
            <w:pPr>
              <w:spacing w:line="320" w:lineRule="exact"/>
              <w:jc w:val="left"/>
              <w:rPr>
                <w:rFonts w:cs="仿宋_GB2312"/>
                <w:sz w:val="28"/>
                <w:szCs w:val="28"/>
                <w:highlight w:val="yellow"/>
              </w:rPr>
            </w:pPr>
            <w:r>
              <w:rPr>
                <w:rFonts w:hint="eastAsia" w:cs="仿宋_GB2312"/>
                <w:sz w:val="28"/>
                <w:szCs w:val="28"/>
              </w:rPr>
              <w:t>进一步加强宣传动员力度，加大本区注册登记的国三排放标准汽油车的淘汰力度。</w:t>
            </w:r>
          </w:p>
        </w:tc>
        <w:tc>
          <w:tcPr>
            <w:tcW w:w="1422" w:type="dxa"/>
            <w:vAlign w:val="center"/>
          </w:tcPr>
          <w:p>
            <w:pPr>
              <w:spacing w:line="300" w:lineRule="exact"/>
              <w:jc w:val="center"/>
              <w:rPr>
                <w:sz w:val="28"/>
                <w:szCs w:val="28"/>
              </w:rPr>
            </w:pPr>
            <w:r>
              <w:rPr>
                <w:rFonts w:hint="eastAsia" w:cs="仿宋_GB2312"/>
                <w:sz w:val="28"/>
                <w:szCs w:val="28"/>
              </w:rPr>
              <w:t>年底前</w:t>
            </w:r>
          </w:p>
        </w:tc>
        <w:tc>
          <w:tcPr>
            <w:tcW w:w="2268" w:type="dxa"/>
            <w:vAlign w:val="center"/>
          </w:tcPr>
          <w:p>
            <w:pPr>
              <w:spacing w:line="300" w:lineRule="exact"/>
              <w:jc w:val="center"/>
              <w:rPr>
                <w:sz w:val="28"/>
                <w:szCs w:val="28"/>
              </w:rPr>
            </w:pPr>
            <w:r>
              <w:rPr>
                <w:rFonts w:hint="eastAsia" w:cs="仿宋_GB2312"/>
                <w:sz w:val="28"/>
                <w:szCs w:val="28"/>
              </w:rPr>
              <w:t>区生态环境局</w:t>
            </w:r>
          </w:p>
        </w:tc>
        <w:tc>
          <w:tcPr>
            <w:tcW w:w="2339" w:type="dxa"/>
            <w:vAlign w:val="center"/>
          </w:tcPr>
          <w:p>
            <w:pPr>
              <w:spacing w:line="300" w:lineRule="exact"/>
              <w:ind w:left="-160" w:leftChars="-50" w:right="-160" w:rightChars="-50"/>
              <w:jc w:val="center"/>
              <w:rPr>
                <w:color w:val="000000"/>
                <w:sz w:val="28"/>
                <w:szCs w:val="28"/>
              </w:rPr>
            </w:pPr>
            <w:r>
              <w:rPr>
                <w:rFonts w:hint="eastAsia"/>
                <w:color w:val="000000"/>
                <w:sz w:val="28"/>
                <w:szCs w:val="28"/>
              </w:rPr>
              <w:t>东城交通支队</w:t>
            </w:r>
          </w:p>
          <w:p>
            <w:pPr>
              <w:spacing w:line="300" w:lineRule="exact"/>
              <w:ind w:left="-160" w:leftChars="-50" w:right="-160" w:rightChars="-50"/>
              <w:jc w:val="center"/>
              <w:rPr>
                <w:color w:val="000000"/>
                <w:sz w:val="28"/>
                <w:szCs w:val="28"/>
              </w:rPr>
            </w:pPr>
            <w:r>
              <w:rPr>
                <w:rFonts w:hint="eastAsia"/>
                <w:color w:val="000000"/>
                <w:sz w:val="28"/>
                <w:szCs w:val="28"/>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41" w:type="dxa"/>
            <w:tcBorders>
              <w:bottom w:val="single" w:color="auto" w:sz="4" w:space="0"/>
            </w:tcBorders>
            <w:vAlign w:val="center"/>
          </w:tcPr>
          <w:p>
            <w:pPr>
              <w:spacing w:line="300" w:lineRule="exact"/>
              <w:jc w:val="center"/>
              <w:rPr>
                <w:rFonts w:cs="仿宋_GB2312"/>
                <w:sz w:val="28"/>
                <w:szCs w:val="28"/>
              </w:rPr>
            </w:pPr>
            <w:r>
              <w:rPr>
                <w:rFonts w:hint="eastAsia" w:cs="仿宋_GB2312"/>
                <w:sz w:val="28"/>
                <w:szCs w:val="28"/>
              </w:rPr>
              <w:t>13</w:t>
            </w:r>
          </w:p>
        </w:tc>
        <w:tc>
          <w:tcPr>
            <w:tcW w:w="1839" w:type="dxa"/>
            <w:tcBorders>
              <w:bottom w:val="single" w:color="auto" w:sz="4" w:space="0"/>
            </w:tcBorders>
            <w:vAlign w:val="center"/>
          </w:tcPr>
          <w:p>
            <w:pPr>
              <w:spacing w:line="300" w:lineRule="exact"/>
              <w:jc w:val="center"/>
              <w:rPr>
                <w:rFonts w:cs="仿宋_GB2312"/>
                <w:sz w:val="28"/>
                <w:szCs w:val="28"/>
              </w:rPr>
            </w:pPr>
            <w:r>
              <w:rPr>
                <w:rFonts w:hint="eastAsia" w:cs="仿宋_GB2312"/>
                <w:sz w:val="28"/>
                <w:szCs w:val="28"/>
              </w:rPr>
              <w:t>降低重点行业车辆污染排放</w:t>
            </w:r>
          </w:p>
        </w:tc>
        <w:tc>
          <w:tcPr>
            <w:tcW w:w="6382" w:type="dxa"/>
            <w:tcBorders>
              <w:bottom w:val="single" w:color="auto" w:sz="4" w:space="0"/>
            </w:tcBorders>
            <w:vAlign w:val="center"/>
          </w:tcPr>
          <w:p>
            <w:pPr>
              <w:spacing w:line="320" w:lineRule="exact"/>
              <w:jc w:val="left"/>
              <w:rPr>
                <w:color w:val="000000"/>
                <w:sz w:val="28"/>
                <w:szCs w:val="28"/>
              </w:rPr>
            </w:pPr>
            <w:r>
              <w:rPr>
                <w:rFonts w:hint="eastAsia" w:cs="仿宋_GB2312"/>
                <w:sz w:val="28"/>
                <w:szCs w:val="28"/>
              </w:rPr>
              <w:t>在市交通委的统筹安排下，针对行驶里程超过标准规定的环保耐久性里程的辖区出租（含巡游和网约出租车）、租赁、驾校教练车以及从事运输经营的轻型汽油车，依法对未更换尾气净化装置的违法行为进行查处。</w:t>
            </w:r>
          </w:p>
        </w:tc>
        <w:tc>
          <w:tcPr>
            <w:tcW w:w="1422" w:type="dxa"/>
            <w:tcBorders>
              <w:bottom w:val="single" w:color="auto" w:sz="4" w:space="0"/>
            </w:tcBorders>
            <w:vAlign w:val="center"/>
          </w:tcPr>
          <w:p>
            <w:pPr>
              <w:spacing w:line="300" w:lineRule="exact"/>
              <w:jc w:val="center"/>
              <w:rPr>
                <w:sz w:val="28"/>
                <w:szCs w:val="28"/>
              </w:rPr>
            </w:pPr>
            <w:r>
              <w:rPr>
                <w:rFonts w:hint="eastAsia"/>
                <w:sz w:val="28"/>
                <w:szCs w:val="28"/>
              </w:rPr>
              <w:t>年底前</w:t>
            </w:r>
          </w:p>
        </w:tc>
        <w:tc>
          <w:tcPr>
            <w:tcW w:w="2268" w:type="dxa"/>
            <w:tcBorders>
              <w:bottom w:val="single" w:color="auto" w:sz="4" w:space="0"/>
            </w:tcBorders>
            <w:vAlign w:val="center"/>
          </w:tcPr>
          <w:p>
            <w:pPr>
              <w:spacing w:line="300" w:lineRule="exact"/>
              <w:jc w:val="center"/>
              <w:rPr>
                <w:sz w:val="28"/>
                <w:szCs w:val="28"/>
              </w:rPr>
            </w:pPr>
            <w:r>
              <w:rPr>
                <w:rFonts w:hint="eastAsia"/>
                <w:sz w:val="28"/>
                <w:szCs w:val="28"/>
              </w:rPr>
              <w:t>市交通委运输管理局东城分局</w:t>
            </w:r>
          </w:p>
          <w:p>
            <w:pPr>
              <w:spacing w:line="300" w:lineRule="exact"/>
              <w:jc w:val="center"/>
              <w:rPr>
                <w:sz w:val="28"/>
                <w:szCs w:val="28"/>
              </w:rPr>
            </w:pPr>
            <w:r>
              <w:rPr>
                <w:rFonts w:hint="eastAsia"/>
                <w:sz w:val="28"/>
                <w:szCs w:val="28"/>
              </w:rPr>
              <w:t>市交通运输综合执法总队三支队</w:t>
            </w:r>
          </w:p>
        </w:tc>
        <w:tc>
          <w:tcPr>
            <w:tcW w:w="2339" w:type="dxa"/>
            <w:tcBorders>
              <w:bottom w:val="single" w:color="auto" w:sz="4" w:space="0"/>
            </w:tcBorders>
            <w:vAlign w:val="center"/>
          </w:tcPr>
          <w:p>
            <w:pPr>
              <w:spacing w:line="300" w:lineRule="exact"/>
              <w:jc w:val="center"/>
              <w:rPr>
                <w:color w:val="000000"/>
                <w:sz w:val="28"/>
                <w:szCs w:val="28"/>
              </w:rPr>
            </w:pPr>
            <w:r>
              <w:rPr>
                <w:rFonts w:hint="eastAsia"/>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74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_GB2312"/>
                <w:sz w:val="28"/>
                <w:szCs w:val="28"/>
              </w:rPr>
            </w:pPr>
            <w:r>
              <w:rPr>
                <w:rFonts w:hint="eastAsia" w:cs="仿宋_GB2312"/>
                <w:sz w:val="28"/>
                <w:szCs w:val="28"/>
              </w:rPr>
              <w:t>14</w:t>
            </w:r>
          </w:p>
        </w:tc>
        <w:tc>
          <w:tcPr>
            <w:tcW w:w="183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_GB2312"/>
                <w:sz w:val="28"/>
                <w:szCs w:val="28"/>
              </w:rPr>
            </w:pPr>
            <w:r>
              <w:rPr>
                <w:rFonts w:hint="eastAsia" w:cs="仿宋_GB2312"/>
                <w:sz w:val="28"/>
                <w:szCs w:val="28"/>
              </w:rPr>
              <w:t>强化机动车和非道路移动机械排放监管</w:t>
            </w:r>
          </w:p>
        </w:tc>
        <w:tc>
          <w:tcPr>
            <w:tcW w:w="638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sz w:val="28"/>
                <w:szCs w:val="28"/>
              </w:rPr>
            </w:pPr>
            <w:r>
              <w:rPr>
                <w:rFonts w:hint="eastAsia" w:cs="仿宋_GB2312"/>
                <w:sz w:val="28"/>
                <w:szCs w:val="28"/>
              </w:rPr>
              <w:t>按照市级部门的统一部署，相关行业主管部门组织做好重型车安装远程排放管理车载终端及联网工作；区教委、区科信局、区城管委、区商务局、区园林绿化局等行业部门督促本行业重型车安装远程排放管理车载终端及联网工作。</w:t>
            </w:r>
          </w:p>
        </w:tc>
        <w:tc>
          <w:tcPr>
            <w:tcW w:w="14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8"/>
                <w:szCs w:val="28"/>
              </w:rPr>
            </w:pPr>
            <w:r>
              <w:rPr>
                <w:rFonts w:hint="eastAsia" w:cs="仿宋_GB2312"/>
                <w:sz w:val="28"/>
                <w:szCs w:val="28"/>
              </w:rPr>
              <w:t>年底前</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8"/>
                <w:szCs w:val="28"/>
              </w:rPr>
            </w:pPr>
            <w:r>
              <w:rPr>
                <w:rFonts w:hint="eastAsia"/>
                <w:sz w:val="28"/>
                <w:szCs w:val="28"/>
              </w:rPr>
              <w:t>区教委</w:t>
            </w:r>
          </w:p>
          <w:p>
            <w:pPr>
              <w:spacing w:line="300" w:lineRule="exact"/>
              <w:jc w:val="center"/>
              <w:rPr>
                <w:sz w:val="28"/>
                <w:szCs w:val="28"/>
              </w:rPr>
            </w:pPr>
            <w:r>
              <w:rPr>
                <w:rFonts w:hint="eastAsia"/>
                <w:sz w:val="28"/>
                <w:szCs w:val="28"/>
              </w:rPr>
              <w:t>区科信局</w:t>
            </w:r>
          </w:p>
          <w:p>
            <w:pPr>
              <w:spacing w:line="300" w:lineRule="exact"/>
              <w:jc w:val="center"/>
              <w:rPr>
                <w:sz w:val="28"/>
                <w:szCs w:val="28"/>
              </w:rPr>
            </w:pPr>
            <w:r>
              <w:rPr>
                <w:rFonts w:hint="eastAsia"/>
                <w:sz w:val="28"/>
                <w:szCs w:val="28"/>
              </w:rPr>
              <w:t>区城管委</w:t>
            </w:r>
          </w:p>
          <w:p>
            <w:pPr>
              <w:spacing w:line="300" w:lineRule="exact"/>
              <w:jc w:val="center"/>
              <w:rPr>
                <w:sz w:val="28"/>
                <w:szCs w:val="28"/>
                <w:highlight w:val="yellow"/>
              </w:rPr>
            </w:pPr>
            <w:r>
              <w:rPr>
                <w:rFonts w:hint="eastAsia"/>
                <w:sz w:val="28"/>
                <w:szCs w:val="28"/>
              </w:rPr>
              <w:t>区商务局区园林绿化局</w:t>
            </w:r>
          </w:p>
        </w:tc>
        <w:tc>
          <w:tcPr>
            <w:tcW w:w="2339" w:type="dxa"/>
            <w:tcBorders>
              <w:top w:val="single" w:color="auto" w:sz="4" w:space="0"/>
              <w:left w:val="single" w:color="auto" w:sz="4" w:space="0"/>
              <w:bottom w:val="single" w:color="auto" w:sz="4" w:space="0"/>
            </w:tcBorders>
            <w:vAlign w:val="center"/>
          </w:tcPr>
          <w:p>
            <w:pPr>
              <w:spacing w:line="300" w:lineRule="exact"/>
              <w:jc w:val="center"/>
              <w:rPr>
                <w:sz w:val="28"/>
                <w:szCs w:val="28"/>
              </w:rPr>
            </w:pPr>
            <w:r>
              <w:rPr>
                <w:rFonts w:hint="eastAsia"/>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839"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6382" w:type="dxa"/>
            <w:tcBorders>
              <w:top w:val="single" w:color="auto" w:sz="4" w:space="0"/>
              <w:left w:val="single" w:color="auto" w:sz="4" w:space="0"/>
              <w:bottom w:val="single" w:color="auto" w:sz="4" w:space="0"/>
            </w:tcBorders>
            <w:vAlign w:val="center"/>
          </w:tcPr>
          <w:p>
            <w:pPr>
              <w:spacing w:line="300" w:lineRule="exact"/>
              <w:jc w:val="left"/>
              <w:rPr>
                <w:rFonts w:cs="仿宋_GB2312"/>
                <w:sz w:val="28"/>
                <w:szCs w:val="28"/>
              </w:rPr>
            </w:pPr>
            <w:r>
              <w:rPr>
                <w:rFonts w:hint="eastAsia" w:cs="仿宋_GB2312"/>
                <w:sz w:val="28"/>
                <w:szCs w:val="28"/>
              </w:rPr>
              <w:t>公安交管、生态环境部门全年在辖区主要道路按要求完成重型柴油车人工检查。</w:t>
            </w:r>
          </w:p>
          <w:p>
            <w:pPr>
              <w:spacing w:line="300" w:lineRule="exact"/>
              <w:jc w:val="left"/>
              <w:rPr>
                <w:sz w:val="28"/>
                <w:szCs w:val="28"/>
              </w:rPr>
            </w:pPr>
            <w:r>
              <w:rPr>
                <w:rFonts w:hint="eastAsia" w:cs="仿宋_GB2312"/>
                <w:sz w:val="28"/>
                <w:szCs w:val="28"/>
              </w:rPr>
              <w:t>公安交管部门进一步提升排放超标车辆非现场执法处罚比例。加大对超标车黑名单数据库中未办理进京通行证以及多次超标的外埠进京车执法处罚力度。</w:t>
            </w:r>
          </w:p>
        </w:tc>
        <w:tc>
          <w:tcPr>
            <w:tcW w:w="1422" w:type="dxa"/>
            <w:tcBorders>
              <w:top w:val="single" w:color="auto" w:sz="4" w:space="0"/>
            </w:tcBorders>
            <w:vAlign w:val="center"/>
          </w:tcPr>
          <w:p>
            <w:pPr>
              <w:spacing w:line="300" w:lineRule="exact"/>
              <w:jc w:val="center"/>
              <w:rPr>
                <w:sz w:val="28"/>
                <w:szCs w:val="28"/>
              </w:rPr>
            </w:pPr>
            <w:r>
              <w:rPr>
                <w:rFonts w:hint="eastAsia" w:cs="仿宋_GB2312"/>
                <w:sz w:val="28"/>
                <w:szCs w:val="28"/>
              </w:rPr>
              <w:t>年底前</w:t>
            </w:r>
          </w:p>
        </w:tc>
        <w:tc>
          <w:tcPr>
            <w:tcW w:w="2268" w:type="dxa"/>
            <w:tcBorders>
              <w:top w:val="single" w:color="auto" w:sz="4" w:space="0"/>
            </w:tcBorders>
            <w:vAlign w:val="center"/>
          </w:tcPr>
          <w:p>
            <w:pPr>
              <w:spacing w:line="300" w:lineRule="exact"/>
              <w:jc w:val="center"/>
              <w:rPr>
                <w:rFonts w:cs="仿宋_GB2312"/>
                <w:sz w:val="28"/>
                <w:szCs w:val="28"/>
              </w:rPr>
            </w:pPr>
            <w:r>
              <w:rPr>
                <w:rFonts w:hint="eastAsia" w:cs="仿宋_GB2312"/>
                <w:sz w:val="28"/>
                <w:szCs w:val="28"/>
              </w:rPr>
              <w:t>东城交通支队</w:t>
            </w:r>
          </w:p>
          <w:p>
            <w:pPr>
              <w:spacing w:line="300" w:lineRule="exact"/>
              <w:jc w:val="center"/>
              <w:rPr>
                <w:sz w:val="28"/>
                <w:szCs w:val="28"/>
              </w:rPr>
            </w:pPr>
            <w:r>
              <w:rPr>
                <w:rFonts w:hint="eastAsia" w:cs="仿宋_GB2312"/>
                <w:sz w:val="28"/>
                <w:szCs w:val="28"/>
              </w:rPr>
              <w:t>区生态环境局</w:t>
            </w:r>
          </w:p>
        </w:tc>
        <w:tc>
          <w:tcPr>
            <w:tcW w:w="2339" w:type="dxa"/>
            <w:tcBorders>
              <w:top w:val="single" w:color="auto" w:sz="4" w:space="0"/>
            </w:tcBorders>
            <w:vAlign w:val="center"/>
          </w:tcPr>
          <w:p>
            <w:pPr>
              <w:spacing w:line="300" w:lineRule="exact"/>
              <w:jc w:val="center"/>
              <w:rPr>
                <w:color w:val="000000"/>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jc w:val="center"/>
        </w:trPr>
        <w:tc>
          <w:tcPr>
            <w:tcW w:w="741" w:type="dxa"/>
            <w:tcBorders>
              <w:top w:val="single" w:color="auto" w:sz="4" w:space="0"/>
            </w:tcBorders>
            <w:vAlign w:val="center"/>
          </w:tcPr>
          <w:p>
            <w:pPr>
              <w:spacing w:line="360" w:lineRule="exact"/>
              <w:jc w:val="center"/>
              <w:rPr>
                <w:rFonts w:cs="仿宋_GB2312"/>
                <w:sz w:val="28"/>
                <w:szCs w:val="28"/>
              </w:rPr>
            </w:pPr>
            <w:r>
              <w:rPr>
                <w:rFonts w:hint="eastAsia" w:cs="仿宋_GB2312"/>
                <w:sz w:val="28"/>
                <w:szCs w:val="28"/>
              </w:rPr>
              <w:t>15</w:t>
            </w:r>
          </w:p>
        </w:tc>
        <w:tc>
          <w:tcPr>
            <w:tcW w:w="1839" w:type="dxa"/>
            <w:tcBorders>
              <w:top w:val="single" w:color="auto" w:sz="4" w:space="0"/>
            </w:tcBorders>
            <w:vAlign w:val="center"/>
          </w:tcPr>
          <w:p>
            <w:pPr>
              <w:spacing w:line="360" w:lineRule="exact"/>
              <w:jc w:val="center"/>
              <w:rPr>
                <w:sz w:val="28"/>
                <w:szCs w:val="28"/>
              </w:rPr>
            </w:pPr>
            <w:r>
              <w:rPr>
                <w:rFonts w:hint="eastAsia"/>
                <w:sz w:val="28"/>
                <w:szCs w:val="28"/>
              </w:rPr>
              <w:t>推进实施机动车排放检验与维修制度</w:t>
            </w:r>
          </w:p>
        </w:tc>
        <w:tc>
          <w:tcPr>
            <w:tcW w:w="6382" w:type="dxa"/>
            <w:tcBorders>
              <w:top w:val="single" w:color="auto" w:sz="4" w:space="0"/>
            </w:tcBorders>
            <w:vAlign w:val="center"/>
          </w:tcPr>
          <w:p>
            <w:pPr>
              <w:spacing w:line="320" w:lineRule="exact"/>
              <w:jc w:val="left"/>
              <w:rPr>
                <w:rFonts w:cs="仿宋_GB2312"/>
                <w:sz w:val="28"/>
                <w:szCs w:val="28"/>
              </w:rPr>
            </w:pPr>
            <w:r>
              <w:rPr>
                <w:rFonts w:hint="eastAsia" w:cs="仿宋_GB2312"/>
                <w:sz w:val="28"/>
                <w:szCs w:val="28"/>
              </w:rPr>
              <w:t>对汽车维修行业开展执法检查，对不按规范或标准维修排放超标车、未按规定与交通部门联网并上传排放相关维修项目信息的维修企业加大执法处罚力度。</w:t>
            </w:r>
          </w:p>
          <w:p>
            <w:pPr>
              <w:spacing w:line="320" w:lineRule="exact"/>
              <w:jc w:val="left"/>
              <w:rPr>
                <w:rFonts w:cs="仿宋_GB2312"/>
                <w:sz w:val="28"/>
                <w:szCs w:val="28"/>
              </w:rPr>
            </w:pPr>
            <w:r>
              <w:rPr>
                <w:rFonts w:hint="eastAsia" w:cs="仿宋_GB2312"/>
                <w:sz w:val="28"/>
                <w:szCs w:val="28"/>
              </w:rPr>
              <w:t>生态环境、交通运输、市场监管等部门推进实施汽车排放检验与维护闭环管理制度。</w:t>
            </w:r>
          </w:p>
          <w:p>
            <w:pPr>
              <w:spacing w:line="320" w:lineRule="exact"/>
              <w:jc w:val="left"/>
              <w:rPr>
                <w:rFonts w:cs="仿宋_GB2312"/>
                <w:sz w:val="28"/>
                <w:szCs w:val="28"/>
              </w:rPr>
            </w:pPr>
            <w:r>
              <w:rPr>
                <w:rFonts w:hint="eastAsia" w:cs="仿宋_GB2312"/>
                <w:sz w:val="28"/>
                <w:szCs w:val="28"/>
              </w:rPr>
              <w:t>生态环境、交通、公安交管等部门加强机动车排放检验、排放达标维修、维修复检等数据信息共享。</w:t>
            </w:r>
          </w:p>
        </w:tc>
        <w:tc>
          <w:tcPr>
            <w:tcW w:w="1422" w:type="dxa"/>
            <w:vAlign w:val="center"/>
          </w:tcPr>
          <w:p>
            <w:pPr>
              <w:spacing w:line="360" w:lineRule="exact"/>
              <w:jc w:val="center"/>
              <w:rPr>
                <w:sz w:val="28"/>
                <w:szCs w:val="28"/>
              </w:rPr>
            </w:pPr>
            <w:r>
              <w:rPr>
                <w:rFonts w:hint="eastAsia" w:hAnsi="宋体" w:cs="仿宋_GB2312"/>
                <w:kern w:val="0"/>
                <w:sz w:val="28"/>
                <w:szCs w:val="28"/>
              </w:rPr>
              <w:t>长期实施</w:t>
            </w:r>
          </w:p>
        </w:tc>
        <w:tc>
          <w:tcPr>
            <w:tcW w:w="2268" w:type="dxa"/>
            <w:vAlign w:val="center"/>
          </w:tcPr>
          <w:p>
            <w:pPr>
              <w:spacing w:line="360" w:lineRule="exact"/>
              <w:jc w:val="center"/>
              <w:rPr>
                <w:rFonts w:cs="仿宋_GB2312"/>
                <w:sz w:val="28"/>
                <w:szCs w:val="28"/>
              </w:rPr>
            </w:pPr>
            <w:r>
              <w:rPr>
                <w:rFonts w:hint="eastAsia" w:cs="仿宋_GB2312"/>
                <w:sz w:val="28"/>
                <w:szCs w:val="28"/>
              </w:rPr>
              <w:t>市交通委运输管理局东城分局</w:t>
            </w:r>
          </w:p>
          <w:p>
            <w:pPr>
              <w:spacing w:line="360" w:lineRule="exact"/>
              <w:jc w:val="center"/>
              <w:rPr>
                <w:rFonts w:cs="仿宋_GB2312"/>
                <w:sz w:val="28"/>
                <w:szCs w:val="28"/>
              </w:rPr>
            </w:pPr>
            <w:r>
              <w:rPr>
                <w:rFonts w:hint="eastAsia" w:cs="仿宋_GB2312"/>
                <w:sz w:val="28"/>
                <w:szCs w:val="28"/>
              </w:rPr>
              <w:t>区生态环境局</w:t>
            </w:r>
          </w:p>
          <w:p>
            <w:pPr>
              <w:spacing w:line="360" w:lineRule="exact"/>
              <w:jc w:val="center"/>
              <w:rPr>
                <w:rFonts w:cs="仿宋_GB2312"/>
                <w:sz w:val="28"/>
                <w:szCs w:val="28"/>
              </w:rPr>
            </w:pPr>
            <w:r>
              <w:rPr>
                <w:rFonts w:hint="eastAsia" w:cs="仿宋_GB2312"/>
                <w:sz w:val="28"/>
                <w:szCs w:val="28"/>
              </w:rPr>
              <w:t>区市场监管局</w:t>
            </w:r>
          </w:p>
          <w:p>
            <w:pPr>
              <w:spacing w:line="360" w:lineRule="exact"/>
              <w:jc w:val="center"/>
              <w:rPr>
                <w:rFonts w:cs="仿宋_GB2312"/>
                <w:sz w:val="28"/>
                <w:szCs w:val="28"/>
              </w:rPr>
            </w:pPr>
            <w:r>
              <w:rPr>
                <w:rFonts w:hint="eastAsia" w:cs="仿宋_GB2312"/>
                <w:sz w:val="28"/>
                <w:szCs w:val="28"/>
              </w:rPr>
              <w:t>东城交通支队</w:t>
            </w:r>
          </w:p>
        </w:tc>
        <w:tc>
          <w:tcPr>
            <w:tcW w:w="2339" w:type="dxa"/>
            <w:vAlign w:val="center"/>
          </w:tcPr>
          <w:p>
            <w:pPr>
              <w:spacing w:line="360" w:lineRule="exact"/>
              <w:jc w:val="center"/>
              <w:rPr>
                <w:color w:val="000000"/>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16</w:t>
            </w:r>
          </w:p>
        </w:tc>
        <w:tc>
          <w:tcPr>
            <w:tcW w:w="1839" w:type="dxa"/>
            <w:vAlign w:val="center"/>
          </w:tcPr>
          <w:p>
            <w:pPr>
              <w:spacing w:line="360" w:lineRule="exact"/>
              <w:jc w:val="center"/>
              <w:rPr>
                <w:sz w:val="28"/>
                <w:szCs w:val="28"/>
              </w:rPr>
            </w:pPr>
            <w:r>
              <w:rPr>
                <w:rFonts w:hint="eastAsia"/>
                <w:sz w:val="28"/>
                <w:szCs w:val="28"/>
              </w:rPr>
              <w:t>强化机动车检测场监管</w:t>
            </w:r>
          </w:p>
        </w:tc>
        <w:tc>
          <w:tcPr>
            <w:tcW w:w="6382" w:type="dxa"/>
            <w:vAlign w:val="center"/>
          </w:tcPr>
          <w:p>
            <w:pPr>
              <w:spacing w:line="320" w:lineRule="exact"/>
              <w:jc w:val="left"/>
              <w:rPr>
                <w:rFonts w:cs="仿宋_GB2312"/>
                <w:sz w:val="28"/>
                <w:szCs w:val="28"/>
              </w:rPr>
            </w:pPr>
            <w:r>
              <w:rPr>
                <w:rFonts w:hint="eastAsia" w:cs="仿宋_GB2312"/>
                <w:sz w:val="28"/>
                <w:szCs w:val="28"/>
              </w:rPr>
              <w:t>市场监管、生态环境、公安交管等部门按照职责分工，对机动车检验机构的违法行为及其他不符合规范的行为进行累积记分。</w:t>
            </w:r>
          </w:p>
          <w:p>
            <w:pPr>
              <w:spacing w:line="320" w:lineRule="exact"/>
              <w:jc w:val="left"/>
              <w:rPr>
                <w:rFonts w:cs="仿宋_GB2312"/>
                <w:sz w:val="28"/>
                <w:szCs w:val="28"/>
              </w:rPr>
            </w:pPr>
            <w:r>
              <w:rPr>
                <w:rFonts w:hint="eastAsia" w:cs="仿宋_GB2312"/>
                <w:sz w:val="28"/>
                <w:szCs w:val="28"/>
              </w:rPr>
              <w:t>市场监管部门加强对机动车排放检验机构的计量认证管理，对机动车排放检验设备供应厂商提供的检验设备及其配套程序不符合标准的，责令改正，依法暂停该设备所在检测线的运行并依法处罚，同时向市级部门报告停止该设备在本市的销售。</w:t>
            </w:r>
          </w:p>
        </w:tc>
        <w:tc>
          <w:tcPr>
            <w:tcW w:w="1422" w:type="dxa"/>
            <w:vAlign w:val="center"/>
          </w:tcPr>
          <w:p>
            <w:pPr>
              <w:spacing w:line="360" w:lineRule="exact"/>
              <w:jc w:val="center"/>
              <w:rPr>
                <w:rFonts w:hAnsi="宋体" w:cs="仿宋_GB2312"/>
                <w:kern w:val="0"/>
                <w:sz w:val="28"/>
                <w:szCs w:val="28"/>
              </w:rPr>
            </w:pPr>
            <w:r>
              <w:rPr>
                <w:rFonts w:hint="eastAsia" w:hAnsi="宋体" w:cs="仿宋_GB2312"/>
                <w:kern w:val="0"/>
                <w:sz w:val="28"/>
                <w:szCs w:val="28"/>
              </w:rPr>
              <w:t>长期实施</w:t>
            </w:r>
          </w:p>
        </w:tc>
        <w:tc>
          <w:tcPr>
            <w:tcW w:w="2268" w:type="dxa"/>
            <w:vAlign w:val="center"/>
          </w:tcPr>
          <w:p>
            <w:pPr>
              <w:spacing w:line="360" w:lineRule="exact"/>
              <w:jc w:val="center"/>
              <w:rPr>
                <w:rFonts w:cs="仿宋_GB2312"/>
                <w:sz w:val="28"/>
                <w:szCs w:val="28"/>
              </w:rPr>
            </w:pPr>
            <w:r>
              <w:rPr>
                <w:rFonts w:hint="eastAsia" w:cs="仿宋_GB2312"/>
                <w:sz w:val="28"/>
                <w:szCs w:val="28"/>
              </w:rPr>
              <w:t>区市场监管局</w:t>
            </w:r>
          </w:p>
          <w:p>
            <w:pPr>
              <w:spacing w:line="360" w:lineRule="exact"/>
              <w:jc w:val="center"/>
              <w:rPr>
                <w:rFonts w:cs="仿宋_GB2312"/>
                <w:sz w:val="28"/>
                <w:szCs w:val="28"/>
              </w:rPr>
            </w:pPr>
            <w:r>
              <w:rPr>
                <w:rFonts w:hint="eastAsia" w:cs="仿宋_GB2312"/>
                <w:sz w:val="28"/>
                <w:szCs w:val="28"/>
              </w:rPr>
              <w:t>区生态环境局</w:t>
            </w:r>
          </w:p>
          <w:p>
            <w:pPr>
              <w:spacing w:line="360" w:lineRule="exact"/>
              <w:jc w:val="center"/>
              <w:rPr>
                <w:rFonts w:cs="仿宋_GB2312"/>
                <w:sz w:val="28"/>
                <w:szCs w:val="28"/>
              </w:rPr>
            </w:pPr>
            <w:r>
              <w:rPr>
                <w:rFonts w:hint="eastAsia" w:cs="仿宋_GB2312"/>
                <w:sz w:val="28"/>
                <w:szCs w:val="28"/>
              </w:rPr>
              <w:t>东城交通支队</w:t>
            </w:r>
          </w:p>
        </w:tc>
        <w:tc>
          <w:tcPr>
            <w:tcW w:w="2339" w:type="dxa"/>
            <w:vAlign w:val="center"/>
          </w:tcPr>
          <w:p>
            <w:pPr>
              <w:spacing w:line="360" w:lineRule="exact"/>
              <w:jc w:val="center"/>
              <w:rPr>
                <w:rFonts w:hAnsi="宋体" w:cs="仿宋_GB2312"/>
                <w:kern w:val="0"/>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741" w:type="dxa"/>
            <w:vMerge w:val="restart"/>
            <w:vAlign w:val="center"/>
          </w:tcPr>
          <w:p>
            <w:pPr>
              <w:spacing w:line="360" w:lineRule="exact"/>
              <w:jc w:val="center"/>
              <w:rPr>
                <w:rFonts w:cs="仿宋_GB2312"/>
                <w:sz w:val="28"/>
                <w:szCs w:val="28"/>
              </w:rPr>
            </w:pPr>
            <w:r>
              <w:rPr>
                <w:rFonts w:hint="eastAsia" w:cs="仿宋_GB2312"/>
                <w:sz w:val="28"/>
                <w:szCs w:val="28"/>
              </w:rPr>
              <w:t>17</w:t>
            </w:r>
          </w:p>
        </w:tc>
        <w:tc>
          <w:tcPr>
            <w:tcW w:w="1839" w:type="dxa"/>
            <w:vMerge w:val="restart"/>
            <w:vAlign w:val="center"/>
          </w:tcPr>
          <w:p>
            <w:pPr>
              <w:spacing w:line="360" w:lineRule="exact"/>
              <w:jc w:val="center"/>
              <w:rPr>
                <w:sz w:val="28"/>
                <w:szCs w:val="28"/>
              </w:rPr>
            </w:pPr>
            <w:r>
              <w:rPr>
                <w:rFonts w:hint="eastAsia" w:cs="仿宋_GB2312"/>
                <w:sz w:val="28"/>
                <w:szCs w:val="28"/>
              </w:rPr>
              <w:t>加强非道路移动机械管控</w:t>
            </w:r>
          </w:p>
        </w:tc>
        <w:tc>
          <w:tcPr>
            <w:tcW w:w="6382" w:type="dxa"/>
            <w:vAlign w:val="center"/>
          </w:tcPr>
          <w:p>
            <w:pPr>
              <w:spacing w:line="320" w:lineRule="exact"/>
              <w:rPr>
                <w:rFonts w:cs="仿宋_GB2312"/>
                <w:sz w:val="28"/>
                <w:szCs w:val="28"/>
              </w:rPr>
            </w:pPr>
            <w:r>
              <w:rPr>
                <w:rFonts w:hint="eastAsia" w:cs="仿宋_GB2312"/>
                <w:sz w:val="28"/>
                <w:szCs w:val="28"/>
              </w:rPr>
              <w:t>科技和信息化、住建、城市管理、交通、水务、园林绿化等部门组织、督促本行业使用的非道路移动机械进行信息编码登记；禁止使用未经过信息编码登记或未如实登记信息的非道路移动机械。</w:t>
            </w:r>
          </w:p>
          <w:p>
            <w:pPr>
              <w:spacing w:line="320" w:lineRule="exact"/>
              <w:rPr>
                <w:rFonts w:cs="仿宋_GB2312"/>
                <w:sz w:val="28"/>
                <w:szCs w:val="28"/>
              </w:rPr>
            </w:pPr>
            <w:r>
              <w:rPr>
                <w:rFonts w:hint="eastAsia" w:cs="仿宋_GB2312"/>
                <w:sz w:val="28"/>
                <w:szCs w:val="28"/>
              </w:rPr>
              <w:t>生态环境部门对在辖区使用的未经信息编码登记或者未如实登记信息的非道路移动机械依法进行处罚。</w:t>
            </w:r>
          </w:p>
        </w:tc>
        <w:tc>
          <w:tcPr>
            <w:tcW w:w="1422" w:type="dxa"/>
            <w:vAlign w:val="center"/>
          </w:tcPr>
          <w:p>
            <w:pPr>
              <w:spacing w:line="360" w:lineRule="exact"/>
              <w:jc w:val="center"/>
              <w:rPr>
                <w:sz w:val="28"/>
                <w:szCs w:val="28"/>
              </w:rPr>
            </w:pPr>
            <w:r>
              <w:rPr>
                <w:rFonts w:hint="eastAsia" w:cs="仿宋_GB2312"/>
                <w:sz w:val="28"/>
                <w:szCs w:val="28"/>
              </w:rPr>
              <w:t>年底前</w:t>
            </w:r>
          </w:p>
        </w:tc>
        <w:tc>
          <w:tcPr>
            <w:tcW w:w="2268" w:type="dxa"/>
            <w:vAlign w:val="center"/>
          </w:tcPr>
          <w:p>
            <w:pPr>
              <w:spacing w:line="300" w:lineRule="exact"/>
              <w:jc w:val="center"/>
              <w:rPr>
                <w:sz w:val="28"/>
                <w:szCs w:val="28"/>
              </w:rPr>
            </w:pPr>
            <w:r>
              <w:rPr>
                <w:rFonts w:hint="eastAsia"/>
                <w:sz w:val="28"/>
                <w:szCs w:val="28"/>
              </w:rPr>
              <w:t>区生态环境局</w:t>
            </w:r>
          </w:p>
          <w:p>
            <w:pPr>
              <w:spacing w:line="300" w:lineRule="exact"/>
              <w:jc w:val="center"/>
              <w:rPr>
                <w:sz w:val="28"/>
                <w:szCs w:val="28"/>
              </w:rPr>
            </w:pPr>
            <w:r>
              <w:rPr>
                <w:rFonts w:hint="eastAsia"/>
                <w:sz w:val="28"/>
                <w:szCs w:val="28"/>
              </w:rPr>
              <w:t>区科信局</w:t>
            </w:r>
          </w:p>
          <w:p>
            <w:pPr>
              <w:spacing w:line="300" w:lineRule="exact"/>
              <w:jc w:val="center"/>
              <w:rPr>
                <w:sz w:val="28"/>
                <w:szCs w:val="28"/>
              </w:rPr>
            </w:pPr>
            <w:r>
              <w:rPr>
                <w:rFonts w:hint="eastAsia"/>
                <w:sz w:val="28"/>
                <w:szCs w:val="28"/>
              </w:rPr>
              <w:t>区住建委</w:t>
            </w:r>
          </w:p>
          <w:p>
            <w:pPr>
              <w:spacing w:line="300" w:lineRule="exact"/>
              <w:jc w:val="center"/>
              <w:rPr>
                <w:sz w:val="28"/>
                <w:szCs w:val="28"/>
              </w:rPr>
            </w:pPr>
            <w:r>
              <w:rPr>
                <w:rFonts w:hint="eastAsia"/>
                <w:sz w:val="28"/>
                <w:szCs w:val="28"/>
              </w:rPr>
              <w:t>区城管委</w:t>
            </w:r>
          </w:p>
          <w:p>
            <w:pPr>
              <w:spacing w:line="300" w:lineRule="exact"/>
              <w:jc w:val="center"/>
              <w:rPr>
                <w:sz w:val="28"/>
                <w:szCs w:val="28"/>
              </w:rPr>
            </w:pPr>
            <w:r>
              <w:rPr>
                <w:rFonts w:hint="eastAsia"/>
                <w:sz w:val="28"/>
                <w:szCs w:val="28"/>
              </w:rPr>
              <w:t>区园林绿化局</w:t>
            </w:r>
          </w:p>
        </w:tc>
        <w:tc>
          <w:tcPr>
            <w:tcW w:w="2339" w:type="dxa"/>
            <w:vAlign w:val="center"/>
          </w:tcPr>
          <w:p>
            <w:pPr>
              <w:spacing w:line="360" w:lineRule="exact"/>
              <w:jc w:val="center"/>
              <w:rPr>
                <w:color w:val="000000"/>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741" w:type="dxa"/>
            <w:vMerge w:val="continue"/>
            <w:vAlign w:val="center"/>
          </w:tcPr>
          <w:p>
            <w:pPr>
              <w:widowControl/>
              <w:jc w:val="left"/>
              <w:rPr>
                <w:rFonts w:cs="仿宋_GB2312"/>
                <w:sz w:val="28"/>
                <w:szCs w:val="28"/>
              </w:rPr>
            </w:pPr>
          </w:p>
        </w:tc>
        <w:tc>
          <w:tcPr>
            <w:tcW w:w="1839" w:type="dxa"/>
            <w:vMerge w:val="continue"/>
            <w:vAlign w:val="center"/>
          </w:tcPr>
          <w:p>
            <w:pPr>
              <w:widowControl/>
              <w:jc w:val="left"/>
              <w:rPr>
                <w:sz w:val="28"/>
                <w:szCs w:val="28"/>
              </w:rPr>
            </w:pPr>
          </w:p>
        </w:tc>
        <w:tc>
          <w:tcPr>
            <w:tcW w:w="6382" w:type="dxa"/>
            <w:vAlign w:val="center"/>
          </w:tcPr>
          <w:p>
            <w:pPr>
              <w:spacing w:line="320" w:lineRule="exact"/>
              <w:jc w:val="left"/>
              <w:rPr>
                <w:rFonts w:cs="仿宋_GB2312"/>
                <w:sz w:val="28"/>
                <w:szCs w:val="28"/>
              </w:rPr>
            </w:pPr>
            <w:r>
              <w:rPr>
                <w:rFonts w:hint="eastAsia" w:cs="仿宋_GB2312"/>
                <w:sz w:val="28"/>
                <w:szCs w:val="28"/>
              </w:rPr>
              <w:t>生态环境部门加强对非道路移动机械排放、编码登记状况的监督检查；区生态环境局定期将查处结果向区住建委等相关行业主管部门通报。</w:t>
            </w:r>
          </w:p>
          <w:p>
            <w:pPr>
              <w:spacing w:line="320" w:lineRule="exact"/>
              <w:jc w:val="left"/>
              <w:rPr>
                <w:rFonts w:cs="仿宋_GB2312"/>
                <w:sz w:val="28"/>
                <w:szCs w:val="28"/>
              </w:rPr>
            </w:pPr>
            <w:r>
              <w:rPr>
                <w:rFonts w:hint="eastAsia" w:cs="仿宋_GB2312"/>
                <w:sz w:val="28"/>
                <w:szCs w:val="28"/>
              </w:rPr>
              <w:t>区住建委对使用未经信息编码登记或者不符合排放标准的非道路移动机械的建设单位或者施工单位，报市级部门记入信用信息记录。</w:t>
            </w:r>
          </w:p>
        </w:tc>
        <w:tc>
          <w:tcPr>
            <w:tcW w:w="1422" w:type="dxa"/>
            <w:vAlign w:val="center"/>
          </w:tcPr>
          <w:p>
            <w:pPr>
              <w:spacing w:line="360" w:lineRule="exact"/>
              <w:jc w:val="center"/>
              <w:rPr>
                <w:sz w:val="28"/>
                <w:szCs w:val="28"/>
              </w:rPr>
            </w:pPr>
            <w:r>
              <w:rPr>
                <w:rFonts w:hint="eastAsia" w:cs="仿宋_GB2312"/>
                <w:sz w:val="28"/>
                <w:szCs w:val="28"/>
              </w:rPr>
              <w:t>长期实施</w:t>
            </w:r>
          </w:p>
        </w:tc>
        <w:tc>
          <w:tcPr>
            <w:tcW w:w="2268" w:type="dxa"/>
            <w:vAlign w:val="center"/>
          </w:tcPr>
          <w:p>
            <w:pPr>
              <w:spacing w:line="360" w:lineRule="exact"/>
              <w:jc w:val="center"/>
              <w:rPr>
                <w:sz w:val="28"/>
                <w:szCs w:val="28"/>
              </w:rPr>
            </w:pPr>
            <w:r>
              <w:rPr>
                <w:rFonts w:hint="eastAsia" w:cs="仿宋_GB2312"/>
                <w:sz w:val="28"/>
                <w:szCs w:val="28"/>
              </w:rPr>
              <w:t>区生态环境局</w:t>
            </w:r>
          </w:p>
          <w:p>
            <w:pPr>
              <w:spacing w:line="300" w:lineRule="exact"/>
              <w:ind w:left="-218" w:leftChars="-68" w:right="-317" w:rightChars="-99"/>
              <w:jc w:val="center"/>
              <w:rPr>
                <w:sz w:val="28"/>
                <w:szCs w:val="28"/>
              </w:rPr>
            </w:pPr>
            <w:r>
              <w:rPr>
                <w:rFonts w:hint="eastAsia"/>
                <w:sz w:val="28"/>
                <w:szCs w:val="28"/>
              </w:rPr>
              <w:t>区住建委</w:t>
            </w:r>
          </w:p>
        </w:tc>
        <w:tc>
          <w:tcPr>
            <w:tcW w:w="2339" w:type="dxa"/>
            <w:vAlign w:val="center"/>
          </w:tcPr>
          <w:p>
            <w:pPr>
              <w:spacing w:line="360" w:lineRule="exact"/>
              <w:jc w:val="center"/>
              <w:rPr>
                <w:color w:val="000000"/>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91" w:type="dxa"/>
            <w:gridSpan w:val="6"/>
            <w:vAlign w:val="center"/>
          </w:tcPr>
          <w:p>
            <w:pPr>
              <w:widowControl/>
              <w:jc w:val="center"/>
              <w:rPr>
                <w:sz w:val="28"/>
                <w:szCs w:val="28"/>
              </w:rPr>
            </w:pPr>
            <w:r>
              <w:rPr>
                <w:rFonts w:hint="eastAsia" w:ascii="黑体" w:hAnsi="黑体" w:eastAsia="黑体"/>
                <w:sz w:val="28"/>
                <w:szCs w:val="28"/>
              </w:rPr>
              <w:t>四、持续推进能源清洁低碳化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18</w:t>
            </w:r>
          </w:p>
        </w:tc>
        <w:tc>
          <w:tcPr>
            <w:tcW w:w="1839" w:type="dxa"/>
            <w:vAlign w:val="center"/>
          </w:tcPr>
          <w:p>
            <w:pPr>
              <w:spacing w:line="360" w:lineRule="exact"/>
              <w:jc w:val="center"/>
              <w:rPr>
                <w:rFonts w:cs="仿宋_GB2312"/>
                <w:sz w:val="28"/>
                <w:szCs w:val="28"/>
              </w:rPr>
            </w:pPr>
            <w:r>
              <w:rPr>
                <w:rFonts w:hint="eastAsia" w:cs="仿宋_GB2312"/>
                <w:kern w:val="0"/>
                <w:sz w:val="28"/>
                <w:szCs w:val="28"/>
              </w:rPr>
              <w:t>强化能源消耗总量和强度双控</w:t>
            </w:r>
          </w:p>
        </w:tc>
        <w:tc>
          <w:tcPr>
            <w:tcW w:w="6382" w:type="dxa"/>
            <w:vAlign w:val="center"/>
          </w:tcPr>
          <w:p>
            <w:pPr>
              <w:spacing w:line="320" w:lineRule="exact"/>
              <w:rPr>
                <w:rFonts w:cs="仿宋_GB2312"/>
                <w:kern w:val="0"/>
                <w:sz w:val="28"/>
                <w:szCs w:val="28"/>
              </w:rPr>
            </w:pPr>
            <w:r>
              <w:rPr>
                <w:rFonts w:hint="eastAsia" w:cs="仿宋_GB2312"/>
                <w:kern w:val="0"/>
                <w:sz w:val="28"/>
                <w:szCs w:val="28"/>
              </w:rPr>
              <w:t>区发改委牵头强化能源消耗总量和强度双</w:t>
            </w:r>
            <w:r>
              <w:rPr>
                <w:rFonts w:cs="仿宋_GB2312"/>
                <w:kern w:val="0"/>
                <w:sz w:val="28"/>
                <w:szCs w:val="28"/>
              </w:rPr>
              <w:t>控</w:t>
            </w:r>
            <w:r>
              <w:rPr>
                <w:rFonts w:hint="eastAsia" w:cs="仿宋_GB2312"/>
                <w:kern w:val="0"/>
                <w:sz w:val="28"/>
                <w:szCs w:val="28"/>
              </w:rPr>
              <w:t>，提升能源利用效率，全区能源消费总量达到北京市考核要求。</w:t>
            </w:r>
          </w:p>
          <w:p>
            <w:pPr>
              <w:spacing w:line="320" w:lineRule="exact"/>
              <w:rPr>
                <w:rFonts w:cs="仿宋_GB2312"/>
                <w:kern w:val="0"/>
                <w:sz w:val="28"/>
                <w:szCs w:val="28"/>
              </w:rPr>
            </w:pPr>
            <w:r>
              <w:rPr>
                <w:rFonts w:hint="eastAsia" w:cs="仿宋_GB2312"/>
                <w:kern w:val="0"/>
                <w:sz w:val="28"/>
                <w:szCs w:val="28"/>
              </w:rPr>
              <w:t>区发改委牵头研究制定2021年节能工作要点，制定更为严格的节能标准；持续推动差别电价政策落实，加强宣传引导，推动全社会自觉形成节能低碳的生产生活方式。</w:t>
            </w:r>
          </w:p>
        </w:tc>
        <w:tc>
          <w:tcPr>
            <w:tcW w:w="1422" w:type="dxa"/>
            <w:vAlign w:val="center"/>
          </w:tcPr>
          <w:p>
            <w:pPr>
              <w:spacing w:line="320" w:lineRule="exact"/>
              <w:jc w:val="center"/>
              <w:rPr>
                <w:rFonts w:cs="仿宋_GB2312"/>
                <w:kern w:val="0"/>
                <w:sz w:val="28"/>
                <w:szCs w:val="28"/>
              </w:rPr>
            </w:pPr>
            <w:r>
              <w:rPr>
                <w:rFonts w:hint="eastAsia" w:cs="仿宋_GB2312"/>
                <w:kern w:val="0"/>
                <w:sz w:val="28"/>
                <w:szCs w:val="28"/>
              </w:rPr>
              <w:t>年底前</w:t>
            </w:r>
          </w:p>
        </w:tc>
        <w:tc>
          <w:tcPr>
            <w:tcW w:w="2268" w:type="dxa"/>
            <w:vAlign w:val="center"/>
          </w:tcPr>
          <w:p>
            <w:pPr>
              <w:spacing w:line="320" w:lineRule="exact"/>
              <w:jc w:val="center"/>
              <w:rPr>
                <w:rFonts w:cs="仿宋_GB2312"/>
                <w:kern w:val="0"/>
                <w:sz w:val="28"/>
                <w:szCs w:val="28"/>
              </w:rPr>
            </w:pPr>
            <w:r>
              <w:rPr>
                <w:rFonts w:hint="eastAsia" w:cs="仿宋_GB2312"/>
                <w:kern w:val="0"/>
                <w:sz w:val="28"/>
                <w:szCs w:val="28"/>
              </w:rPr>
              <w:t>区发改委</w:t>
            </w:r>
          </w:p>
        </w:tc>
        <w:tc>
          <w:tcPr>
            <w:tcW w:w="2339" w:type="dxa"/>
            <w:vAlign w:val="center"/>
          </w:tcPr>
          <w:p>
            <w:pPr>
              <w:snapToGrid w:val="0"/>
              <w:spacing w:line="320" w:lineRule="exact"/>
              <w:jc w:val="center"/>
              <w:rPr>
                <w:rFonts w:cs="仿宋_GB2312"/>
                <w:kern w:val="0"/>
                <w:sz w:val="28"/>
                <w:szCs w:val="28"/>
              </w:rPr>
            </w:pPr>
            <w:r>
              <w:rPr>
                <w:rFonts w:hint="eastAsia" w:cs="仿宋_GB2312"/>
                <w:kern w:val="0"/>
                <w:sz w:val="28"/>
                <w:szCs w:val="28"/>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19</w:t>
            </w:r>
          </w:p>
        </w:tc>
        <w:tc>
          <w:tcPr>
            <w:tcW w:w="1839" w:type="dxa"/>
            <w:vAlign w:val="center"/>
          </w:tcPr>
          <w:p>
            <w:pPr>
              <w:spacing w:line="360" w:lineRule="exact"/>
              <w:jc w:val="center"/>
              <w:rPr>
                <w:rFonts w:cs="仿宋_GB2312"/>
                <w:kern w:val="0"/>
                <w:sz w:val="28"/>
                <w:szCs w:val="28"/>
              </w:rPr>
            </w:pPr>
            <w:r>
              <w:rPr>
                <w:rFonts w:hint="eastAsia" w:cs="仿宋_GB2312"/>
                <w:kern w:val="0"/>
                <w:sz w:val="28"/>
                <w:szCs w:val="28"/>
              </w:rPr>
              <w:t>强化供热</w:t>
            </w:r>
          </w:p>
          <w:p>
            <w:pPr>
              <w:spacing w:line="360" w:lineRule="exact"/>
              <w:jc w:val="center"/>
              <w:rPr>
                <w:rFonts w:cs="仿宋_GB2312"/>
                <w:kern w:val="0"/>
                <w:sz w:val="28"/>
                <w:szCs w:val="28"/>
              </w:rPr>
            </w:pPr>
            <w:r>
              <w:rPr>
                <w:rFonts w:hint="eastAsia" w:cs="仿宋_GB2312"/>
                <w:kern w:val="0"/>
                <w:sz w:val="28"/>
                <w:szCs w:val="28"/>
              </w:rPr>
              <w:t>节能</w:t>
            </w:r>
          </w:p>
        </w:tc>
        <w:tc>
          <w:tcPr>
            <w:tcW w:w="6382" w:type="dxa"/>
            <w:vAlign w:val="center"/>
          </w:tcPr>
          <w:p>
            <w:pPr>
              <w:spacing w:line="320" w:lineRule="exact"/>
              <w:jc w:val="left"/>
              <w:rPr>
                <w:rFonts w:cs="仿宋_GB2312"/>
                <w:kern w:val="0"/>
                <w:sz w:val="28"/>
                <w:szCs w:val="28"/>
              </w:rPr>
            </w:pPr>
            <w:r>
              <w:rPr>
                <w:rFonts w:hint="eastAsia" w:cs="仿宋_GB2312"/>
                <w:kern w:val="0"/>
                <w:sz w:val="28"/>
                <w:szCs w:val="28"/>
              </w:rPr>
              <w:t>大力推进现有供暖系统节能改造，推进供热分户计量和智能化控制，减少供暖能耗。按照市级部门统一部署试点开展热泵供暖等新技术应用。</w:t>
            </w:r>
          </w:p>
        </w:tc>
        <w:tc>
          <w:tcPr>
            <w:tcW w:w="1422" w:type="dxa"/>
            <w:vAlign w:val="center"/>
          </w:tcPr>
          <w:p>
            <w:pPr>
              <w:spacing w:line="320" w:lineRule="exact"/>
              <w:jc w:val="center"/>
              <w:rPr>
                <w:rFonts w:cs="仿宋_GB2312"/>
                <w:kern w:val="0"/>
                <w:sz w:val="28"/>
                <w:szCs w:val="28"/>
              </w:rPr>
            </w:pPr>
            <w:r>
              <w:rPr>
                <w:rFonts w:hint="eastAsia" w:cs="仿宋_GB2312"/>
                <w:kern w:val="0"/>
                <w:sz w:val="28"/>
                <w:szCs w:val="28"/>
              </w:rPr>
              <w:t>年底前</w:t>
            </w:r>
          </w:p>
        </w:tc>
        <w:tc>
          <w:tcPr>
            <w:tcW w:w="2268" w:type="dxa"/>
            <w:vAlign w:val="center"/>
          </w:tcPr>
          <w:p>
            <w:pPr>
              <w:snapToGrid w:val="0"/>
              <w:spacing w:line="320" w:lineRule="exact"/>
              <w:jc w:val="center"/>
              <w:rPr>
                <w:rFonts w:cs="仿宋_GB2312"/>
                <w:kern w:val="0"/>
                <w:sz w:val="28"/>
                <w:szCs w:val="28"/>
              </w:rPr>
            </w:pPr>
            <w:r>
              <w:rPr>
                <w:rFonts w:hint="eastAsia" w:cs="仿宋_GB2312"/>
                <w:kern w:val="0"/>
                <w:sz w:val="28"/>
                <w:szCs w:val="28"/>
              </w:rPr>
              <w:t>区城管委</w:t>
            </w:r>
          </w:p>
          <w:p>
            <w:pPr>
              <w:snapToGrid w:val="0"/>
              <w:spacing w:line="320" w:lineRule="exact"/>
              <w:jc w:val="center"/>
              <w:rPr>
                <w:rFonts w:cs="仿宋_GB2312"/>
                <w:kern w:val="0"/>
                <w:sz w:val="28"/>
                <w:szCs w:val="28"/>
              </w:rPr>
            </w:pPr>
            <w:r>
              <w:rPr>
                <w:rFonts w:hint="eastAsia" w:cs="仿宋_GB2312"/>
                <w:kern w:val="0"/>
                <w:sz w:val="28"/>
                <w:szCs w:val="28"/>
              </w:rPr>
              <w:t>区发改委</w:t>
            </w:r>
          </w:p>
        </w:tc>
        <w:tc>
          <w:tcPr>
            <w:tcW w:w="2339" w:type="dxa"/>
            <w:vAlign w:val="center"/>
          </w:tcPr>
          <w:p>
            <w:pPr>
              <w:snapToGrid w:val="0"/>
              <w:spacing w:line="320" w:lineRule="exact"/>
              <w:jc w:val="center"/>
              <w:rPr>
                <w:rFonts w:cs="仿宋_GB2312"/>
                <w:kern w:val="0"/>
                <w:sz w:val="28"/>
                <w:szCs w:val="28"/>
              </w:rPr>
            </w:pPr>
            <w:r>
              <w:rPr>
                <w:rFonts w:hint="eastAsia"/>
                <w:sz w:val="28"/>
                <w:szCs w:val="28"/>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20</w:t>
            </w:r>
          </w:p>
        </w:tc>
        <w:tc>
          <w:tcPr>
            <w:tcW w:w="1839" w:type="dxa"/>
            <w:vAlign w:val="center"/>
          </w:tcPr>
          <w:p>
            <w:pPr>
              <w:spacing w:line="360" w:lineRule="exact"/>
              <w:jc w:val="center"/>
              <w:rPr>
                <w:rFonts w:cs="仿宋_GB2312"/>
                <w:sz w:val="28"/>
                <w:szCs w:val="28"/>
              </w:rPr>
            </w:pPr>
            <w:r>
              <w:rPr>
                <w:rFonts w:hint="eastAsia" w:cs="仿宋_GB2312"/>
                <w:kern w:val="0"/>
                <w:sz w:val="28"/>
                <w:szCs w:val="28"/>
              </w:rPr>
              <w:t>加快建筑节能步伐</w:t>
            </w:r>
          </w:p>
        </w:tc>
        <w:tc>
          <w:tcPr>
            <w:tcW w:w="6382" w:type="dxa"/>
            <w:vAlign w:val="center"/>
          </w:tcPr>
          <w:p>
            <w:pPr>
              <w:spacing w:line="290" w:lineRule="exact"/>
              <w:jc w:val="left"/>
              <w:rPr>
                <w:rFonts w:cs="仿宋_GB2312"/>
                <w:kern w:val="0"/>
                <w:sz w:val="28"/>
                <w:szCs w:val="28"/>
              </w:rPr>
            </w:pPr>
            <w:r>
              <w:rPr>
                <w:rFonts w:hint="eastAsia" w:cs="仿宋_GB2312"/>
                <w:kern w:val="0"/>
                <w:sz w:val="28"/>
                <w:szCs w:val="28"/>
              </w:rPr>
              <w:t>加快推进非节能居住建筑、公共建筑节能改造步伐。按照市级部门统一部署，落实超低能耗建筑与公共建筑节能绿色化改造激励政策。推广超低能耗建筑。</w:t>
            </w:r>
          </w:p>
          <w:p>
            <w:pPr>
              <w:spacing w:line="360" w:lineRule="exact"/>
              <w:jc w:val="left"/>
              <w:rPr>
                <w:rFonts w:cs="仿宋_GB2312"/>
                <w:kern w:val="0"/>
                <w:sz w:val="28"/>
                <w:szCs w:val="28"/>
              </w:rPr>
            </w:pPr>
            <w:r>
              <w:rPr>
                <w:rFonts w:hint="eastAsia" w:cs="仿宋_GB2312"/>
                <w:kern w:val="0"/>
                <w:sz w:val="28"/>
                <w:szCs w:val="28"/>
              </w:rPr>
              <w:t>新建居住建筑严格落实本市《居住建筑节能设计标准》（DB11/891-2020）,进一步提高建筑节能水平。</w:t>
            </w:r>
          </w:p>
        </w:tc>
        <w:tc>
          <w:tcPr>
            <w:tcW w:w="1422" w:type="dxa"/>
            <w:vAlign w:val="center"/>
          </w:tcPr>
          <w:p>
            <w:pPr>
              <w:spacing w:line="320" w:lineRule="exact"/>
              <w:jc w:val="center"/>
              <w:rPr>
                <w:rFonts w:cs="仿宋_GB2312"/>
                <w:kern w:val="0"/>
                <w:sz w:val="28"/>
                <w:szCs w:val="28"/>
              </w:rPr>
            </w:pPr>
            <w:r>
              <w:rPr>
                <w:rFonts w:hint="eastAsia" w:cs="仿宋_GB2312"/>
                <w:kern w:val="0"/>
                <w:sz w:val="28"/>
                <w:szCs w:val="28"/>
              </w:rPr>
              <w:t>年底前</w:t>
            </w:r>
          </w:p>
        </w:tc>
        <w:tc>
          <w:tcPr>
            <w:tcW w:w="2268" w:type="dxa"/>
            <w:vAlign w:val="center"/>
          </w:tcPr>
          <w:p>
            <w:pPr>
              <w:spacing w:line="320" w:lineRule="exact"/>
              <w:jc w:val="center"/>
              <w:rPr>
                <w:rFonts w:cs="仿宋_GB2312"/>
                <w:kern w:val="0"/>
                <w:sz w:val="28"/>
                <w:szCs w:val="28"/>
              </w:rPr>
            </w:pPr>
            <w:r>
              <w:rPr>
                <w:rFonts w:hint="eastAsia" w:cs="仿宋_GB2312"/>
                <w:kern w:val="0"/>
                <w:sz w:val="28"/>
                <w:szCs w:val="28"/>
              </w:rPr>
              <w:t>区住建委</w:t>
            </w:r>
          </w:p>
        </w:tc>
        <w:tc>
          <w:tcPr>
            <w:tcW w:w="2339" w:type="dxa"/>
            <w:vAlign w:val="center"/>
          </w:tcPr>
          <w:p>
            <w:pPr>
              <w:spacing w:line="320" w:lineRule="exact"/>
              <w:jc w:val="center"/>
              <w:rPr>
                <w:rFonts w:cs="仿宋_GB2312"/>
                <w:kern w:val="0"/>
                <w:sz w:val="28"/>
                <w:szCs w:val="28"/>
              </w:rPr>
            </w:pPr>
            <w:r>
              <w:rPr>
                <w:rFonts w:hint="eastAsia" w:cs="仿宋_GB2312"/>
                <w:kern w:val="0"/>
                <w:sz w:val="28"/>
                <w:szCs w:val="28"/>
              </w:rPr>
              <w:t>区财政局</w:t>
            </w:r>
          </w:p>
          <w:p>
            <w:pPr>
              <w:spacing w:line="320" w:lineRule="exact"/>
              <w:jc w:val="center"/>
              <w:rPr>
                <w:rFonts w:cs="仿宋_GB2312"/>
                <w:kern w:val="0"/>
                <w:sz w:val="28"/>
                <w:szCs w:val="28"/>
              </w:rPr>
            </w:pPr>
            <w:r>
              <w:rPr>
                <w:rFonts w:hint="eastAsia" w:cs="仿宋_GB2312"/>
                <w:kern w:val="0"/>
                <w:sz w:val="28"/>
                <w:szCs w:val="28"/>
              </w:rPr>
              <w:t>区发改委</w:t>
            </w:r>
          </w:p>
          <w:p>
            <w:pPr>
              <w:spacing w:line="320" w:lineRule="exact"/>
              <w:jc w:val="center"/>
              <w:rPr>
                <w:rFonts w:cs="仿宋_GB2312"/>
                <w:kern w:val="0"/>
                <w:sz w:val="28"/>
                <w:szCs w:val="28"/>
              </w:rPr>
            </w:pPr>
            <w:r>
              <w:rPr>
                <w:rFonts w:hint="eastAsia" w:cs="仿宋_GB2312"/>
                <w:kern w:val="0"/>
                <w:sz w:val="28"/>
                <w:szCs w:val="28"/>
              </w:rPr>
              <w:t>东城规自分局</w:t>
            </w:r>
          </w:p>
          <w:p>
            <w:pPr>
              <w:spacing w:line="320" w:lineRule="exact"/>
              <w:jc w:val="center"/>
              <w:rPr>
                <w:rFonts w:cs="仿宋_GB2312"/>
                <w:kern w:val="0"/>
                <w:sz w:val="28"/>
                <w:szCs w:val="28"/>
              </w:rPr>
            </w:pPr>
            <w:r>
              <w:rPr>
                <w:rFonts w:hint="eastAsia" w:cs="仿宋_GB2312"/>
                <w:kern w:val="0"/>
                <w:sz w:val="28"/>
                <w:szCs w:val="28"/>
              </w:rPr>
              <w:t>区城管委</w:t>
            </w:r>
          </w:p>
          <w:p>
            <w:pPr>
              <w:spacing w:line="320" w:lineRule="exact"/>
              <w:jc w:val="center"/>
              <w:rPr>
                <w:rFonts w:cs="仿宋_GB2312"/>
                <w:kern w:val="0"/>
                <w:sz w:val="28"/>
                <w:szCs w:val="28"/>
              </w:rPr>
            </w:pPr>
            <w:r>
              <w:rPr>
                <w:rFonts w:hint="eastAsia" w:cs="仿宋_GB2312"/>
                <w:kern w:val="0"/>
                <w:sz w:val="28"/>
                <w:szCs w:val="28"/>
              </w:rPr>
              <w:t>区机关事务管理服务中心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21</w:t>
            </w:r>
          </w:p>
        </w:tc>
        <w:tc>
          <w:tcPr>
            <w:tcW w:w="1839" w:type="dxa"/>
            <w:vAlign w:val="center"/>
          </w:tcPr>
          <w:p>
            <w:pPr>
              <w:spacing w:line="360" w:lineRule="exact"/>
              <w:jc w:val="center"/>
              <w:rPr>
                <w:rFonts w:cs="仿宋_GB2312"/>
                <w:sz w:val="28"/>
                <w:szCs w:val="28"/>
              </w:rPr>
            </w:pPr>
            <w:r>
              <w:rPr>
                <w:rFonts w:hint="eastAsia" w:cs="仿宋_GB2312"/>
                <w:sz w:val="28"/>
                <w:szCs w:val="28"/>
              </w:rPr>
              <w:t>大力推广使用可再生能源</w:t>
            </w:r>
          </w:p>
        </w:tc>
        <w:tc>
          <w:tcPr>
            <w:tcW w:w="6382" w:type="dxa"/>
            <w:vAlign w:val="center"/>
          </w:tcPr>
          <w:p>
            <w:pPr>
              <w:spacing w:line="360" w:lineRule="exact"/>
              <w:jc w:val="left"/>
              <w:rPr>
                <w:rFonts w:cs="仿宋_GB2312"/>
                <w:kern w:val="0"/>
                <w:sz w:val="28"/>
                <w:szCs w:val="28"/>
              </w:rPr>
            </w:pPr>
            <w:r>
              <w:rPr>
                <w:rFonts w:hint="eastAsia" w:cs="仿宋_GB2312"/>
                <w:kern w:val="0"/>
                <w:sz w:val="28"/>
                <w:szCs w:val="28"/>
              </w:rPr>
              <w:t>财政资金向推动可再生能源发展倾斜。</w:t>
            </w:r>
          </w:p>
          <w:p>
            <w:pPr>
              <w:spacing w:line="360" w:lineRule="exact"/>
              <w:jc w:val="left"/>
              <w:rPr>
                <w:rFonts w:cs="仿宋_GB2312"/>
                <w:kern w:val="0"/>
                <w:sz w:val="28"/>
                <w:szCs w:val="28"/>
              </w:rPr>
            </w:pPr>
            <w:r>
              <w:rPr>
                <w:rFonts w:hint="eastAsia" w:cs="仿宋_GB2312"/>
                <w:kern w:val="0"/>
                <w:sz w:val="28"/>
                <w:szCs w:val="28"/>
              </w:rPr>
              <w:t>推动可再生能源规模化利用，研究发展本地热泵、光伏系统。</w:t>
            </w:r>
          </w:p>
        </w:tc>
        <w:tc>
          <w:tcPr>
            <w:tcW w:w="1422" w:type="dxa"/>
            <w:vAlign w:val="center"/>
          </w:tcPr>
          <w:p>
            <w:pPr>
              <w:spacing w:line="300" w:lineRule="exact"/>
              <w:jc w:val="center"/>
              <w:rPr>
                <w:rFonts w:cs="仿宋_GB2312"/>
                <w:kern w:val="0"/>
                <w:sz w:val="28"/>
                <w:szCs w:val="28"/>
              </w:rPr>
            </w:pPr>
            <w:r>
              <w:rPr>
                <w:rFonts w:hint="eastAsia" w:cs="仿宋_GB2312"/>
                <w:kern w:val="0"/>
                <w:sz w:val="28"/>
                <w:szCs w:val="28"/>
              </w:rPr>
              <w:t>年底前</w:t>
            </w:r>
          </w:p>
        </w:tc>
        <w:tc>
          <w:tcPr>
            <w:tcW w:w="2268" w:type="dxa"/>
            <w:vAlign w:val="center"/>
          </w:tcPr>
          <w:p>
            <w:pPr>
              <w:spacing w:line="320" w:lineRule="exact"/>
              <w:jc w:val="center"/>
              <w:rPr>
                <w:rFonts w:cs="仿宋_GB2312"/>
                <w:kern w:val="0"/>
                <w:sz w:val="28"/>
                <w:szCs w:val="28"/>
              </w:rPr>
            </w:pPr>
            <w:r>
              <w:rPr>
                <w:rFonts w:hint="eastAsia" w:cs="仿宋_GB2312"/>
                <w:kern w:val="0"/>
                <w:sz w:val="28"/>
                <w:szCs w:val="28"/>
              </w:rPr>
              <w:t>区发改委</w:t>
            </w:r>
          </w:p>
          <w:p>
            <w:pPr>
              <w:spacing w:line="320" w:lineRule="exact"/>
              <w:jc w:val="center"/>
              <w:rPr>
                <w:rFonts w:cs="仿宋_GB2312"/>
                <w:kern w:val="0"/>
                <w:sz w:val="28"/>
                <w:szCs w:val="28"/>
              </w:rPr>
            </w:pPr>
            <w:r>
              <w:rPr>
                <w:rFonts w:hint="eastAsia" w:cs="仿宋_GB2312"/>
                <w:kern w:val="0"/>
                <w:sz w:val="28"/>
                <w:szCs w:val="28"/>
              </w:rPr>
              <w:t>区城管委</w:t>
            </w:r>
          </w:p>
        </w:tc>
        <w:tc>
          <w:tcPr>
            <w:tcW w:w="2339" w:type="dxa"/>
            <w:vAlign w:val="center"/>
          </w:tcPr>
          <w:p>
            <w:pPr>
              <w:snapToGrid w:val="0"/>
              <w:spacing w:line="320" w:lineRule="exact"/>
              <w:jc w:val="center"/>
              <w:rPr>
                <w:rFonts w:cs="仿宋_GB2312"/>
                <w:kern w:val="0"/>
                <w:sz w:val="28"/>
                <w:szCs w:val="28"/>
              </w:rPr>
            </w:pPr>
            <w:r>
              <w:rPr>
                <w:rFonts w:hint="eastAsia"/>
                <w:sz w:val="28"/>
                <w:szCs w:val="2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22</w:t>
            </w:r>
          </w:p>
        </w:tc>
        <w:tc>
          <w:tcPr>
            <w:tcW w:w="1839" w:type="dxa"/>
            <w:vAlign w:val="center"/>
          </w:tcPr>
          <w:p>
            <w:pPr>
              <w:spacing w:line="360" w:lineRule="exact"/>
              <w:jc w:val="center"/>
              <w:rPr>
                <w:rFonts w:cs="仿宋_GB2312"/>
                <w:sz w:val="28"/>
                <w:szCs w:val="28"/>
              </w:rPr>
            </w:pPr>
            <w:r>
              <w:rPr>
                <w:rFonts w:hint="eastAsia" w:cs="仿宋_GB2312"/>
                <w:sz w:val="28"/>
                <w:szCs w:val="28"/>
              </w:rPr>
              <w:t>推进燃油锅炉改电</w:t>
            </w:r>
          </w:p>
        </w:tc>
        <w:tc>
          <w:tcPr>
            <w:tcW w:w="6382" w:type="dxa"/>
            <w:vAlign w:val="center"/>
          </w:tcPr>
          <w:p>
            <w:pPr>
              <w:spacing w:line="360" w:lineRule="exact"/>
              <w:jc w:val="left"/>
              <w:rPr>
                <w:rFonts w:cs="仿宋_GB2312"/>
                <w:kern w:val="0"/>
                <w:sz w:val="28"/>
                <w:szCs w:val="28"/>
              </w:rPr>
            </w:pPr>
            <w:r>
              <w:rPr>
                <w:rFonts w:hint="eastAsia" w:cs="仿宋_GB2312"/>
                <w:kern w:val="0"/>
                <w:sz w:val="28"/>
                <w:szCs w:val="28"/>
              </w:rPr>
              <w:t>制定工作实施方案，辖区内燃油锅炉力争2年内全部改为电锅炉或热力供暖。</w:t>
            </w:r>
          </w:p>
        </w:tc>
        <w:tc>
          <w:tcPr>
            <w:tcW w:w="1422" w:type="dxa"/>
            <w:vAlign w:val="center"/>
          </w:tcPr>
          <w:p>
            <w:pPr>
              <w:spacing w:line="300" w:lineRule="exact"/>
              <w:jc w:val="center"/>
              <w:rPr>
                <w:rFonts w:cs="仿宋_GB2312"/>
                <w:kern w:val="0"/>
                <w:sz w:val="28"/>
                <w:szCs w:val="28"/>
              </w:rPr>
            </w:pPr>
            <w:r>
              <w:rPr>
                <w:rFonts w:hint="eastAsia" w:cs="仿宋_GB2312"/>
                <w:kern w:val="0"/>
                <w:sz w:val="28"/>
                <w:szCs w:val="28"/>
              </w:rPr>
              <w:t>年底前</w:t>
            </w:r>
          </w:p>
        </w:tc>
        <w:tc>
          <w:tcPr>
            <w:tcW w:w="2268" w:type="dxa"/>
            <w:vAlign w:val="center"/>
          </w:tcPr>
          <w:p>
            <w:pPr>
              <w:spacing w:line="320" w:lineRule="exact"/>
              <w:jc w:val="center"/>
              <w:rPr>
                <w:rFonts w:cs="仿宋_GB2312"/>
                <w:kern w:val="0"/>
                <w:sz w:val="28"/>
                <w:szCs w:val="28"/>
              </w:rPr>
            </w:pPr>
            <w:r>
              <w:rPr>
                <w:rFonts w:hint="eastAsia" w:cs="仿宋_GB2312"/>
                <w:kern w:val="0"/>
                <w:sz w:val="28"/>
                <w:szCs w:val="28"/>
              </w:rPr>
              <w:t>区发改委</w:t>
            </w:r>
          </w:p>
        </w:tc>
        <w:tc>
          <w:tcPr>
            <w:tcW w:w="2339" w:type="dxa"/>
            <w:vAlign w:val="center"/>
          </w:tcPr>
          <w:p>
            <w:pPr>
              <w:snapToGrid w:val="0"/>
              <w:spacing w:line="320" w:lineRule="exact"/>
              <w:jc w:val="center"/>
              <w:rPr>
                <w:sz w:val="28"/>
                <w:szCs w:val="28"/>
              </w:rPr>
            </w:pPr>
            <w:r>
              <w:rPr>
                <w:rFonts w:hint="eastAsia"/>
                <w:sz w:val="28"/>
                <w:szCs w:val="28"/>
              </w:rPr>
              <w:t>区城管委</w:t>
            </w:r>
          </w:p>
          <w:p>
            <w:pPr>
              <w:snapToGrid w:val="0"/>
              <w:spacing w:line="320" w:lineRule="exact"/>
              <w:jc w:val="center"/>
              <w:rPr>
                <w:sz w:val="28"/>
                <w:szCs w:val="28"/>
              </w:rPr>
            </w:pPr>
            <w:r>
              <w:rPr>
                <w:rFonts w:hint="eastAsia"/>
                <w:sz w:val="28"/>
                <w:szCs w:val="28"/>
              </w:rPr>
              <w:t>区生态环境局</w:t>
            </w:r>
          </w:p>
          <w:p>
            <w:pPr>
              <w:snapToGrid w:val="0"/>
              <w:spacing w:line="320" w:lineRule="exact"/>
              <w:jc w:val="center"/>
              <w:rPr>
                <w:sz w:val="28"/>
                <w:szCs w:val="28"/>
              </w:rPr>
            </w:pPr>
            <w:r>
              <w:rPr>
                <w:rFonts w:hint="eastAsia"/>
                <w:sz w:val="28"/>
                <w:szCs w:val="28"/>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23</w:t>
            </w:r>
          </w:p>
        </w:tc>
        <w:tc>
          <w:tcPr>
            <w:tcW w:w="1839" w:type="dxa"/>
            <w:vAlign w:val="center"/>
          </w:tcPr>
          <w:p>
            <w:pPr>
              <w:spacing w:line="360" w:lineRule="exact"/>
              <w:jc w:val="center"/>
              <w:rPr>
                <w:sz w:val="28"/>
                <w:szCs w:val="28"/>
              </w:rPr>
            </w:pPr>
            <w:r>
              <w:rPr>
                <w:rFonts w:hint="eastAsia" w:cs="仿宋_GB2312"/>
                <w:sz w:val="28"/>
                <w:szCs w:val="28"/>
              </w:rPr>
              <w:t>巩固平原地区“无煤化”成果</w:t>
            </w:r>
          </w:p>
        </w:tc>
        <w:tc>
          <w:tcPr>
            <w:tcW w:w="6382" w:type="dxa"/>
            <w:vAlign w:val="center"/>
          </w:tcPr>
          <w:p>
            <w:pPr>
              <w:snapToGrid w:val="0"/>
              <w:spacing w:line="320" w:lineRule="exact"/>
              <w:jc w:val="left"/>
              <w:rPr>
                <w:rFonts w:cs="仿宋_GB2312"/>
                <w:sz w:val="28"/>
                <w:szCs w:val="28"/>
              </w:rPr>
            </w:pPr>
            <w:r>
              <w:rPr>
                <w:rFonts w:hint="eastAsia" w:cs="仿宋_GB2312"/>
                <w:sz w:val="28"/>
                <w:szCs w:val="28"/>
              </w:rPr>
              <w:t>按照散煤“四禁”的要求，严厉打击经营性企业非法使用、销售燃煤行为，严防散煤复烧，巩固“无煤化”成果。</w:t>
            </w:r>
          </w:p>
        </w:tc>
        <w:tc>
          <w:tcPr>
            <w:tcW w:w="1422" w:type="dxa"/>
            <w:vAlign w:val="center"/>
          </w:tcPr>
          <w:p>
            <w:pPr>
              <w:spacing w:line="360" w:lineRule="exact"/>
              <w:jc w:val="center"/>
              <w:rPr>
                <w:sz w:val="28"/>
                <w:szCs w:val="28"/>
              </w:rPr>
            </w:pPr>
            <w:r>
              <w:rPr>
                <w:rFonts w:hint="eastAsia" w:cs="仿宋_GB2312"/>
                <w:sz w:val="28"/>
                <w:szCs w:val="28"/>
              </w:rPr>
              <w:t>供暖季前（11月</w:t>
            </w:r>
          </w:p>
          <w:p>
            <w:pPr>
              <w:spacing w:line="360" w:lineRule="exact"/>
              <w:jc w:val="center"/>
              <w:rPr>
                <w:rFonts w:cs="仿宋_GB2312"/>
                <w:sz w:val="28"/>
                <w:szCs w:val="28"/>
              </w:rPr>
            </w:pPr>
            <w:r>
              <w:rPr>
                <w:rFonts w:hint="eastAsia" w:cs="仿宋_GB2312"/>
                <w:sz w:val="28"/>
                <w:szCs w:val="28"/>
              </w:rPr>
              <w:t>15日前）</w:t>
            </w:r>
          </w:p>
        </w:tc>
        <w:tc>
          <w:tcPr>
            <w:tcW w:w="2268" w:type="dxa"/>
            <w:vAlign w:val="center"/>
          </w:tcPr>
          <w:p>
            <w:pPr>
              <w:spacing w:line="360" w:lineRule="exact"/>
              <w:jc w:val="center"/>
              <w:rPr>
                <w:rFonts w:cs="仿宋_GB2312"/>
                <w:color w:val="000000"/>
                <w:sz w:val="28"/>
                <w:szCs w:val="28"/>
              </w:rPr>
            </w:pPr>
            <w:r>
              <w:rPr>
                <w:rFonts w:hint="eastAsia" w:cs="仿宋_GB2312"/>
                <w:color w:val="000000"/>
                <w:sz w:val="28"/>
                <w:szCs w:val="28"/>
              </w:rPr>
              <w:t>区市场监管局</w:t>
            </w:r>
          </w:p>
          <w:p>
            <w:pPr>
              <w:spacing w:line="360" w:lineRule="exact"/>
              <w:jc w:val="center"/>
              <w:rPr>
                <w:rFonts w:cs="仿宋_GB2312"/>
                <w:color w:val="000000"/>
                <w:sz w:val="28"/>
                <w:szCs w:val="28"/>
              </w:rPr>
            </w:pPr>
            <w:r>
              <w:rPr>
                <w:rFonts w:hint="eastAsia" w:cs="仿宋_GB2312"/>
                <w:color w:val="000000"/>
                <w:sz w:val="28"/>
                <w:szCs w:val="28"/>
              </w:rPr>
              <w:t>区城管委</w:t>
            </w:r>
          </w:p>
          <w:p>
            <w:pPr>
              <w:spacing w:line="360" w:lineRule="exact"/>
              <w:jc w:val="center"/>
              <w:rPr>
                <w:rFonts w:cs="仿宋_GB2312"/>
                <w:color w:val="000000"/>
                <w:sz w:val="28"/>
                <w:szCs w:val="28"/>
              </w:rPr>
            </w:pPr>
            <w:r>
              <w:rPr>
                <w:rFonts w:hint="eastAsia" w:cs="仿宋_GB2312"/>
                <w:color w:val="000000"/>
                <w:sz w:val="28"/>
                <w:szCs w:val="28"/>
              </w:rPr>
              <w:t>各街道（地区）</w:t>
            </w:r>
          </w:p>
        </w:tc>
        <w:tc>
          <w:tcPr>
            <w:tcW w:w="2339" w:type="dxa"/>
            <w:vAlign w:val="center"/>
          </w:tcPr>
          <w:p>
            <w:pPr>
              <w:spacing w:line="360" w:lineRule="exact"/>
              <w:ind w:left="-160" w:leftChars="-50" w:right="-160" w:rightChars="-50"/>
              <w:jc w:val="center"/>
              <w:rPr>
                <w:rFonts w:cs="仿宋_GB2312"/>
                <w:color w:val="000000"/>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91" w:type="dxa"/>
            <w:gridSpan w:val="6"/>
            <w:vAlign w:val="center"/>
          </w:tcPr>
          <w:p>
            <w:pPr>
              <w:widowControl/>
              <w:jc w:val="center"/>
              <w:rPr>
                <w:sz w:val="28"/>
                <w:szCs w:val="28"/>
              </w:rPr>
            </w:pPr>
            <w:r>
              <w:rPr>
                <w:rFonts w:hint="eastAsia" w:ascii="黑体" w:hAnsi="黑体" w:eastAsia="黑体"/>
                <w:sz w:val="28"/>
                <w:szCs w:val="28"/>
              </w:rPr>
              <w:t>五、提升城市环境精细化管控水平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24</w:t>
            </w:r>
          </w:p>
        </w:tc>
        <w:tc>
          <w:tcPr>
            <w:tcW w:w="1839" w:type="dxa"/>
            <w:vAlign w:val="center"/>
          </w:tcPr>
          <w:p>
            <w:pPr>
              <w:spacing w:line="360" w:lineRule="exact"/>
              <w:jc w:val="center"/>
              <w:rPr>
                <w:rFonts w:cs="仿宋_GB2312"/>
                <w:sz w:val="28"/>
                <w:szCs w:val="28"/>
              </w:rPr>
            </w:pPr>
            <w:r>
              <w:rPr>
                <w:rFonts w:hint="eastAsia" w:cs="仿宋_GB2312"/>
                <w:sz w:val="28"/>
                <w:szCs w:val="28"/>
              </w:rPr>
              <w:t>氮氧化物总量减排</w:t>
            </w:r>
          </w:p>
        </w:tc>
        <w:tc>
          <w:tcPr>
            <w:tcW w:w="6382" w:type="dxa"/>
            <w:vAlign w:val="center"/>
          </w:tcPr>
          <w:p>
            <w:pPr>
              <w:spacing w:line="320" w:lineRule="exact"/>
              <w:rPr>
                <w:rFonts w:cs="仿宋_GB2312"/>
                <w:sz w:val="28"/>
                <w:szCs w:val="28"/>
              </w:rPr>
            </w:pPr>
            <w:r>
              <w:rPr>
                <w:rFonts w:hint="eastAsia" w:cs="仿宋_GB2312"/>
                <w:sz w:val="28"/>
                <w:szCs w:val="28"/>
              </w:rPr>
              <w:t>完成国家和本市减排目标要求。</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4607" w:type="dxa"/>
            <w:gridSpan w:val="2"/>
            <w:vAlign w:val="center"/>
          </w:tcPr>
          <w:p>
            <w:pPr>
              <w:spacing w:line="360" w:lineRule="exact"/>
              <w:jc w:val="center"/>
              <w:rPr>
                <w:rFonts w:cs="仿宋_GB2312"/>
                <w:color w:val="000000"/>
                <w:sz w:val="28"/>
                <w:szCs w:val="28"/>
              </w:rPr>
            </w:pPr>
            <w:r>
              <w:rPr>
                <w:rFonts w:hint="eastAsia" w:cs="仿宋_GB2312"/>
                <w:color w:val="000000"/>
                <w:sz w:val="28"/>
                <w:szCs w:val="28"/>
              </w:rPr>
              <w:t>区委生态文明委大气污染综合治理及应对气候变化工作小组成员单位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41" w:type="dxa"/>
            <w:vMerge w:val="restart"/>
            <w:vAlign w:val="center"/>
          </w:tcPr>
          <w:p>
            <w:pPr>
              <w:spacing w:line="360" w:lineRule="exact"/>
              <w:jc w:val="center"/>
              <w:rPr>
                <w:rFonts w:cs="仿宋_GB2312"/>
                <w:sz w:val="28"/>
                <w:szCs w:val="28"/>
              </w:rPr>
            </w:pPr>
            <w:r>
              <w:rPr>
                <w:rFonts w:hint="eastAsia" w:cs="仿宋_GB2312"/>
                <w:sz w:val="28"/>
                <w:szCs w:val="28"/>
              </w:rPr>
              <w:t>25</w:t>
            </w:r>
          </w:p>
        </w:tc>
        <w:tc>
          <w:tcPr>
            <w:tcW w:w="1839" w:type="dxa"/>
            <w:vMerge w:val="restart"/>
            <w:vAlign w:val="center"/>
          </w:tcPr>
          <w:p>
            <w:pPr>
              <w:spacing w:line="360" w:lineRule="exact"/>
              <w:jc w:val="center"/>
              <w:rPr>
                <w:rFonts w:cs="仿宋_GB2312"/>
                <w:sz w:val="28"/>
                <w:szCs w:val="28"/>
              </w:rPr>
            </w:pPr>
            <w:r>
              <w:rPr>
                <w:rFonts w:hint="eastAsia" w:cs="仿宋_GB2312"/>
                <w:sz w:val="28"/>
                <w:szCs w:val="28"/>
              </w:rPr>
              <w:t>严控</w:t>
            </w:r>
          </w:p>
          <w:p>
            <w:pPr>
              <w:spacing w:line="360" w:lineRule="exact"/>
              <w:jc w:val="center"/>
              <w:rPr>
                <w:sz w:val="28"/>
                <w:szCs w:val="28"/>
              </w:rPr>
            </w:pPr>
            <w:r>
              <w:rPr>
                <w:rFonts w:hint="eastAsia" w:cs="仿宋_GB2312"/>
                <w:sz w:val="28"/>
                <w:szCs w:val="28"/>
              </w:rPr>
              <w:t>降尘量</w:t>
            </w:r>
          </w:p>
        </w:tc>
        <w:tc>
          <w:tcPr>
            <w:tcW w:w="6382" w:type="dxa"/>
            <w:vAlign w:val="center"/>
          </w:tcPr>
          <w:p>
            <w:pPr>
              <w:spacing w:line="320" w:lineRule="exact"/>
              <w:jc w:val="left"/>
              <w:rPr>
                <w:rFonts w:cs="仿宋_GB2312"/>
                <w:sz w:val="28"/>
                <w:szCs w:val="28"/>
              </w:rPr>
            </w:pPr>
            <w:r>
              <w:rPr>
                <w:rFonts w:hint="eastAsia" w:cs="仿宋_GB2312"/>
                <w:sz w:val="28"/>
                <w:szCs w:val="28"/>
              </w:rPr>
              <w:t>全区降尘量控制在5.0吨/平方公里·月以下，力争同比2020年继续下降。</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4607" w:type="dxa"/>
            <w:gridSpan w:val="2"/>
            <w:vAlign w:val="center"/>
          </w:tcPr>
          <w:p>
            <w:pPr>
              <w:spacing w:line="360" w:lineRule="exact"/>
              <w:jc w:val="center"/>
              <w:rPr>
                <w:rFonts w:cs="仿宋_GB2312"/>
                <w:color w:val="000000"/>
                <w:sz w:val="28"/>
                <w:szCs w:val="28"/>
              </w:rPr>
            </w:pPr>
            <w:r>
              <w:rPr>
                <w:rFonts w:hint="eastAsia" w:cs="仿宋_GB2312"/>
                <w:color w:val="000000"/>
                <w:sz w:val="28"/>
                <w:szCs w:val="28"/>
              </w:rPr>
              <w:t>区委生态文明委大气污染综合治理及应对气候变化工作小组成员单位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41" w:type="dxa"/>
            <w:vMerge w:val="continue"/>
            <w:vAlign w:val="center"/>
          </w:tcPr>
          <w:p>
            <w:pPr>
              <w:spacing w:line="360" w:lineRule="exact"/>
              <w:jc w:val="center"/>
              <w:rPr>
                <w:rFonts w:cs="仿宋_GB2312"/>
                <w:sz w:val="28"/>
                <w:szCs w:val="28"/>
              </w:rPr>
            </w:pPr>
          </w:p>
        </w:tc>
        <w:tc>
          <w:tcPr>
            <w:tcW w:w="1839" w:type="dxa"/>
            <w:vMerge w:val="continue"/>
            <w:vAlign w:val="center"/>
          </w:tcPr>
          <w:p>
            <w:pPr>
              <w:spacing w:line="360" w:lineRule="exact"/>
              <w:jc w:val="center"/>
              <w:rPr>
                <w:rFonts w:cs="仿宋_GB2312"/>
                <w:sz w:val="28"/>
                <w:szCs w:val="28"/>
              </w:rPr>
            </w:pPr>
          </w:p>
        </w:tc>
        <w:tc>
          <w:tcPr>
            <w:tcW w:w="6382" w:type="dxa"/>
            <w:vAlign w:val="center"/>
          </w:tcPr>
          <w:p>
            <w:pPr>
              <w:spacing w:line="320" w:lineRule="exact"/>
              <w:jc w:val="left"/>
              <w:rPr>
                <w:rFonts w:cs="仿宋_GB2312"/>
                <w:sz w:val="28"/>
                <w:szCs w:val="28"/>
              </w:rPr>
            </w:pPr>
            <w:r>
              <w:rPr>
                <w:rFonts w:hint="eastAsia" w:cs="仿宋_GB2312"/>
                <w:sz w:val="28"/>
                <w:szCs w:val="28"/>
              </w:rPr>
              <w:t>各街道（地区）降尘量控制在5.0吨/平方公里·月以内，力争同比2020年继续下降。</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color w:val="000000"/>
                <w:sz w:val="28"/>
                <w:szCs w:val="28"/>
              </w:rPr>
            </w:pPr>
            <w:r>
              <w:rPr>
                <w:rFonts w:hint="eastAsia" w:cs="仿宋_GB2312"/>
                <w:color w:val="000000"/>
                <w:sz w:val="28"/>
                <w:szCs w:val="28"/>
              </w:rPr>
              <w:t>各街道（地区）</w:t>
            </w:r>
          </w:p>
        </w:tc>
        <w:tc>
          <w:tcPr>
            <w:tcW w:w="2339" w:type="dxa"/>
            <w:vAlign w:val="center"/>
          </w:tcPr>
          <w:p>
            <w:pPr>
              <w:spacing w:line="360" w:lineRule="exact"/>
              <w:jc w:val="center"/>
              <w:rPr>
                <w:rFonts w:cs="仿宋_GB2312"/>
                <w:color w:val="000000"/>
                <w:sz w:val="28"/>
                <w:szCs w:val="28"/>
              </w:rPr>
            </w:pPr>
            <w:r>
              <w:rPr>
                <w:rFonts w:hint="eastAsia" w:cs="仿宋_GB2312"/>
                <w:color w:val="000000"/>
                <w:sz w:val="28"/>
                <w:szCs w:val="28"/>
              </w:rPr>
              <w:t>区园林绿化局</w:t>
            </w:r>
          </w:p>
          <w:p>
            <w:pPr>
              <w:spacing w:line="360" w:lineRule="exact"/>
              <w:jc w:val="center"/>
              <w:rPr>
                <w:rFonts w:cs="仿宋_GB2312"/>
                <w:color w:val="000000"/>
                <w:sz w:val="28"/>
                <w:szCs w:val="28"/>
              </w:rPr>
            </w:pPr>
            <w:r>
              <w:rPr>
                <w:rFonts w:hint="eastAsia" w:cs="仿宋_GB2312"/>
                <w:color w:val="000000"/>
                <w:sz w:val="28"/>
                <w:szCs w:val="28"/>
              </w:rPr>
              <w:t>区住建委</w:t>
            </w:r>
          </w:p>
          <w:p>
            <w:pPr>
              <w:spacing w:line="360" w:lineRule="exact"/>
              <w:jc w:val="center"/>
              <w:rPr>
                <w:rFonts w:cs="仿宋_GB2312"/>
                <w:color w:val="000000"/>
                <w:sz w:val="28"/>
                <w:szCs w:val="28"/>
              </w:rPr>
            </w:pPr>
            <w:r>
              <w:rPr>
                <w:rFonts w:hint="eastAsia" w:cs="仿宋_GB2312"/>
                <w:color w:val="000000"/>
                <w:sz w:val="28"/>
                <w:szCs w:val="28"/>
              </w:rPr>
              <w:t>区城管委</w:t>
            </w:r>
          </w:p>
          <w:p>
            <w:pPr>
              <w:spacing w:line="360" w:lineRule="exact"/>
              <w:jc w:val="center"/>
              <w:rPr>
                <w:rFonts w:cs="仿宋_GB2312"/>
                <w:color w:val="000000"/>
                <w:sz w:val="28"/>
                <w:szCs w:val="28"/>
              </w:rPr>
            </w:pPr>
            <w:r>
              <w:rPr>
                <w:rFonts w:hint="eastAsia" w:cs="仿宋_GB2312"/>
                <w:color w:val="000000"/>
                <w:sz w:val="28"/>
                <w:szCs w:val="28"/>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741" w:type="dxa"/>
            <w:vMerge w:val="restart"/>
            <w:vAlign w:val="center"/>
          </w:tcPr>
          <w:p>
            <w:pPr>
              <w:spacing w:line="360" w:lineRule="exact"/>
              <w:jc w:val="center"/>
              <w:rPr>
                <w:rFonts w:cs="仿宋_GB2312"/>
                <w:sz w:val="28"/>
                <w:szCs w:val="28"/>
              </w:rPr>
            </w:pPr>
            <w:r>
              <w:rPr>
                <w:rFonts w:hint="eastAsia" w:cs="仿宋_GB2312"/>
                <w:sz w:val="28"/>
                <w:szCs w:val="28"/>
              </w:rPr>
              <w:t>26</w:t>
            </w:r>
          </w:p>
        </w:tc>
        <w:tc>
          <w:tcPr>
            <w:tcW w:w="1839" w:type="dxa"/>
            <w:vMerge w:val="restart"/>
            <w:vAlign w:val="center"/>
          </w:tcPr>
          <w:p>
            <w:pPr>
              <w:spacing w:line="360" w:lineRule="exact"/>
              <w:jc w:val="center"/>
              <w:rPr>
                <w:rFonts w:cs="仿宋_GB2312"/>
                <w:sz w:val="28"/>
                <w:szCs w:val="28"/>
              </w:rPr>
            </w:pPr>
            <w:r>
              <w:rPr>
                <w:rFonts w:hint="eastAsia" w:cs="仿宋_GB2312"/>
                <w:sz w:val="28"/>
                <w:szCs w:val="28"/>
              </w:rPr>
              <w:t>强化裸地扬尘管控</w:t>
            </w:r>
          </w:p>
        </w:tc>
        <w:tc>
          <w:tcPr>
            <w:tcW w:w="6382" w:type="dxa"/>
            <w:vAlign w:val="center"/>
          </w:tcPr>
          <w:p>
            <w:pPr>
              <w:spacing w:line="320" w:lineRule="exact"/>
              <w:jc w:val="left"/>
              <w:rPr>
                <w:rFonts w:cs="仿宋_GB2312"/>
                <w:sz w:val="28"/>
                <w:szCs w:val="28"/>
              </w:rPr>
            </w:pPr>
            <w:r>
              <w:rPr>
                <w:rFonts w:hint="eastAsia" w:cs="仿宋_GB2312"/>
                <w:sz w:val="28"/>
                <w:szCs w:val="28"/>
              </w:rPr>
              <w:t>强化园林绿地扬尘管控。研究本地适宜的生物覆盖方式，组织科学实施秋冬季园林绿地中裸露地面的生态治理，定期开展督导检查，有效管控裸地。公园建设实行分区域施工和覆盖，及时开展林下植被种植。公园及绿化用地养护工作中，避免不规范操作造成扬尘污染。</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color w:val="000000"/>
                <w:sz w:val="28"/>
                <w:szCs w:val="28"/>
              </w:rPr>
            </w:pPr>
            <w:r>
              <w:rPr>
                <w:rFonts w:hint="eastAsia" w:cs="仿宋_GB2312"/>
                <w:sz w:val="28"/>
                <w:szCs w:val="28"/>
              </w:rPr>
              <w:t>区园林绿化局</w:t>
            </w:r>
          </w:p>
        </w:tc>
        <w:tc>
          <w:tcPr>
            <w:tcW w:w="2339" w:type="dxa"/>
            <w:vAlign w:val="center"/>
          </w:tcPr>
          <w:p>
            <w:pPr>
              <w:spacing w:line="360" w:lineRule="exact"/>
              <w:jc w:val="center"/>
              <w:rPr>
                <w:rFonts w:cs="仿宋_GB2312"/>
                <w:color w:val="000000"/>
                <w:sz w:val="28"/>
                <w:szCs w:val="28"/>
              </w:rPr>
            </w:pPr>
            <w:r>
              <w:rPr>
                <w:rFonts w:hint="eastAsia"/>
                <w:sz w:val="28"/>
                <w:szCs w:val="28"/>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741" w:type="dxa"/>
            <w:vMerge w:val="continue"/>
            <w:vAlign w:val="center"/>
          </w:tcPr>
          <w:p>
            <w:pPr>
              <w:jc w:val="center"/>
            </w:pPr>
          </w:p>
        </w:tc>
        <w:tc>
          <w:tcPr>
            <w:tcW w:w="1839" w:type="dxa"/>
            <w:vMerge w:val="continue"/>
            <w:vAlign w:val="center"/>
          </w:tcPr>
          <w:p>
            <w:pPr>
              <w:jc w:val="center"/>
            </w:pPr>
          </w:p>
        </w:tc>
        <w:tc>
          <w:tcPr>
            <w:tcW w:w="6382" w:type="dxa"/>
            <w:vAlign w:val="center"/>
          </w:tcPr>
          <w:p>
            <w:pPr>
              <w:spacing w:line="320" w:lineRule="exact"/>
              <w:jc w:val="left"/>
              <w:rPr>
                <w:rFonts w:cs="仿宋_GB2312"/>
                <w:sz w:val="28"/>
                <w:szCs w:val="28"/>
              </w:rPr>
            </w:pPr>
            <w:r>
              <w:rPr>
                <w:rFonts w:hint="eastAsia" w:cs="仿宋_GB2312"/>
                <w:sz w:val="28"/>
                <w:szCs w:val="28"/>
              </w:rPr>
              <w:t>街道定期更新台账，包括裸地、“小微工程”、拆迁拆违、架空线入地工程等，按照绿色施工标准，做好扬尘精细化管理。</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sz w:val="28"/>
                <w:szCs w:val="28"/>
              </w:rPr>
            </w:pPr>
            <w:r>
              <w:rPr>
                <w:rFonts w:hint="eastAsia" w:cs="仿宋_GB2312"/>
                <w:sz w:val="28"/>
                <w:szCs w:val="28"/>
              </w:rPr>
              <w:t>各街道(地区)</w:t>
            </w:r>
          </w:p>
        </w:tc>
        <w:tc>
          <w:tcPr>
            <w:tcW w:w="2339" w:type="dxa"/>
            <w:vAlign w:val="center"/>
          </w:tcPr>
          <w:p>
            <w:pPr>
              <w:spacing w:line="360" w:lineRule="exact"/>
              <w:ind w:left="-160" w:leftChars="-50" w:right="-160" w:rightChars="-50"/>
              <w:jc w:val="center"/>
              <w:rPr>
                <w:rFonts w:cs="仿宋_GB2312"/>
                <w:sz w:val="28"/>
                <w:szCs w:val="28"/>
              </w:rPr>
            </w:pPr>
            <w:r>
              <w:rPr>
                <w:rFonts w:hint="eastAsia" w:cs="仿宋_GB2312"/>
                <w:sz w:val="28"/>
                <w:szCs w:val="28"/>
              </w:rPr>
              <w:t>区住建委</w:t>
            </w:r>
          </w:p>
          <w:p>
            <w:pPr>
              <w:spacing w:line="360" w:lineRule="exact"/>
              <w:ind w:left="-160" w:leftChars="-50" w:right="-160" w:rightChars="-50"/>
              <w:jc w:val="center"/>
              <w:rPr>
                <w:rFonts w:cs="仿宋_GB2312"/>
                <w:sz w:val="28"/>
                <w:szCs w:val="28"/>
              </w:rPr>
            </w:pPr>
            <w:r>
              <w:rPr>
                <w:rFonts w:hint="eastAsia" w:cs="仿宋_GB2312"/>
                <w:sz w:val="28"/>
                <w:szCs w:val="28"/>
              </w:rPr>
              <w:t>区城管委</w:t>
            </w:r>
          </w:p>
          <w:p>
            <w:pPr>
              <w:spacing w:line="360" w:lineRule="exact"/>
              <w:jc w:val="center"/>
              <w:rPr>
                <w:rFonts w:cs="仿宋_GB2312"/>
                <w:sz w:val="28"/>
                <w:szCs w:val="28"/>
              </w:rPr>
            </w:pPr>
            <w:r>
              <w:rPr>
                <w:rFonts w:hint="eastAsia" w:cs="仿宋_GB2312"/>
                <w:sz w:val="28"/>
                <w:szCs w:val="28"/>
              </w:rPr>
              <w:t>东城规自分局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27</w:t>
            </w:r>
          </w:p>
        </w:tc>
        <w:tc>
          <w:tcPr>
            <w:tcW w:w="1839" w:type="dxa"/>
            <w:vAlign w:val="center"/>
          </w:tcPr>
          <w:p>
            <w:pPr>
              <w:spacing w:line="360" w:lineRule="exact"/>
              <w:jc w:val="center"/>
              <w:rPr>
                <w:rFonts w:cs="仿宋_GB2312"/>
                <w:sz w:val="28"/>
                <w:szCs w:val="28"/>
              </w:rPr>
            </w:pPr>
            <w:r>
              <w:rPr>
                <w:rFonts w:hint="eastAsia" w:cs="仿宋_GB2312"/>
                <w:sz w:val="28"/>
                <w:szCs w:val="28"/>
              </w:rPr>
              <w:t>强化道路扬尘管控</w:t>
            </w:r>
          </w:p>
        </w:tc>
        <w:tc>
          <w:tcPr>
            <w:tcW w:w="6382" w:type="dxa"/>
            <w:vAlign w:val="center"/>
          </w:tcPr>
          <w:p>
            <w:pPr>
              <w:spacing w:line="320" w:lineRule="exact"/>
              <w:jc w:val="left"/>
              <w:rPr>
                <w:rFonts w:cs="仿宋_GB2312"/>
                <w:sz w:val="28"/>
                <w:szCs w:val="28"/>
              </w:rPr>
            </w:pPr>
            <w:r>
              <w:rPr>
                <w:rFonts w:hint="eastAsia" w:cs="仿宋_GB2312"/>
                <w:sz w:val="28"/>
                <w:szCs w:val="28"/>
              </w:rPr>
              <w:t>提升道路清扫保洁水平。基本实现全区道路机械化清扫保洁，提升公共区域清扫保洁水平。拓展道路尘负荷及道路尘土残存量检测范围，及时通报考核结果，完善以道路清扫保洁效果为导向的考核体系。</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sz w:val="28"/>
                <w:szCs w:val="28"/>
              </w:rPr>
            </w:pPr>
            <w:r>
              <w:rPr>
                <w:rFonts w:hint="eastAsia" w:cs="仿宋_GB2312"/>
                <w:sz w:val="28"/>
                <w:szCs w:val="28"/>
              </w:rPr>
              <w:t>区城管委</w:t>
            </w:r>
          </w:p>
          <w:p>
            <w:pPr>
              <w:spacing w:line="360" w:lineRule="exact"/>
              <w:jc w:val="center"/>
              <w:rPr>
                <w:rFonts w:cs="仿宋_GB2312"/>
                <w:sz w:val="28"/>
                <w:szCs w:val="28"/>
              </w:rPr>
            </w:pPr>
            <w:r>
              <w:rPr>
                <w:rFonts w:hint="eastAsia" w:cs="仿宋_GB2312"/>
                <w:sz w:val="28"/>
                <w:szCs w:val="28"/>
              </w:rPr>
              <w:t>区环卫中心</w:t>
            </w:r>
          </w:p>
          <w:p>
            <w:pPr>
              <w:spacing w:line="360" w:lineRule="exact"/>
              <w:jc w:val="center"/>
              <w:rPr>
                <w:rFonts w:cs="仿宋_GB2312"/>
                <w:sz w:val="28"/>
                <w:szCs w:val="28"/>
              </w:rPr>
            </w:pPr>
            <w:r>
              <w:rPr>
                <w:rFonts w:hint="eastAsia" w:cs="仿宋_GB2312"/>
                <w:sz w:val="28"/>
                <w:szCs w:val="28"/>
              </w:rPr>
              <w:t>各街道（地区）</w:t>
            </w:r>
          </w:p>
        </w:tc>
        <w:tc>
          <w:tcPr>
            <w:tcW w:w="2339" w:type="dxa"/>
            <w:vAlign w:val="center"/>
          </w:tcPr>
          <w:p>
            <w:pPr>
              <w:spacing w:line="360" w:lineRule="exact"/>
              <w:jc w:val="center"/>
              <w:rPr>
                <w:rFonts w:cs="仿宋_GB2312"/>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741" w:type="dxa"/>
            <w:vMerge w:val="restart"/>
            <w:vAlign w:val="center"/>
          </w:tcPr>
          <w:p>
            <w:pPr>
              <w:spacing w:line="360" w:lineRule="exact"/>
              <w:jc w:val="center"/>
              <w:rPr>
                <w:sz w:val="28"/>
                <w:szCs w:val="28"/>
              </w:rPr>
            </w:pPr>
            <w:r>
              <w:rPr>
                <w:rFonts w:hint="eastAsia" w:cs="仿宋_GB2312"/>
                <w:sz w:val="28"/>
                <w:szCs w:val="28"/>
              </w:rPr>
              <w:t>28</w:t>
            </w:r>
          </w:p>
        </w:tc>
        <w:tc>
          <w:tcPr>
            <w:tcW w:w="1839" w:type="dxa"/>
            <w:vMerge w:val="restart"/>
            <w:vAlign w:val="center"/>
          </w:tcPr>
          <w:p>
            <w:pPr>
              <w:spacing w:line="360" w:lineRule="exact"/>
              <w:jc w:val="center"/>
              <w:rPr>
                <w:sz w:val="28"/>
                <w:szCs w:val="28"/>
              </w:rPr>
            </w:pPr>
            <w:r>
              <w:rPr>
                <w:rFonts w:hint="eastAsia" w:cs="仿宋_GB2312"/>
                <w:sz w:val="28"/>
                <w:szCs w:val="28"/>
              </w:rPr>
              <w:t>强化施工扬尘精细化管控</w:t>
            </w:r>
          </w:p>
        </w:tc>
        <w:tc>
          <w:tcPr>
            <w:tcW w:w="6382" w:type="dxa"/>
            <w:vAlign w:val="center"/>
          </w:tcPr>
          <w:p>
            <w:pPr>
              <w:spacing w:line="360" w:lineRule="exact"/>
              <w:ind w:right="-160" w:rightChars="-50"/>
              <w:jc w:val="left"/>
              <w:rPr>
                <w:rFonts w:cs="仿宋_GB2312"/>
                <w:sz w:val="28"/>
                <w:szCs w:val="28"/>
              </w:rPr>
            </w:pPr>
            <w:r>
              <w:rPr>
                <w:rFonts w:hint="eastAsia" w:cs="仿宋_GB2312"/>
                <w:sz w:val="28"/>
                <w:szCs w:val="28"/>
              </w:rPr>
              <w:t>区住建委做好施工工地扬尘智能化视频监管平台日常管理，实现监控信息在各行业主管部门及各街道（地区）共享。相关行业主管部门组织做好本行业工地视频监控设备正确安装及管理，确保数据信号及时接入平台。各行业主管部门及街道充分利用扬尘视频监管平台，加大巡查频次，保证平台使用效能。</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sz w:val="28"/>
                <w:szCs w:val="28"/>
              </w:rPr>
            </w:pPr>
            <w:r>
              <w:rPr>
                <w:rFonts w:hint="eastAsia" w:cs="仿宋_GB2312"/>
                <w:sz w:val="28"/>
                <w:szCs w:val="28"/>
              </w:rPr>
              <w:t>区住建委</w:t>
            </w:r>
          </w:p>
          <w:p>
            <w:pPr>
              <w:spacing w:line="360" w:lineRule="exact"/>
              <w:jc w:val="center"/>
              <w:rPr>
                <w:rFonts w:cs="仿宋_GB2312"/>
                <w:sz w:val="28"/>
                <w:szCs w:val="28"/>
              </w:rPr>
            </w:pPr>
            <w:r>
              <w:rPr>
                <w:rFonts w:hint="eastAsia" w:cs="仿宋_GB2312"/>
                <w:sz w:val="28"/>
                <w:szCs w:val="28"/>
              </w:rPr>
              <w:t>区城管委</w:t>
            </w:r>
          </w:p>
          <w:p>
            <w:pPr>
              <w:spacing w:line="360" w:lineRule="exact"/>
              <w:jc w:val="center"/>
              <w:rPr>
                <w:rFonts w:cs="仿宋_GB2312"/>
                <w:sz w:val="28"/>
                <w:szCs w:val="28"/>
              </w:rPr>
            </w:pPr>
            <w:r>
              <w:rPr>
                <w:rFonts w:hint="eastAsia" w:cs="仿宋_GB2312"/>
                <w:sz w:val="28"/>
                <w:szCs w:val="28"/>
              </w:rPr>
              <w:t>区园林绿化局</w:t>
            </w:r>
          </w:p>
          <w:p>
            <w:pPr>
              <w:spacing w:line="360" w:lineRule="exact"/>
              <w:jc w:val="center"/>
              <w:rPr>
                <w:rFonts w:cs="仿宋_GB2312"/>
                <w:sz w:val="28"/>
                <w:szCs w:val="28"/>
              </w:rPr>
            </w:pPr>
            <w:r>
              <w:rPr>
                <w:rFonts w:hint="eastAsia" w:cs="仿宋_GB2312"/>
                <w:sz w:val="28"/>
                <w:szCs w:val="28"/>
              </w:rPr>
              <w:t>各街道（地区）</w:t>
            </w:r>
          </w:p>
        </w:tc>
        <w:tc>
          <w:tcPr>
            <w:tcW w:w="2339" w:type="dxa"/>
            <w:vAlign w:val="center"/>
          </w:tcPr>
          <w:p>
            <w:pPr>
              <w:widowControl/>
              <w:jc w:val="center"/>
              <w:rPr>
                <w:sz w:val="28"/>
                <w:szCs w:val="28"/>
              </w:rPr>
            </w:pPr>
            <w:r>
              <w:rPr>
                <w:rFonts w:hint="eastAsia" w:cs="仿宋_GB2312"/>
                <w:color w:val="000000"/>
                <w:sz w:val="28"/>
                <w:szCs w:val="28"/>
              </w:rPr>
              <w:t>区科信局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jc w:val="center"/>
        </w:trPr>
        <w:tc>
          <w:tcPr>
            <w:tcW w:w="741" w:type="dxa"/>
            <w:vMerge w:val="continue"/>
            <w:vAlign w:val="center"/>
          </w:tcPr>
          <w:p>
            <w:pPr>
              <w:widowControl/>
              <w:jc w:val="left"/>
              <w:rPr>
                <w:sz w:val="28"/>
                <w:szCs w:val="28"/>
              </w:rPr>
            </w:pPr>
          </w:p>
        </w:tc>
        <w:tc>
          <w:tcPr>
            <w:tcW w:w="1839" w:type="dxa"/>
            <w:vMerge w:val="continue"/>
            <w:vAlign w:val="center"/>
          </w:tcPr>
          <w:p>
            <w:pPr>
              <w:spacing w:line="360" w:lineRule="exact"/>
              <w:ind w:left="-160" w:leftChars="-50" w:right="-160" w:rightChars="-50"/>
              <w:jc w:val="center"/>
              <w:rPr>
                <w:sz w:val="28"/>
                <w:szCs w:val="28"/>
              </w:rPr>
            </w:pPr>
          </w:p>
        </w:tc>
        <w:tc>
          <w:tcPr>
            <w:tcW w:w="6382" w:type="dxa"/>
            <w:vAlign w:val="center"/>
          </w:tcPr>
          <w:p>
            <w:pPr>
              <w:spacing w:line="360" w:lineRule="exact"/>
              <w:ind w:right="83" w:rightChars="26"/>
              <w:rPr>
                <w:rFonts w:cs="仿宋_GB2312"/>
                <w:sz w:val="28"/>
                <w:szCs w:val="28"/>
              </w:rPr>
            </w:pPr>
            <w:r>
              <w:rPr>
                <w:rFonts w:hint="eastAsia" w:cs="仿宋_GB2312"/>
                <w:sz w:val="28"/>
                <w:szCs w:val="28"/>
              </w:rPr>
              <w:t>区城管委组织实行渣土车闭环管理，用好电子监控设备等多种手段，依法严厉查处未密闭运输、道路泄漏遗撒的车辆所有人及涉事企业。严格落实《北京市建筑垃圾处置管理规定》，强化扬尘管控要求。</w:t>
            </w:r>
          </w:p>
          <w:p>
            <w:pPr>
              <w:spacing w:line="360" w:lineRule="exact"/>
              <w:ind w:right="83" w:rightChars="26"/>
              <w:rPr>
                <w:rFonts w:cs="仿宋_GB2312"/>
                <w:sz w:val="28"/>
                <w:szCs w:val="28"/>
              </w:rPr>
            </w:pPr>
            <w:r>
              <w:rPr>
                <w:rFonts w:hint="eastAsia" w:cs="仿宋_GB2312"/>
                <w:sz w:val="28"/>
                <w:szCs w:val="28"/>
              </w:rPr>
              <w:t>区住建委督促施工方提前规划渣土运输路线，确保渣土车以最短线路驶离东城区；继续组织安装渣土运输车辆车牌识别与洗轮机监测功能视频监控设备，并实现与渣土车管理平台联通。</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ind w:left="-160" w:leftChars="-50" w:right="-160" w:rightChars="-50"/>
              <w:jc w:val="center"/>
              <w:rPr>
                <w:rFonts w:cs="仿宋_GB2312"/>
                <w:sz w:val="28"/>
                <w:szCs w:val="28"/>
              </w:rPr>
            </w:pPr>
            <w:r>
              <w:rPr>
                <w:rFonts w:hint="eastAsia" w:cs="仿宋_GB2312"/>
                <w:sz w:val="28"/>
                <w:szCs w:val="28"/>
              </w:rPr>
              <w:t>区城管委</w:t>
            </w:r>
          </w:p>
          <w:p>
            <w:pPr>
              <w:spacing w:line="360" w:lineRule="exact"/>
              <w:ind w:left="-160" w:leftChars="-50" w:right="-160" w:rightChars="-50"/>
              <w:jc w:val="center"/>
              <w:rPr>
                <w:rFonts w:cs="仿宋_GB2312"/>
                <w:sz w:val="28"/>
                <w:szCs w:val="28"/>
              </w:rPr>
            </w:pPr>
            <w:r>
              <w:rPr>
                <w:rFonts w:hint="eastAsia" w:cs="仿宋_GB2312"/>
                <w:sz w:val="28"/>
                <w:szCs w:val="28"/>
              </w:rPr>
              <w:t>区住建委</w:t>
            </w:r>
          </w:p>
          <w:p>
            <w:pPr>
              <w:spacing w:line="360" w:lineRule="exact"/>
              <w:ind w:left="-160" w:leftChars="-50" w:right="-160" w:rightChars="-50"/>
              <w:jc w:val="center"/>
              <w:rPr>
                <w:rFonts w:cs="仿宋_GB2312"/>
                <w:sz w:val="28"/>
                <w:szCs w:val="28"/>
              </w:rPr>
            </w:pPr>
            <w:r>
              <w:rPr>
                <w:rFonts w:hint="eastAsia" w:cs="仿宋_GB2312"/>
                <w:sz w:val="28"/>
                <w:szCs w:val="28"/>
              </w:rPr>
              <w:t>各街道（地区）</w:t>
            </w:r>
          </w:p>
        </w:tc>
        <w:tc>
          <w:tcPr>
            <w:tcW w:w="2339" w:type="dxa"/>
            <w:vAlign w:val="center"/>
          </w:tcPr>
          <w:p>
            <w:pPr>
              <w:widowControl/>
              <w:jc w:val="center"/>
              <w:rPr>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9" w:hRule="atLeast"/>
          <w:jc w:val="center"/>
        </w:trPr>
        <w:tc>
          <w:tcPr>
            <w:tcW w:w="741" w:type="dxa"/>
            <w:vMerge w:val="restart"/>
            <w:vAlign w:val="center"/>
          </w:tcPr>
          <w:p>
            <w:pPr>
              <w:widowControl/>
              <w:jc w:val="center"/>
              <w:rPr>
                <w:sz w:val="28"/>
                <w:szCs w:val="28"/>
              </w:rPr>
            </w:pPr>
            <w:r>
              <w:rPr>
                <w:rFonts w:hint="eastAsia"/>
                <w:sz w:val="28"/>
                <w:szCs w:val="28"/>
              </w:rPr>
              <w:t>28</w:t>
            </w:r>
          </w:p>
        </w:tc>
        <w:tc>
          <w:tcPr>
            <w:tcW w:w="1839" w:type="dxa"/>
            <w:vMerge w:val="restart"/>
            <w:vAlign w:val="center"/>
          </w:tcPr>
          <w:p>
            <w:pPr>
              <w:spacing w:line="360" w:lineRule="exact"/>
              <w:jc w:val="center"/>
              <w:rPr>
                <w:rFonts w:cs="仿宋_GB2312"/>
                <w:sz w:val="28"/>
                <w:szCs w:val="28"/>
              </w:rPr>
            </w:pPr>
            <w:r>
              <w:rPr>
                <w:rFonts w:hint="eastAsia" w:cs="仿宋_GB2312"/>
                <w:sz w:val="28"/>
                <w:szCs w:val="28"/>
              </w:rPr>
              <w:t>强化施工扬尘精细化管控</w:t>
            </w:r>
          </w:p>
        </w:tc>
        <w:tc>
          <w:tcPr>
            <w:tcW w:w="6382" w:type="dxa"/>
            <w:vAlign w:val="center"/>
          </w:tcPr>
          <w:p>
            <w:pPr>
              <w:snapToGrid w:val="0"/>
              <w:spacing w:line="320" w:lineRule="exact"/>
              <w:ind w:right="83" w:rightChars="26"/>
              <w:rPr>
                <w:rFonts w:cs="仿宋_GB2312"/>
                <w:sz w:val="28"/>
                <w:szCs w:val="28"/>
              </w:rPr>
            </w:pPr>
            <w:r>
              <w:rPr>
                <w:rFonts w:hint="eastAsia" w:cs="仿宋_GB2312"/>
                <w:sz w:val="28"/>
                <w:szCs w:val="28"/>
              </w:rPr>
              <w:t>进一步强化扬尘执法检查，严厉处罚各类扬尘违法行为，处罚量在城六区前列。城管执法部门做好各类扬尘执法数据的汇总分析并及时向同级相关行业主管部门推送，曝光扬尘违法行为，营造扬尘执法高压态势。</w:t>
            </w:r>
          </w:p>
          <w:p>
            <w:pPr>
              <w:snapToGrid w:val="0"/>
              <w:spacing w:line="320" w:lineRule="exact"/>
              <w:ind w:right="83" w:rightChars="26"/>
              <w:rPr>
                <w:rFonts w:cs="仿宋_GB2312"/>
                <w:sz w:val="28"/>
                <w:szCs w:val="28"/>
              </w:rPr>
            </w:pPr>
            <w:r>
              <w:rPr>
                <w:rFonts w:hint="eastAsia" w:cs="仿宋_GB2312"/>
                <w:sz w:val="28"/>
                <w:szCs w:val="28"/>
              </w:rPr>
              <w:t>住建、交通、水务、园林绿化、城市管理等行业主管部门强化“门前三包”道路清扫保洁责任落实，施工工地（场站）出口两侧各100米范围避免出现明显车印及渣土遗撒点。结合扬尘问题处罚情况，采取通报、约谈、扣分、限制评优和招投标、报请市级部门降级资质等措施，强化扬尘闭环管理。</w:t>
            </w:r>
          </w:p>
          <w:p>
            <w:pPr>
              <w:snapToGrid w:val="0"/>
              <w:spacing w:line="320" w:lineRule="exact"/>
              <w:ind w:right="83" w:rightChars="26"/>
              <w:rPr>
                <w:rFonts w:cs="仿宋_GB2312"/>
                <w:sz w:val="28"/>
                <w:szCs w:val="28"/>
              </w:rPr>
            </w:pPr>
            <w:r>
              <w:rPr>
                <w:rFonts w:hint="eastAsia" w:cs="仿宋_GB2312"/>
                <w:sz w:val="28"/>
                <w:szCs w:val="28"/>
              </w:rPr>
              <w:t>各街道（地区）加强对各类施工、拆迁拆违等项目的扬尘执法，街道对上账施工工地的月检查率要达到100%。</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ind w:left="-160" w:leftChars="-50" w:right="-160" w:rightChars="-50"/>
              <w:jc w:val="center"/>
              <w:rPr>
                <w:rFonts w:cs="仿宋_GB2312"/>
                <w:sz w:val="28"/>
                <w:szCs w:val="28"/>
              </w:rPr>
            </w:pPr>
          </w:p>
          <w:p>
            <w:pPr>
              <w:spacing w:line="360" w:lineRule="exact"/>
              <w:ind w:left="-160" w:leftChars="-50" w:right="-160" w:rightChars="-50"/>
              <w:jc w:val="center"/>
              <w:rPr>
                <w:rFonts w:cs="仿宋_GB2312"/>
                <w:sz w:val="28"/>
                <w:szCs w:val="28"/>
              </w:rPr>
            </w:pPr>
            <w:r>
              <w:rPr>
                <w:rFonts w:hint="eastAsia" w:cs="仿宋_GB2312"/>
                <w:sz w:val="28"/>
                <w:szCs w:val="28"/>
              </w:rPr>
              <w:t>区城管委</w:t>
            </w:r>
          </w:p>
          <w:p>
            <w:pPr>
              <w:spacing w:line="360" w:lineRule="exact"/>
              <w:ind w:left="-160" w:leftChars="-50" w:right="-160" w:rightChars="-50"/>
              <w:jc w:val="center"/>
              <w:rPr>
                <w:rFonts w:cs="仿宋_GB2312"/>
                <w:sz w:val="28"/>
                <w:szCs w:val="28"/>
              </w:rPr>
            </w:pPr>
            <w:r>
              <w:rPr>
                <w:rFonts w:hint="eastAsia" w:cs="仿宋_GB2312"/>
                <w:sz w:val="28"/>
                <w:szCs w:val="28"/>
              </w:rPr>
              <w:t>区住建委</w:t>
            </w:r>
          </w:p>
          <w:p>
            <w:pPr>
              <w:spacing w:line="360" w:lineRule="exact"/>
              <w:ind w:left="-160" w:leftChars="-50" w:right="-160" w:rightChars="-50"/>
              <w:jc w:val="center"/>
              <w:rPr>
                <w:rFonts w:cs="仿宋_GB2312"/>
                <w:sz w:val="28"/>
                <w:szCs w:val="28"/>
              </w:rPr>
            </w:pPr>
            <w:r>
              <w:rPr>
                <w:rFonts w:hint="eastAsia" w:cs="仿宋_GB2312"/>
                <w:sz w:val="28"/>
                <w:szCs w:val="28"/>
              </w:rPr>
              <w:t>区园林绿化局</w:t>
            </w:r>
          </w:p>
          <w:p>
            <w:pPr>
              <w:spacing w:line="360" w:lineRule="exact"/>
              <w:ind w:left="-160" w:leftChars="-50" w:right="-160" w:rightChars="-50"/>
              <w:jc w:val="center"/>
              <w:rPr>
                <w:rFonts w:cs="仿宋_GB2312"/>
                <w:sz w:val="28"/>
                <w:szCs w:val="28"/>
              </w:rPr>
            </w:pPr>
            <w:r>
              <w:rPr>
                <w:rFonts w:hint="eastAsia" w:cs="仿宋_GB2312"/>
                <w:sz w:val="28"/>
                <w:szCs w:val="28"/>
              </w:rPr>
              <w:t>各街道（地区）</w:t>
            </w:r>
          </w:p>
        </w:tc>
        <w:tc>
          <w:tcPr>
            <w:tcW w:w="2339" w:type="dxa"/>
            <w:vAlign w:val="center"/>
          </w:tcPr>
          <w:p>
            <w:pPr>
              <w:spacing w:line="360" w:lineRule="exact"/>
              <w:jc w:val="center"/>
              <w:rPr>
                <w:rFonts w:cs="仿宋_GB2312"/>
                <w:color w:val="000000"/>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741" w:type="dxa"/>
            <w:vMerge w:val="continue"/>
            <w:vAlign w:val="center"/>
          </w:tcPr>
          <w:p>
            <w:pPr>
              <w:widowControl/>
              <w:jc w:val="left"/>
              <w:rPr>
                <w:sz w:val="28"/>
                <w:szCs w:val="28"/>
              </w:rPr>
            </w:pPr>
          </w:p>
        </w:tc>
        <w:tc>
          <w:tcPr>
            <w:tcW w:w="1839" w:type="dxa"/>
            <w:vMerge w:val="continue"/>
            <w:vAlign w:val="center"/>
          </w:tcPr>
          <w:p>
            <w:pPr>
              <w:spacing w:line="360" w:lineRule="exact"/>
              <w:ind w:left="-160" w:leftChars="-50" w:right="-160" w:rightChars="-50"/>
              <w:jc w:val="center"/>
              <w:rPr>
                <w:rFonts w:cs="仿宋_GB2312"/>
                <w:sz w:val="28"/>
                <w:szCs w:val="28"/>
              </w:rPr>
            </w:pPr>
          </w:p>
        </w:tc>
        <w:tc>
          <w:tcPr>
            <w:tcW w:w="6382" w:type="dxa"/>
            <w:vAlign w:val="center"/>
          </w:tcPr>
          <w:p>
            <w:pPr>
              <w:snapToGrid w:val="0"/>
              <w:spacing w:line="320" w:lineRule="exact"/>
              <w:ind w:right="83" w:rightChars="26"/>
              <w:jc w:val="left"/>
              <w:rPr>
                <w:rFonts w:cs="仿宋_GB2312"/>
                <w:sz w:val="28"/>
                <w:szCs w:val="28"/>
              </w:rPr>
            </w:pPr>
            <w:r>
              <w:rPr>
                <w:rFonts w:hint="eastAsia" w:cs="仿宋_GB2312"/>
                <w:sz w:val="28"/>
                <w:szCs w:val="28"/>
              </w:rPr>
              <w:t>强化线性工程及“小微工程”扬尘管控，加强辖区内道路、水务、园林绿化、拆迁拆违、“占掘路”工程等工地扬尘精细化管理，推进分段施工、封闭施工等有效管控的作业方式。</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color w:val="000000"/>
                <w:sz w:val="28"/>
                <w:szCs w:val="28"/>
              </w:rPr>
            </w:pPr>
            <w:r>
              <w:rPr>
                <w:rFonts w:hint="eastAsia" w:cs="仿宋_GB2312"/>
                <w:color w:val="000000"/>
                <w:sz w:val="28"/>
                <w:szCs w:val="28"/>
              </w:rPr>
              <w:t>区城管委</w:t>
            </w:r>
          </w:p>
          <w:p>
            <w:pPr>
              <w:spacing w:line="360" w:lineRule="exact"/>
              <w:jc w:val="center"/>
              <w:rPr>
                <w:rFonts w:cs="仿宋_GB2312"/>
                <w:color w:val="000000"/>
                <w:sz w:val="28"/>
                <w:szCs w:val="28"/>
              </w:rPr>
            </w:pPr>
            <w:r>
              <w:rPr>
                <w:rFonts w:hint="eastAsia" w:cs="仿宋_GB2312"/>
                <w:color w:val="000000"/>
                <w:sz w:val="28"/>
                <w:szCs w:val="28"/>
              </w:rPr>
              <w:t>区住建委</w:t>
            </w:r>
          </w:p>
          <w:p>
            <w:pPr>
              <w:spacing w:line="360" w:lineRule="exact"/>
              <w:jc w:val="center"/>
              <w:rPr>
                <w:rFonts w:cs="仿宋_GB2312"/>
                <w:color w:val="000000"/>
                <w:sz w:val="28"/>
                <w:szCs w:val="28"/>
              </w:rPr>
            </w:pPr>
            <w:r>
              <w:rPr>
                <w:rFonts w:hint="eastAsia" w:cs="仿宋_GB2312"/>
                <w:color w:val="000000"/>
                <w:sz w:val="28"/>
                <w:szCs w:val="28"/>
              </w:rPr>
              <w:t>区园林绿化局</w:t>
            </w:r>
          </w:p>
          <w:p>
            <w:pPr>
              <w:spacing w:line="360" w:lineRule="exact"/>
              <w:jc w:val="center"/>
              <w:rPr>
                <w:rFonts w:cs="仿宋_GB2312"/>
                <w:color w:val="000000"/>
                <w:sz w:val="28"/>
                <w:szCs w:val="28"/>
              </w:rPr>
            </w:pPr>
            <w:r>
              <w:rPr>
                <w:rFonts w:hint="eastAsia" w:cs="仿宋_GB2312"/>
                <w:color w:val="000000"/>
                <w:sz w:val="28"/>
                <w:szCs w:val="28"/>
              </w:rPr>
              <w:t>各街道（地区）</w:t>
            </w:r>
          </w:p>
        </w:tc>
        <w:tc>
          <w:tcPr>
            <w:tcW w:w="2339" w:type="dxa"/>
            <w:vAlign w:val="center"/>
          </w:tcPr>
          <w:p>
            <w:pPr>
              <w:spacing w:line="360" w:lineRule="exact"/>
              <w:jc w:val="center"/>
              <w:rPr>
                <w:rFonts w:cs="仿宋_GB2312"/>
                <w:color w:val="000000"/>
                <w:sz w:val="28"/>
                <w:szCs w:val="28"/>
              </w:rPr>
            </w:pPr>
            <w:r>
              <w:rPr>
                <w:rFonts w:hint="eastAsia" w:cs="仿宋_GB2312"/>
                <w:sz w:val="28"/>
                <w:szCs w:val="28"/>
              </w:rPr>
              <w:t>东城规自分局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741" w:type="dxa"/>
            <w:vMerge w:val="restart"/>
            <w:vAlign w:val="center"/>
          </w:tcPr>
          <w:p>
            <w:pPr>
              <w:spacing w:line="360" w:lineRule="exact"/>
              <w:jc w:val="center"/>
              <w:rPr>
                <w:rFonts w:cs="仿宋_GB2312"/>
                <w:sz w:val="28"/>
                <w:szCs w:val="28"/>
              </w:rPr>
            </w:pPr>
            <w:r>
              <w:rPr>
                <w:rFonts w:hint="eastAsia" w:cs="仿宋_GB2312"/>
                <w:sz w:val="28"/>
                <w:szCs w:val="28"/>
              </w:rPr>
              <w:t>29</w:t>
            </w:r>
          </w:p>
        </w:tc>
        <w:tc>
          <w:tcPr>
            <w:tcW w:w="1839" w:type="dxa"/>
            <w:vMerge w:val="restart"/>
            <w:vAlign w:val="center"/>
          </w:tcPr>
          <w:p>
            <w:pPr>
              <w:spacing w:line="360" w:lineRule="exact"/>
              <w:jc w:val="center"/>
              <w:rPr>
                <w:sz w:val="28"/>
                <w:szCs w:val="28"/>
              </w:rPr>
            </w:pPr>
            <w:r>
              <w:rPr>
                <w:rFonts w:hint="eastAsia" w:cs="仿宋_GB2312"/>
                <w:sz w:val="28"/>
                <w:szCs w:val="28"/>
              </w:rPr>
              <w:t>加强重点区域精细化治理</w:t>
            </w:r>
          </w:p>
        </w:tc>
        <w:tc>
          <w:tcPr>
            <w:tcW w:w="6382" w:type="dxa"/>
            <w:vAlign w:val="center"/>
          </w:tcPr>
          <w:p>
            <w:pPr>
              <w:snapToGrid w:val="0"/>
              <w:spacing w:line="320" w:lineRule="exact"/>
              <w:jc w:val="left"/>
              <w:rPr>
                <w:rFonts w:cs="仿宋_GB2312"/>
                <w:sz w:val="28"/>
                <w:szCs w:val="28"/>
              </w:rPr>
            </w:pPr>
            <w:r>
              <w:rPr>
                <w:rFonts w:hint="eastAsia" w:cs="仿宋_GB2312"/>
                <w:sz w:val="28"/>
                <w:szCs w:val="28"/>
              </w:rPr>
              <w:t>各街道粗颗粒物（TSP）浓度排名退出全市后30名。</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ind w:left="-160" w:leftChars="-50" w:right="-160" w:rightChars="-50"/>
              <w:jc w:val="center"/>
              <w:rPr>
                <w:rFonts w:cs="仿宋_GB2312"/>
                <w:color w:val="000000"/>
                <w:sz w:val="28"/>
                <w:szCs w:val="28"/>
              </w:rPr>
            </w:pPr>
            <w:r>
              <w:rPr>
                <w:rFonts w:hint="eastAsia" w:cs="仿宋_GB2312"/>
                <w:color w:val="000000"/>
                <w:sz w:val="28"/>
                <w:szCs w:val="28"/>
              </w:rPr>
              <w:t>各街道</w:t>
            </w:r>
          </w:p>
        </w:tc>
        <w:tc>
          <w:tcPr>
            <w:tcW w:w="2339" w:type="dxa"/>
            <w:vAlign w:val="center"/>
          </w:tcPr>
          <w:p>
            <w:pPr>
              <w:spacing w:line="360" w:lineRule="exact"/>
              <w:ind w:left="-160" w:leftChars="-50" w:right="-160" w:rightChars="-50"/>
              <w:jc w:val="center"/>
              <w:rPr>
                <w:rFonts w:cs="仿宋_GB2312"/>
                <w:color w:val="000000"/>
                <w:sz w:val="28"/>
                <w:szCs w:val="28"/>
              </w:rPr>
            </w:pPr>
            <w:r>
              <w:rPr>
                <w:rFonts w:hint="eastAsia" w:cs="仿宋_GB2312"/>
                <w:sz w:val="28"/>
                <w:szCs w:val="28"/>
              </w:rPr>
              <w:t>区委生态文明委大气污染综合治理及应对气候变化工作小组成员单位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741" w:type="dxa"/>
            <w:vMerge w:val="continue"/>
            <w:vAlign w:val="center"/>
          </w:tcPr>
          <w:p>
            <w:pPr>
              <w:spacing w:line="360" w:lineRule="exact"/>
              <w:jc w:val="center"/>
              <w:rPr>
                <w:rFonts w:cs="仿宋_GB2312"/>
                <w:sz w:val="28"/>
                <w:szCs w:val="28"/>
              </w:rPr>
            </w:pPr>
          </w:p>
        </w:tc>
        <w:tc>
          <w:tcPr>
            <w:tcW w:w="1839" w:type="dxa"/>
            <w:vMerge w:val="continue"/>
            <w:vAlign w:val="center"/>
          </w:tcPr>
          <w:p>
            <w:pPr>
              <w:spacing w:line="360" w:lineRule="exact"/>
              <w:jc w:val="center"/>
              <w:rPr>
                <w:sz w:val="28"/>
                <w:szCs w:val="28"/>
              </w:rPr>
            </w:pPr>
          </w:p>
        </w:tc>
        <w:tc>
          <w:tcPr>
            <w:tcW w:w="6382" w:type="dxa"/>
            <w:vAlign w:val="center"/>
          </w:tcPr>
          <w:p>
            <w:pPr>
              <w:snapToGrid w:val="0"/>
              <w:spacing w:line="320" w:lineRule="exact"/>
              <w:jc w:val="left"/>
              <w:rPr>
                <w:rFonts w:cs="仿宋_GB2312"/>
                <w:sz w:val="28"/>
                <w:szCs w:val="28"/>
              </w:rPr>
            </w:pPr>
            <w:r>
              <w:rPr>
                <w:rFonts w:hint="eastAsia" w:cs="仿宋_GB2312"/>
                <w:sz w:val="28"/>
                <w:szCs w:val="28"/>
              </w:rPr>
              <w:t>进一步提升辖区精细化管理水平，重点加强夜间精细化管控。</w:t>
            </w:r>
          </w:p>
          <w:p>
            <w:pPr>
              <w:snapToGrid w:val="0"/>
              <w:spacing w:line="320" w:lineRule="exact"/>
              <w:jc w:val="left"/>
              <w:rPr>
                <w:rFonts w:cs="仿宋_GB2312"/>
                <w:sz w:val="28"/>
                <w:szCs w:val="28"/>
              </w:rPr>
            </w:pPr>
            <w:r>
              <w:rPr>
                <w:rFonts w:hint="eastAsia" w:cs="仿宋_GB2312"/>
                <w:sz w:val="28"/>
                <w:szCs w:val="28"/>
              </w:rPr>
              <w:t>针对渣土车、柴油车、扬尘等夜间多发问题，增大执法检查力度，相关执法部门将执法力量向夜间倾斜调整。</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ind w:left="-160" w:leftChars="-50" w:right="-160" w:rightChars="-50"/>
              <w:jc w:val="center"/>
              <w:rPr>
                <w:rFonts w:cs="仿宋_GB2312"/>
                <w:sz w:val="28"/>
                <w:szCs w:val="28"/>
              </w:rPr>
            </w:pPr>
            <w:r>
              <w:rPr>
                <w:rFonts w:hint="eastAsia" w:cs="仿宋_GB2312"/>
                <w:sz w:val="28"/>
                <w:szCs w:val="28"/>
              </w:rPr>
              <w:t>区生态环境局</w:t>
            </w:r>
          </w:p>
          <w:p>
            <w:pPr>
              <w:spacing w:line="360" w:lineRule="exact"/>
              <w:ind w:left="-160" w:leftChars="-50" w:right="-160" w:rightChars="-50"/>
              <w:jc w:val="center"/>
              <w:rPr>
                <w:rFonts w:cs="仿宋_GB2312"/>
                <w:sz w:val="28"/>
                <w:szCs w:val="28"/>
              </w:rPr>
            </w:pPr>
            <w:r>
              <w:rPr>
                <w:rFonts w:hint="eastAsia" w:cs="仿宋_GB2312"/>
                <w:sz w:val="28"/>
                <w:szCs w:val="28"/>
              </w:rPr>
              <w:t>区城管委</w:t>
            </w:r>
          </w:p>
          <w:p>
            <w:pPr>
              <w:spacing w:line="360" w:lineRule="exact"/>
              <w:ind w:left="-160" w:leftChars="-50" w:right="-160" w:rightChars="-50"/>
              <w:jc w:val="center"/>
              <w:rPr>
                <w:rFonts w:cs="仿宋_GB2312"/>
                <w:sz w:val="28"/>
                <w:szCs w:val="28"/>
              </w:rPr>
            </w:pPr>
            <w:r>
              <w:rPr>
                <w:rFonts w:hint="eastAsia" w:cs="仿宋_GB2312"/>
                <w:sz w:val="28"/>
                <w:szCs w:val="28"/>
              </w:rPr>
              <w:t>区住建委</w:t>
            </w:r>
          </w:p>
          <w:p>
            <w:pPr>
              <w:spacing w:line="360" w:lineRule="exact"/>
              <w:ind w:left="-160" w:leftChars="-50" w:right="-160" w:rightChars="-50"/>
              <w:jc w:val="center"/>
              <w:rPr>
                <w:rFonts w:cs="仿宋_GB2312"/>
                <w:sz w:val="28"/>
                <w:szCs w:val="28"/>
              </w:rPr>
            </w:pPr>
            <w:r>
              <w:rPr>
                <w:rFonts w:hint="eastAsia" w:cs="仿宋_GB2312"/>
                <w:sz w:val="28"/>
                <w:szCs w:val="28"/>
              </w:rPr>
              <w:t>东城交通支队</w:t>
            </w:r>
          </w:p>
          <w:p>
            <w:pPr>
              <w:spacing w:line="360" w:lineRule="exact"/>
              <w:ind w:left="-160" w:leftChars="-50" w:right="-160" w:rightChars="-50"/>
              <w:jc w:val="center"/>
              <w:rPr>
                <w:rFonts w:cs="仿宋_GB2312"/>
                <w:sz w:val="28"/>
                <w:szCs w:val="28"/>
              </w:rPr>
            </w:pPr>
            <w:r>
              <w:rPr>
                <w:rFonts w:hint="eastAsia" w:cs="仿宋_GB2312"/>
                <w:sz w:val="28"/>
                <w:szCs w:val="28"/>
              </w:rPr>
              <w:t>各街道（地区）</w:t>
            </w:r>
          </w:p>
        </w:tc>
        <w:tc>
          <w:tcPr>
            <w:tcW w:w="2339" w:type="dxa"/>
            <w:vAlign w:val="center"/>
          </w:tcPr>
          <w:p>
            <w:pPr>
              <w:jc w:val="center"/>
              <w:rPr>
                <w:rFonts w:cs="仿宋_GB2312"/>
                <w:color w:val="000000"/>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jc w:val="center"/>
        </w:trPr>
        <w:tc>
          <w:tcPr>
            <w:tcW w:w="741" w:type="dxa"/>
            <w:vMerge w:val="continue"/>
            <w:vAlign w:val="center"/>
          </w:tcPr>
          <w:p>
            <w:pPr>
              <w:spacing w:line="360" w:lineRule="exact"/>
              <w:jc w:val="center"/>
              <w:rPr>
                <w:rFonts w:cs="仿宋_GB2312"/>
                <w:sz w:val="28"/>
                <w:szCs w:val="28"/>
              </w:rPr>
            </w:pPr>
          </w:p>
        </w:tc>
        <w:tc>
          <w:tcPr>
            <w:tcW w:w="1839" w:type="dxa"/>
            <w:vMerge w:val="continue"/>
            <w:vAlign w:val="center"/>
          </w:tcPr>
          <w:p>
            <w:pPr>
              <w:spacing w:line="360" w:lineRule="exact"/>
              <w:jc w:val="center"/>
              <w:rPr>
                <w:sz w:val="28"/>
                <w:szCs w:val="28"/>
              </w:rPr>
            </w:pPr>
          </w:p>
        </w:tc>
        <w:tc>
          <w:tcPr>
            <w:tcW w:w="6382" w:type="dxa"/>
            <w:vAlign w:val="center"/>
          </w:tcPr>
          <w:p>
            <w:pPr>
              <w:snapToGrid w:val="0"/>
              <w:spacing w:line="320" w:lineRule="exact"/>
              <w:jc w:val="left"/>
              <w:rPr>
                <w:rFonts w:cs="仿宋_GB2312"/>
                <w:sz w:val="28"/>
                <w:szCs w:val="28"/>
              </w:rPr>
            </w:pPr>
            <w:r>
              <w:rPr>
                <w:rFonts w:hint="eastAsia" w:cs="仿宋_GB2312"/>
                <w:sz w:val="28"/>
                <w:szCs w:val="28"/>
              </w:rPr>
              <w:t>在全面创建大气污染精细化治理街道的基础上，各街道结合各自特点和需求，从机制体制建设、深度减排项目、执法力量投入等方面入手，打造“精细化治理精品街道”。</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ind w:left="-160" w:leftChars="-50" w:right="-160" w:rightChars="-50"/>
              <w:jc w:val="center"/>
              <w:rPr>
                <w:rFonts w:cs="仿宋_GB2312"/>
                <w:sz w:val="28"/>
                <w:szCs w:val="28"/>
              </w:rPr>
            </w:pPr>
            <w:r>
              <w:rPr>
                <w:rFonts w:hint="eastAsia" w:cs="仿宋_GB2312"/>
                <w:sz w:val="28"/>
                <w:szCs w:val="28"/>
              </w:rPr>
              <w:t>东四街道</w:t>
            </w:r>
          </w:p>
          <w:p>
            <w:pPr>
              <w:spacing w:line="360" w:lineRule="exact"/>
              <w:ind w:left="-160" w:leftChars="-50" w:right="-160" w:rightChars="-50"/>
              <w:jc w:val="center"/>
              <w:rPr>
                <w:rFonts w:cs="仿宋_GB2312"/>
                <w:sz w:val="28"/>
                <w:szCs w:val="28"/>
              </w:rPr>
            </w:pPr>
            <w:r>
              <w:rPr>
                <w:rFonts w:hint="eastAsia" w:cs="仿宋_GB2312"/>
                <w:sz w:val="28"/>
                <w:szCs w:val="28"/>
              </w:rPr>
              <w:t>天坛街道</w:t>
            </w:r>
          </w:p>
          <w:p>
            <w:pPr>
              <w:spacing w:line="360" w:lineRule="exact"/>
              <w:ind w:left="-160" w:leftChars="-50" w:right="-160" w:rightChars="-50"/>
              <w:jc w:val="center"/>
              <w:rPr>
                <w:rFonts w:cs="仿宋_GB2312"/>
                <w:sz w:val="28"/>
                <w:szCs w:val="28"/>
              </w:rPr>
            </w:pPr>
            <w:r>
              <w:rPr>
                <w:rFonts w:hint="eastAsia" w:cs="仿宋_GB2312"/>
                <w:sz w:val="28"/>
                <w:szCs w:val="28"/>
              </w:rPr>
              <w:t>朝阳门街道</w:t>
            </w:r>
          </w:p>
          <w:p>
            <w:pPr>
              <w:spacing w:line="360" w:lineRule="exact"/>
              <w:ind w:left="-160" w:leftChars="-50" w:right="-160" w:rightChars="-50"/>
              <w:jc w:val="center"/>
              <w:rPr>
                <w:rFonts w:cs="仿宋_GB2312"/>
                <w:sz w:val="28"/>
                <w:szCs w:val="28"/>
              </w:rPr>
            </w:pPr>
            <w:r>
              <w:rPr>
                <w:rFonts w:hint="eastAsia" w:cs="仿宋_GB2312"/>
                <w:sz w:val="28"/>
                <w:szCs w:val="28"/>
              </w:rPr>
              <w:t>北新桥街道</w:t>
            </w:r>
          </w:p>
          <w:p>
            <w:pPr>
              <w:spacing w:line="360" w:lineRule="exact"/>
              <w:ind w:left="-160" w:leftChars="-50" w:right="-160" w:rightChars="-50"/>
              <w:jc w:val="center"/>
              <w:rPr>
                <w:rFonts w:cs="仿宋_GB2312"/>
                <w:sz w:val="28"/>
                <w:szCs w:val="28"/>
              </w:rPr>
            </w:pPr>
            <w:r>
              <w:rPr>
                <w:rFonts w:hint="eastAsia" w:cs="仿宋_GB2312"/>
                <w:sz w:val="28"/>
                <w:szCs w:val="28"/>
              </w:rPr>
              <w:t>景山街道</w:t>
            </w:r>
          </w:p>
          <w:p>
            <w:pPr>
              <w:spacing w:line="360" w:lineRule="exact"/>
              <w:ind w:left="-160" w:leftChars="-50" w:right="-160" w:rightChars="-50"/>
              <w:jc w:val="center"/>
              <w:rPr>
                <w:rFonts w:cs="仿宋_GB2312"/>
                <w:sz w:val="28"/>
                <w:szCs w:val="28"/>
              </w:rPr>
            </w:pPr>
            <w:r>
              <w:rPr>
                <w:rFonts w:hint="eastAsia" w:cs="仿宋_GB2312"/>
                <w:sz w:val="28"/>
                <w:szCs w:val="28"/>
              </w:rPr>
              <w:t>崇文门外街道</w:t>
            </w:r>
          </w:p>
          <w:p>
            <w:pPr>
              <w:spacing w:line="360" w:lineRule="exact"/>
              <w:ind w:left="-160" w:leftChars="-50" w:right="-160" w:rightChars="-50"/>
              <w:jc w:val="center"/>
              <w:rPr>
                <w:rFonts w:cs="仿宋_GB2312"/>
                <w:sz w:val="28"/>
                <w:szCs w:val="28"/>
              </w:rPr>
            </w:pPr>
            <w:r>
              <w:rPr>
                <w:rFonts w:hint="eastAsia" w:cs="仿宋_GB2312"/>
                <w:sz w:val="28"/>
                <w:szCs w:val="28"/>
              </w:rPr>
              <w:t>体育馆路街道</w:t>
            </w:r>
          </w:p>
          <w:p>
            <w:pPr>
              <w:spacing w:line="360" w:lineRule="exact"/>
              <w:ind w:left="-160" w:leftChars="-50" w:right="-160" w:rightChars="-50"/>
              <w:jc w:val="center"/>
              <w:rPr>
                <w:rFonts w:cs="仿宋_GB2312"/>
                <w:sz w:val="28"/>
                <w:szCs w:val="28"/>
              </w:rPr>
            </w:pPr>
            <w:r>
              <w:rPr>
                <w:rFonts w:hint="eastAsia" w:cs="仿宋_GB2312"/>
                <w:sz w:val="28"/>
                <w:szCs w:val="28"/>
              </w:rPr>
              <w:t>前门街道</w:t>
            </w:r>
          </w:p>
        </w:tc>
        <w:tc>
          <w:tcPr>
            <w:tcW w:w="2339" w:type="dxa"/>
            <w:vAlign w:val="center"/>
          </w:tcPr>
          <w:p>
            <w:pPr>
              <w:jc w:val="center"/>
              <w:rPr>
                <w:sz w:val="28"/>
                <w:szCs w:val="28"/>
              </w:rPr>
            </w:pPr>
            <w:r>
              <w:rPr>
                <w:rFonts w:hint="eastAsia"/>
                <w:sz w:val="28"/>
                <w:szCs w:val="28"/>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30</w:t>
            </w:r>
          </w:p>
        </w:tc>
        <w:tc>
          <w:tcPr>
            <w:tcW w:w="1839" w:type="dxa"/>
            <w:vAlign w:val="center"/>
          </w:tcPr>
          <w:p>
            <w:pPr>
              <w:spacing w:line="360" w:lineRule="exact"/>
              <w:jc w:val="center"/>
              <w:rPr>
                <w:sz w:val="28"/>
                <w:szCs w:val="28"/>
              </w:rPr>
            </w:pPr>
            <w:r>
              <w:rPr>
                <w:rFonts w:hint="eastAsia" w:cs="仿宋_GB2312"/>
                <w:sz w:val="28"/>
                <w:szCs w:val="28"/>
              </w:rPr>
              <w:t>加强扬尘精细化治理</w:t>
            </w:r>
          </w:p>
        </w:tc>
        <w:tc>
          <w:tcPr>
            <w:tcW w:w="6382" w:type="dxa"/>
            <w:vAlign w:val="center"/>
          </w:tcPr>
          <w:p>
            <w:pPr>
              <w:snapToGrid w:val="0"/>
              <w:spacing w:line="320" w:lineRule="exact"/>
              <w:jc w:val="left"/>
              <w:rPr>
                <w:rFonts w:cs="仿宋_GB2312"/>
                <w:sz w:val="28"/>
                <w:szCs w:val="28"/>
              </w:rPr>
            </w:pPr>
            <w:r>
              <w:rPr>
                <w:rFonts w:hint="eastAsia" w:cs="仿宋_GB2312"/>
                <w:sz w:val="28"/>
                <w:szCs w:val="28"/>
              </w:rPr>
              <w:t>加强扬尘管控，辖区重点区域（含背街小巷、胡同）道路尘土残存量控制在6克/平方米左右，继续探索施工工地推广密闭化施工，结合“周末卫生日”等活动组织开展屋顶清扫保洁。消除区域内裸地。</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ind w:left="-160" w:leftChars="-50" w:right="-160" w:rightChars="-50"/>
              <w:jc w:val="center"/>
              <w:rPr>
                <w:rFonts w:cs="仿宋_GB2312"/>
                <w:sz w:val="28"/>
                <w:szCs w:val="28"/>
              </w:rPr>
            </w:pPr>
            <w:r>
              <w:rPr>
                <w:rFonts w:hint="eastAsia" w:cs="仿宋_GB2312"/>
                <w:sz w:val="28"/>
                <w:szCs w:val="28"/>
              </w:rPr>
              <w:t>区城管委</w:t>
            </w:r>
          </w:p>
          <w:p>
            <w:pPr>
              <w:spacing w:line="360" w:lineRule="exact"/>
              <w:ind w:left="-160" w:leftChars="-50" w:right="-160" w:rightChars="-50"/>
              <w:jc w:val="center"/>
              <w:rPr>
                <w:rFonts w:cs="仿宋_GB2312"/>
                <w:sz w:val="28"/>
                <w:szCs w:val="28"/>
              </w:rPr>
            </w:pPr>
            <w:r>
              <w:rPr>
                <w:rFonts w:hint="eastAsia" w:cs="仿宋_GB2312"/>
                <w:sz w:val="28"/>
                <w:szCs w:val="28"/>
              </w:rPr>
              <w:t>区住建委</w:t>
            </w:r>
          </w:p>
          <w:p>
            <w:pPr>
              <w:spacing w:line="360" w:lineRule="exact"/>
              <w:ind w:left="-160" w:leftChars="-50" w:right="-160" w:rightChars="-50"/>
              <w:jc w:val="center"/>
              <w:rPr>
                <w:rFonts w:cs="仿宋_GB2312"/>
                <w:sz w:val="28"/>
                <w:szCs w:val="28"/>
              </w:rPr>
            </w:pPr>
            <w:r>
              <w:rPr>
                <w:rFonts w:hint="eastAsia" w:cs="仿宋_GB2312"/>
                <w:sz w:val="28"/>
                <w:szCs w:val="28"/>
              </w:rPr>
              <w:t>区环卫中心</w:t>
            </w:r>
          </w:p>
          <w:p>
            <w:pPr>
              <w:spacing w:line="360" w:lineRule="exact"/>
              <w:ind w:left="-160" w:leftChars="-50" w:right="-160" w:rightChars="-50"/>
              <w:jc w:val="center"/>
              <w:rPr>
                <w:rFonts w:cs="仿宋_GB2312"/>
                <w:sz w:val="28"/>
                <w:szCs w:val="28"/>
              </w:rPr>
            </w:pPr>
            <w:r>
              <w:rPr>
                <w:rFonts w:hint="eastAsia" w:cs="仿宋_GB2312"/>
                <w:sz w:val="28"/>
                <w:szCs w:val="28"/>
              </w:rPr>
              <w:t>各街道（地区）</w:t>
            </w:r>
          </w:p>
        </w:tc>
        <w:tc>
          <w:tcPr>
            <w:tcW w:w="2339" w:type="dxa"/>
            <w:vAlign w:val="center"/>
          </w:tcPr>
          <w:p>
            <w:pPr>
              <w:jc w:val="center"/>
              <w:rPr>
                <w:rFonts w:cs="仿宋_GB2312"/>
                <w:color w:val="000000"/>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741" w:type="dxa"/>
            <w:vMerge w:val="restart"/>
            <w:vAlign w:val="center"/>
          </w:tcPr>
          <w:p>
            <w:pPr>
              <w:spacing w:line="360" w:lineRule="exact"/>
              <w:jc w:val="center"/>
              <w:rPr>
                <w:rFonts w:cs="仿宋_GB2312"/>
                <w:sz w:val="28"/>
                <w:szCs w:val="28"/>
              </w:rPr>
            </w:pPr>
            <w:r>
              <w:rPr>
                <w:rFonts w:hint="eastAsia" w:cs="仿宋_GB2312"/>
                <w:sz w:val="28"/>
                <w:szCs w:val="28"/>
              </w:rPr>
              <w:t>31</w:t>
            </w:r>
          </w:p>
        </w:tc>
        <w:tc>
          <w:tcPr>
            <w:tcW w:w="1839" w:type="dxa"/>
            <w:vMerge w:val="restart"/>
            <w:vAlign w:val="center"/>
          </w:tcPr>
          <w:p>
            <w:pPr>
              <w:spacing w:line="360" w:lineRule="exact"/>
              <w:jc w:val="center"/>
              <w:rPr>
                <w:sz w:val="28"/>
                <w:szCs w:val="28"/>
              </w:rPr>
            </w:pPr>
            <w:r>
              <w:rPr>
                <w:rFonts w:hint="eastAsia" w:cs="仿宋_GB2312"/>
                <w:sz w:val="28"/>
                <w:szCs w:val="28"/>
              </w:rPr>
              <w:t>加强机动车排放精细化治理</w:t>
            </w:r>
          </w:p>
        </w:tc>
        <w:tc>
          <w:tcPr>
            <w:tcW w:w="6382" w:type="dxa"/>
            <w:vAlign w:val="center"/>
          </w:tcPr>
          <w:p>
            <w:pPr>
              <w:snapToGrid w:val="0"/>
              <w:spacing w:line="320" w:lineRule="exact"/>
              <w:jc w:val="left"/>
              <w:rPr>
                <w:rFonts w:cs="仿宋_GB2312"/>
                <w:sz w:val="28"/>
                <w:szCs w:val="28"/>
              </w:rPr>
            </w:pPr>
            <w:r>
              <w:rPr>
                <w:rFonts w:hint="eastAsia" w:cs="仿宋_GB2312"/>
                <w:sz w:val="28"/>
                <w:szCs w:val="28"/>
              </w:rPr>
              <w:t>深挖移动源减排潜力，推进辖区旅游客车班线、公交、环卫、勤务、物流等行业领域使用纯电动车辆，辖区</w:t>
            </w:r>
            <w:r>
              <w:rPr>
                <w:rFonts w:hint="eastAsia"/>
                <w:sz w:val="28"/>
                <w:szCs w:val="28"/>
              </w:rPr>
              <w:t>基本使用国六排放标准渣土车辆；</w:t>
            </w:r>
            <w:r>
              <w:rPr>
                <w:rFonts w:hint="eastAsia" w:cs="仿宋_GB2312"/>
                <w:sz w:val="28"/>
                <w:szCs w:val="28"/>
              </w:rPr>
              <w:t>进一步改善交通微循环，加强静态交通管理。</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sz w:val="28"/>
                <w:szCs w:val="28"/>
              </w:rPr>
            </w:pPr>
            <w:r>
              <w:rPr>
                <w:rFonts w:hint="eastAsia" w:cs="仿宋_GB2312"/>
                <w:sz w:val="28"/>
                <w:szCs w:val="28"/>
              </w:rPr>
              <w:t>区文旅局</w:t>
            </w:r>
          </w:p>
          <w:p>
            <w:pPr>
              <w:spacing w:line="360" w:lineRule="exact"/>
              <w:jc w:val="center"/>
              <w:rPr>
                <w:rFonts w:cs="仿宋_GB2312"/>
                <w:sz w:val="28"/>
                <w:szCs w:val="28"/>
              </w:rPr>
            </w:pPr>
            <w:r>
              <w:rPr>
                <w:rFonts w:hint="eastAsia" w:cs="仿宋_GB2312"/>
                <w:sz w:val="28"/>
                <w:szCs w:val="28"/>
              </w:rPr>
              <w:t>区城管委</w:t>
            </w:r>
          </w:p>
        </w:tc>
        <w:tc>
          <w:tcPr>
            <w:tcW w:w="2339" w:type="dxa"/>
            <w:vAlign w:val="center"/>
          </w:tcPr>
          <w:p>
            <w:pPr>
              <w:spacing w:line="360" w:lineRule="exact"/>
              <w:jc w:val="center"/>
              <w:rPr>
                <w:rFonts w:cs="仿宋_GB2312"/>
                <w:sz w:val="28"/>
                <w:szCs w:val="28"/>
              </w:rPr>
            </w:pPr>
            <w:r>
              <w:rPr>
                <w:rFonts w:hint="eastAsia" w:cs="仿宋_GB2312"/>
                <w:sz w:val="28"/>
                <w:szCs w:val="28"/>
              </w:rPr>
              <w:t>区住建委</w:t>
            </w:r>
          </w:p>
          <w:p>
            <w:pPr>
              <w:spacing w:line="360" w:lineRule="exact"/>
              <w:jc w:val="center"/>
              <w:rPr>
                <w:rFonts w:cs="仿宋_GB2312"/>
                <w:sz w:val="28"/>
                <w:szCs w:val="28"/>
              </w:rPr>
            </w:pPr>
            <w:r>
              <w:rPr>
                <w:rFonts w:hint="eastAsia" w:cs="仿宋_GB2312"/>
                <w:sz w:val="28"/>
                <w:szCs w:val="28"/>
              </w:rPr>
              <w:t>区生态环境局</w:t>
            </w:r>
          </w:p>
          <w:p>
            <w:pPr>
              <w:spacing w:line="360" w:lineRule="exact"/>
              <w:jc w:val="center"/>
              <w:rPr>
                <w:rFonts w:cs="仿宋_GB2312"/>
                <w:sz w:val="28"/>
                <w:szCs w:val="28"/>
              </w:rPr>
            </w:pPr>
            <w:r>
              <w:rPr>
                <w:rFonts w:hint="eastAsia" w:cs="仿宋_GB2312"/>
                <w:sz w:val="28"/>
                <w:szCs w:val="28"/>
              </w:rPr>
              <w:t>东城交通支队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741" w:type="dxa"/>
            <w:vMerge w:val="continue"/>
            <w:vAlign w:val="center"/>
          </w:tcPr>
          <w:p>
            <w:pPr>
              <w:spacing w:line="360" w:lineRule="exact"/>
              <w:jc w:val="center"/>
              <w:rPr>
                <w:rFonts w:cs="仿宋_GB2312"/>
                <w:sz w:val="28"/>
                <w:szCs w:val="28"/>
              </w:rPr>
            </w:pPr>
          </w:p>
        </w:tc>
        <w:tc>
          <w:tcPr>
            <w:tcW w:w="1839" w:type="dxa"/>
            <w:vMerge w:val="continue"/>
            <w:vAlign w:val="center"/>
          </w:tcPr>
          <w:p>
            <w:pPr>
              <w:spacing w:line="360" w:lineRule="exact"/>
              <w:jc w:val="center"/>
              <w:rPr>
                <w:rFonts w:cs="仿宋_GB2312"/>
                <w:sz w:val="28"/>
                <w:szCs w:val="28"/>
              </w:rPr>
            </w:pPr>
          </w:p>
        </w:tc>
        <w:tc>
          <w:tcPr>
            <w:tcW w:w="6382" w:type="dxa"/>
            <w:vAlign w:val="center"/>
          </w:tcPr>
          <w:p>
            <w:pPr>
              <w:snapToGrid w:val="0"/>
              <w:spacing w:line="320" w:lineRule="exact"/>
              <w:jc w:val="left"/>
              <w:rPr>
                <w:rFonts w:cs="仿宋_GB2312"/>
                <w:sz w:val="28"/>
                <w:szCs w:val="28"/>
              </w:rPr>
            </w:pPr>
            <w:r>
              <w:rPr>
                <w:rFonts w:hint="eastAsia" w:cs="仿宋_GB2312"/>
                <w:sz w:val="28"/>
                <w:szCs w:val="28"/>
              </w:rPr>
              <w:t>开展天坛公园周边道路交通综合整治提升工程，调整完善信号灯设置、道路标志标线、车辆违法抓拍设施，提高非现场执法效率，减少道路拥堵。</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sz w:val="28"/>
                <w:szCs w:val="28"/>
              </w:rPr>
            </w:pPr>
            <w:r>
              <w:rPr>
                <w:rFonts w:hint="eastAsia" w:cs="仿宋_GB2312"/>
                <w:sz w:val="28"/>
                <w:szCs w:val="28"/>
              </w:rPr>
              <w:t>东城交通支队</w:t>
            </w:r>
          </w:p>
          <w:p>
            <w:pPr>
              <w:spacing w:line="360" w:lineRule="exact"/>
              <w:jc w:val="center"/>
              <w:rPr>
                <w:rFonts w:cs="仿宋_GB2312"/>
                <w:sz w:val="28"/>
                <w:szCs w:val="28"/>
              </w:rPr>
            </w:pPr>
            <w:r>
              <w:rPr>
                <w:rFonts w:hint="eastAsia" w:cs="仿宋_GB2312"/>
                <w:sz w:val="28"/>
                <w:szCs w:val="28"/>
              </w:rPr>
              <w:t>区城管委</w:t>
            </w:r>
          </w:p>
        </w:tc>
        <w:tc>
          <w:tcPr>
            <w:tcW w:w="2339" w:type="dxa"/>
            <w:vAlign w:val="center"/>
          </w:tcPr>
          <w:p>
            <w:pPr>
              <w:spacing w:line="360" w:lineRule="exact"/>
              <w:jc w:val="center"/>
              <w:rPr>
                <w:rFonts w:cs="仿宋_GB2312"/>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41" w:type="dxa"/>
            <w:vMerge w:val="continue"/>
            <w:vAlign w:val="center"/>
          </w:tcPr>
          <w:p>
            <w:pPr>
              <w:spacing w:line="360" w:lineRule="exact"/>
              <w:jc w:val="center"/>
              <w:rPr>
                <w:rFonts w:cs="仿宋_GB2312"/>
                <w:sz w:val="28"/>
                <w:szCs w:val="28"/>
              </w:rPr>
            </w:pPr>
          </w:p>
        </w:tc>
        <w:tc>
          <w:tcPr>
            <w:tcW w:w="1839" w:type="dxa"/>
            <w:vMerge w:val="continue"/>
            <w:vAlign w:val="center"/>
          </w:tcPr>
          <w:p>
            <w:pPr>
              <w:spacing w:line="360" w:lineRule="exact"/>
              <w:jc w:val="center"/>
              <w:rPr>
                <w:rFonts w:cs="仿宋_GB2312"/>
                <w:sz w:val="28"/>
                <w:szCs w:val="28"/>
              </w:rPr>
            </w:pPr>
          </w:p>
        </w:tc>
        <w:tc>
          <w:tcPr>
            <w:tcW w:w="6382" w:type="dxa"/>
            <w:vAlign w:val="center"/>
          </w:tcPr>
          <w:p>
            <w:pPr>
              <w:snapToGrid w:val="0"/>
              <w:spacing w:line="320" w:lineRule="exact"/>
              <w:jc w:val="left"/>
              <w:rPr>
                <w:rFonts w:cs="仿宋_GB2312"/>
                <w:sz w:val="28"/>
                <w:szCs w:val="28"/>
              </w:rPr>
            </w:pPr>
            <w:r>
              <w:rPr>
                <w:rFonts w:hint="eastAsia" w:cs="仿宋_GB2312"/>
                <w:sz w:val="28"/>
                <w:szCs w:val="28"/>
              </w:rPr>
              <w:t>逐步落实胡同停车自治，合理规划胡同停车，打造不停车街区。</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sz w:val="28"/>
                <w:szCs w:val="28"/>
              </w:rPr>
            </w:pPr>
            <w:r>
              <w:rPr>
                <w:rFonts w:hint="eastAsia" w:cs="仿宋_GB2312"/>
                <w:sz w:val="28"/>
                <w:szCs w:val="28"/>
              </w:rPr>
              <w:t>各街道</w:t>
            </w:r>
          </w:p>
        </w:tc>
        <w:tc>
          <w:tcPr>
            <w:tcW w:w="2339" w:type="dxa"/>
            <w:vAlign w:val="center"/>
          </w:tcPr>
          <w:p>
            <w:pPr>
              <w:spacing w:line="360" w:lineRule="exact"/>
              <w:jc w:val="center"/>
              <w:rPr>
                <w:rFonts w:cs="仿宋_GB2312"/>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41" w:type="dxa"/>
            <w:vMerge w:val="continue"/>
            <w:vAlign w:val="center"/>
          </w:tcPr>
          <w:p>
            <w:pPr>
              <w:spacing w:line="360" w:lineRule="exact"/>
              <w:jc w:val="center"/>
              <w:rPr>
                <w:rFonts w:cs="仿宋_GB2312"/>
                <w:sz w:val="28"/>
                <w:szCs w:val="28"/>
              </w:rPr>
            </w:pPr>
          </w:p>
        </w:tc>
        <w:tc>
          <w:tcPr>
            <w:tcW w:w="1839" w:type="dxa"/>
            <w:vMerge w:val="continue"/>
            <w:vAlign w:val="center"/>
          </w:tcPr>
          <w:p>
            <w:pPr>
              <w:spacing w:line="360" w:lineRule="exact"/>
              <w:jc w:val="center"/>
              <w:rPr>
                <w:rFonts w:cs="仿宋_GB2312"/>
                <w:sz w:val="28"/>
                <w:szCs w:val="28"/>
              </w:rPr>
            </w:pPr>
          </w:p>
        </w:tc>
        <w:tc>
          <w:tcPr>
            <w:tcW w:w="6382" w:type="dxa"/>
            <w:vAlign w:val="center"/>
          </w:tcPr>
          <w:p>
            <w:pPr>
              <w:snapToGrid w:val="0"/>
              <w:spacing w:line="320" w:lineRule="exact"/>
              <w:jc w:val="left"/>
              <w:rPr>
                <w:rFonts w:cs="仿宋_GB2312"/>
                <w:sz w:val="28"/>
                <w:szCs w:val="28"/>
              </w:rPr>
            </w:pPr>
            <w:r>
              <w:rPr>
                <w:rFonts w:hint="eastAsia" w:cs="仿宋_GB2312"/>
                <w:sz w:val="28"/>
                <w:szCs w:val="28"/>
              </w:rPr>
              <w:t>提前谋划核心区机动车低排放区相关工作措施，精细化管控机动车排放。</w:t>
            </w:r>
          </w:p>
        </w:tc>
        <w:tc>
          <w:tcPr>
            <w:tcW w:w="1422" w:type="dxa"/>
            <w:vAlign w:val="center"/>
          </w:tcPr>
          <w:p>
            <w:pPr>
              <w:spacing w:line="360" w:lineRule="exact"/>
              <w:jc w:val="center"/>
              <w:rPr>
                <w:rFonts w:cs="仿宋_GB2312"/>
                <w:sz w:val="28"/>
                <w:szCs w:val="28"/>
              </w:rPr>
            </w:pPr>
            <w:r>
              <w:rPr>
                <w:rFonts w:hint="eastAsia" w:cs="仿宋_GB2312"/>
                <w:sz w:val="28"/>
                <w:szCs w:val="28"/>
              </w:rPr>
              <w:t>年底前</w:t>
            </w:r>
          </w:p>
        </w:tc>
        <w:tc>
          <w:tcPr>
            <w:tcW w:w="2268" w:type="dxa"/>
            <w:vAlign w:val="center"/>
          </w:tcPr>
          <w:p>
            <w:pPr>
              <w:spacing w:line="360" w:lineRule="exact"/>
              <w:jc w:val="center"/>
              <w:rPr>
                <w:rFonts w:cs="仿宋_GB2312"/>
                <w:sz w:val="28"/>
                <w:szCs w:val="28"/>
              </w:rPr>
            </w:pPr>
            <w:r>
              <w:rPr>
                <w:rFonts w:hint="eastAsia" w:cs="仿宋_GB2312"/>
                <w:sz w:val="28"/>
                <w:szCs w:val="28"/>
              </w:rPr>
              <w:t>区生态环境局</w:t>
            </w:r>
          </w:p>
        </w:tc>
        <w:tc>
          <w:tcPr>
            <w:tcW w:w="2339" w:type="dxa"/>
            <w:vAlign w:val="center"/>
          </w:tcPr>
          <w:p>
            <w:pPr>
              <w:spacing w:line="360" w:lineRule="exact"/>
              <w:jc w:val="center"/>
              <w:rPr>
                <w:rFonts w:cs="仿宋_GB2312"/>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741" w:type="dxa"/>
            <w:vAlign w:val="center"/>
          </w:tcPr>
          <w:p>
            <w:pPr>
              <w:spacing w:line="360" w:lineRule="exact"/>
              <w:jc w:val="center"/>
              <w:rPr>
                <w:rFonts w:cs="仿宋_GB2312"/>
                <w:sz w:val="28"/>
                <w:szCs w:val="28"/>
              </w:rPr>
            </w:pPr>
            <w:r>
              <w:rPr>
                <w:rFonts w:hint="eastAsia" w:cs="仿宋_GB2312"/>
                <w:sz w:val="28"/>
                <w:szCs w:val="28"/>
              </w:rPr>
              <w:t>32</w:t>
            </w:r>
          </w:p>
        </w:tc>
        <w:tc>
          <w:tcPr>
            <w:tcW w:w="1839" w:type="dxa"/>
            <w:vAlign w:val="center"/>
          </w:tcPr>
          <w:p>
            <w:pPr>
              <w:spacing w:line="360" w:lineRule="exact"/>
              <w:jc w:val="center"/>
              <w:rPr>
                <w:rFonts w:cs="仿宋_GB2312"/>
                <w:sz w:val="28"/>
                <w:szCs w:val="28"/>
              </w:rPr>
            </w:pPr>
            <w:r>
              <w:rPr>
                <w:rFonts w:hint="eastAsia" w:cs="仿宋_GB2312"/>
                <w:sz w:val="28"/>
                <w:szCs w:val="28"/>
              </w:rPr>
              <w:t>加强餐饮油烟精细化治理</w:t>
            </w:r>
          </w:p>
        </w:tc>
        <w:tc>
          <w:tcPr>
            <w:tcW w:w="6382" w:type="dxa"/>
            <w:vAlign w:val="center"/>
          </w:tcPr>
          <w:p>
            <w:pPr>
              <w:spacing w:line="360" w:lineRule="exact"/>
              <w:jc w:val="center"/>
              <w:rPr>
                <w:rFonts w:cs="仿宋_GB2312"/>
                <w:sz w:val="28"/>
                <w:szCs w:val="28"/>
              </w:rPr>
            </w:pPr>
            <w:r>
              <w:rPr>
                <w:rFonts w:hint="eastAsia" w:cs="仿宋_GB2312"/>
                <w:sz w:val="28"/>
                <w:szCs w:val="28"/>
              </w:rPr>
              <w:t>全面加强餐饮行业升级整治，开展商业楼宇油烟治理，加大执法处罚力度，督促定期清洗、达标排放。</w:t>
            </w:r>
          </w:p>
          <w:p>
            <w:pPr>
              <w:snapToGrid w:val="0"/>
              <w:spacing w:line="320" w:lineRule="exact"/>
              <w:jc w:val="left"/>
              <w:rPr>
                <w:rFonts w:cs="仿宋_GB2312"/>
                <w:sz w:val="28"/>
                <w:szCs w:val="28"/>
              </w:rPr>
            </w:pPr>
            <w:r>
              <w:rPr>
                <w:rFonts w:hint="eastAsia" w:cs="仿宋_GB2312"/>
                <w:sz w:val="28"/>
                <w:szCs w:val="28"/>
              </w:rPr>
              <w:t>充分发挥油烟在线监控作用，及时掌握餐饮油烟净化设施使用情况，提高执法效率。</w:t>
            </w:r>
          </w:p>
        </w:tc>
        <w:tc>
          <w:tcPr>
            <w:tcW w:w="1422" w:type="dxa"/>
            <w:vAlign w:val="center"/>
          </w:tcPr>
          <w:p>
            <w:pPr>
              <w:spacing w:line="360" w:lineRule="exact"/>
              <w:jc w:val="center"/>
              <w:rPr>
                <w:rFonts w:cs="仿宋_GB2312"/>
                <w:sz w:val="28"/>
                <w:szCs w:val="28"/>
              </w:rPr>
            </w:pPr>
            <w:r>
              <w:rPr>
                <w:rFonts w:hint="eastAsia" w:cs="仿宋_GB2312"/>
                <w:sz w:val="28"/>
                <w:szCs w:val="28"/>
              </w:rPr>
              <w:t>长期实施</w:t>
            </w:r>
          </w:p>
        </w:tc>
        <w:tc>
          <w:tcPr>
            <w:tcW w:w="2268" w:type="dxa"/>
            <w:vAlign w:val="center"/>
          </w:tcPr>
          <w:p>
            <w:pPr>
              <w:spacing w:line="360" w:lineRule="exact"/>
              <w:jc w:val="center"/>
              <w:rPr>
                <w:rFonts w:cs="仿宋_GB2312"/>
                <w:sz w:val="28"/>
                <w:szCs w:val="28"/>
              </w:rPr>
            </w:pPr>
            <w:r>
              <w:rPr>
                <w:rFonts w:hint="eastAsia" w:cs="仿宋_GB2312"/>
                <w:sz w:val="28"/>
                <w:szCs w:val="28"/>
              </w:rPr>
              <w:t>区生态环境局</w:t>
            </w:r>
          </w:p>
        </w:tc>
        <w:tc>
          <w:tcPr>
            <w:tcW w:w="2339" w:type="dxa"/>
            <w:vAlign w:val="center"/>
          </w:tcPr>
          <w:p>
            <w:pPr>
              <w:spacing w:line="360" w:lineRule="exact"/>
              <w:jc w:val="center"/>
              <w:rPr>
                <w:rFonts w:cs="仿宋_GB2312"/>
                <w:sz w:val="28"/>
                <w:szCs w:val="28"/>
              </w:rPr>
            </w:pPr>
            <w:r>
              <w:rPr>
                <w:rFonts w:hint="eastAsia" w:cs="仿宋_GB2312"/>
                <w:sz w:val="28"/>
                <w:szCs w:val="28"/>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741" w:type="dxa"/>
            <w:vMerge w:val="restart"/>
            <w:vAlign w:val="center"/>
          </w:tcPr>
          <w:p>
            <w:pPr>
              <w:spacing w:line="360" w:lineRule="exact"/>
              <w:jc w:val="center"/>
              <w:rPr>
                <w:rFonts w:cs="仿宋_GB2312"/>
                <w:sz w:val="28"/>
                <w:szCs w:val="28"/>
              </w:rPr>
            </w:pPr>
            <w:r>
              <w:rPr>
                <w:rFonts w:hint="eastAsia" w:cs="仿宋_GB2312"/>
                <w:sz w:val="28"/>
                <w:szCs w:val="28"/>
              </w:rPr>
              <w:t>33</w:t>
            </w:r>
          </w:p>
        </w:tc>
        <w:tc>
          <w:tcPr>
            <w:tcW w:w="1839" w:type="dxa"/>
            <w:vMerge w:val="restart"/>
            <w:vAlign w:val="center"/>
          </w:tcPr>
          <w:p>
            <w:pPr>
              <w:spacing w:line="360" w:lineRule="exact"/>
              <w:jc w:val="center"/>
              <w:rPr>
                <w:sz w:val="28"/>
                <w:szCs w:val="28"/>
              </w:rPr>
            </w:pPr>
            <w:r>
              <w:rPr>
                <w:rFonts w:hint="eastAsia" w:cs="仿宋_GB2312"/>
                <w:sz w:val="28"/>
                <w:szCs w:val="28"/>
              </w:rPr>
              <w:t>加强烟花爆竹管控、倡导文明祭祀</w:t>
            </w:r>
          </w:p>
        </w:tc>
        <w:tc>
          <w:tcPr>
            <w:tcW w:w="6382" w:type="dxa"/>
            <w:vAlign w:val="center"/>
          </w:tcPr>
          <w:p>
            <w:pPr>
              <w:snapToGrid w:val="0"/>
              <w:spacing w:line="320" w:lineRule="exact"/>
              <w:jc w:val="left"/>
              <w:rPr>
                <w:rFonts w:cs="仿宋_GB2312"/>
                <w:sz w:val="28"/>
                <w:szCs w:val="28"/>
              </w:rPr>
            </w:pPr>
            <w:r>
              <w:rPr>
                <w:rFonts w:hint="eastAsia" w:cs="仿宋_GB2312"/>
                <w:sz w:val="28"/>
                <w:szCs w:val="28"/>
              </w:rPr>
              <w:t>落实《北京市烟花爆竹安全管理规定》，全区禁止销售、燃放烟花爆竹。</w:t>
            </w:r>
          </w:p>
        </w:tc>
        <w:tc>
          <w:tcPr>
            <w:tcW w:w="1422" w:type="dxa"/>
            <w:vAlign w:val="center"/>
          </w:tcPr>
          <w:p>
            <w:pPr>
              <w:spacing w:line="360" w:lineRule="exact"/>
              <w:jc w:val="center"/>
              <w:rPr>
                <w:rFonts w:cs="仿宋_GB2312"/>
                <w:sz w:val="28"/>
                <w:szCs w:val="28"/>
              </w:rPr>
            </w:pPr>
            <w:r>
              <w:rPr>
                <w:rFonts w:hint="eastAsia" w:cs="仿宋_GB2312"/>
                <w:sz w:val="28"/>
                <w:szCs w:val="28"/>
              </w:rPr>
              <w:t>长期实施</w:t>
            </w:r>
          </w:p>
        </w:tc>
        <w:tc>
          <w:tcPr>
            <w:tcW w:w="2268" w:type="dxa"/>
            <w:vAlign w:val="center"/>
          </w:tcPr>
          <w:p>
            <w:pPr>
              <w:spacing w:line="360" w:lineRule="exact"/>
              <w:jc w:val="center"/>
              <w:rPr>
                <w:rFonts w:cs="仿宋_GB2312"/>
                <w:sz w:val="28"/>
                <w:szCs w:val="28"/>
              </w:rPr>
            </w:pPr>
            <w:r>
              <w:rPr>
                <w:rFonts w:hint="eastAsia" w:cs="仿宋_GB2312"/>
                <w:sz w:val="28"/>
                <w:szCs w:val="28"/>
              </w:rPr>
              <w:t>东城公安分局</w:t>
            </w:r>
          </w:p>
          <w:p>
            <w:pPr>
              <w:spacing w:line="360" w:lineRule="exact"/>
              <w:jc w:val="center"/>
              <w:rPr>
                <w:rFonts w:cs="仿宋_GB2312"/>
                <w:sz w:val="28"/>
                <w:szCs w:val="28"/>
              </w:rPr>
            </w:pPr>
            <w:r>
              <w:rPr>
                <w:rFonts w:hint="eastAsia" w:cs="仿宋_GB2312"/>
                <w:sz w:val="28"/>
                <w:szCs w:val="28"/>
              </w:rPr>
              <w:t>区应急局</w:t>
            </w:r>
          </w:p>
        </w:tc>
        <w:tc>
          <w:tcPr>
            <w:tcW w:w="2339" w:type="dxa"/>
            <w:vAlign w:val="center"/>
          </w:tcPr>
          <w:p>
            <w:pPr>
              <w:spacing w:line="360" w:lineRule="exact"/>
              <w:jc w:val="center"/>
              <w:rPr>
                <w:sz w:val="28"/>
                <w:szCs w:val="28"/>
              </w:rPr>
            </w:pPr>
            <w:r>
              <w:rPr>
                <w:rFonts w:hint="eastAsia"/>
                <w:sz w:val="28"/>
                <w:szCs w:val="28"/>
              </w:rPr>
              <w:t>各街道（地区）</w:t>
            </w:r>
          </w:p>
          <w:p>
            <w:pPr>
              <w:spacing w:line="360" w:lineRule="exact"/>
              <w:ind w:left="-160" w:leftChars="-50" w:right="-160" w:rightChars="-50"/>
              <w:jc w:val="center"/>
              <w:rPr>
                <w:sz w:val="28"/>
                <w:szCs w:val="28"/>
              </w:rPr>
            </w:pPr>
            <w:r>
              <w:rPr>
                <w:rFonts w:hint="eastAsia"/>
                <w:sz w:val="28"/>
                <w:szCs w:val="28"/>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741" w:type="dxa"/>
            <w:vMerge w:val="continue"/>
            <w:vAlign w:val="center"/>
          </w:tcPr>
          <w:p>
            <w:pPr>
              <w:spacing w:line="360" w:lineRule="exact"/>
              <w:jc w:val="center"/>
              <w:rPr>
                <w:rFonts w:cs="仿宋_GB2312"/>
                <w:sz w:val="28"/>
                <w:szCs w:val="28"/>
              </w:rPr>
            </w:pPr>
          </w:p>
        </w:tc>
        <w:tc>
          <w:tcPr>
            <w:tcW w:w="1839" w:type="dxa"/>
            <w:vMerge w:val="continue"/>
            <w:vAlign w:val="center"/>
          </w:tcPr>
          <w:p>
            <w:pPr>
              <w:widowControl/>
              <w:jc w:val="left"/>
              <w:rPr>
                <w:sz w:val="28"/>
                <w:szCs w:val="28"/>
              </w:rPr>
            </w:pPr>
          </w:p>
        </w:tc>
        <w:tc>
          <w:tcPr>
            <w:tcW w:w="6382" w:type="dxa"/>
            <w:vAlign w:val="center"/>
          </w:tcPr>
          <w:p>
            <w:pPr>
              <w:snapToGrid w:val="0"/>
              <w:spacing w:line="320" w:lineRule="exact"/>
              <w:jc w:val="left"/>
              <w:rPr>
                <w:rFonts w:cs="仿宋_GB2312"/>
                <w:sz w:val="28"/>
                <w:szCs w:val="28"/>
              </w:rPr>
            </w:pPr>
            <w:r>
              <w:rPr>
                <w:rFonts w:hint="eastAsia" w:cs="仿宋_GB2312"/>
                <w:sz w:val="28"/>
                <w:szCs w:val="28"/>
              </w:rPr>
              <w:t>倡导文明、绿色祭祀。从源头做好行业监管，禁止销售纸钱、冥币等用品。劝阻居民露天烧纸祭祀行为。</w:t>
            </w:r>
          </w:p>
        </w:tc>
        <w:tc>
          <w:tcPr>
            <w:tcW w:w="1422" w:type="dxa"/>
            <w:vAlign w:val="center"/>
          </w:tcPr>
          <w:p>
            <w:pPr>
              <w:spacing w:line="360" w:lineRule="exact"/>
              <w:jc w:val="center"/>
              <w:rPr>
                <w:rFonts w:cs="仿宋_GB2312"/>
                <w:sz w:val="28"/>
                <w:szCs w:val="28"/>
              </w:rPr>
            </w:pPr>
            <w:r>
              <w:rPr>
                <w:rFonts w:hint="eastAsia" w:cs="仿宋_GB2312"/>
                <w:sz w:val="28"/>
                <w:szCs w:val="28"/>
              </w:rPr>
              <w:t>长期实施</w:t>
            </w:r>
          </w:p>
        </w:tc>
        <w:tc>
          <w:tcPr>
            <w:tcW w:w="2268" w:type="dxa"/>
            <w:vAlign w:val="center"/>
          </w:tcPr>
          <w:p>
            <w:pPr>
              <w:adjustRightInd w:val="0"/>
              <w:snapToGrid w:val="0"/>
              <w:spacing w:line="320" w:lineRule="exact"/>
              <w:jc w:val="center"/>
              <w:rPr>
                <w:rFonts w:cs="仿宋_GB2312"/>
                <w:sz w:val="28"/>
                <w:szCs w:val="28"/>
              </w:rPr>
            </w:pPr>
            <w:r>
              <w:rPr>
                <w:rFonts w:hint="eastAsia" w:cs="仿宋_GB2312"/>
                <w:sz w:val="28"/>
                <w:szCs w:val="28"/>
              </w:rPr>
              <w:t>区民政局</w:t>
            </w:r>
          </w:p>
          <w:p>
            <w:pPr>
              <w:adjustRightInd w:val="0"/>
              <w:snapToGrid w:val="0"/>
              <w:spacing w:line="320" w:lineRule="exact"/>
              <w:jc w:val="center"/>
              <w:rPr>
                <w:rFonts w:cs="仿宋_GB2312"/>
                <w:sz w:val="28"/>
                <w:szCs w:val="28"/>
              </w:rPr>
            </w:pPr>
            <w:r>
              <w:rPr>
                <w:rFonts w:hint="eastAsia" w:cs="仿宋_GB2312"/>
                <w:sz w:val="28"/>
                <w:szCs w:val="28"/>
              </w:rPr>
              <w:t>区委宣传部</w:t>
            </w:r>
          </w:p>
          <w:p>
            <w:pPr>
              <w:spacing w:line="320" w:lineRule="exact"/>
              <w:ind w:left="-160" w:leftChars="-50" w:right="-160" w:rightChars="-50"/>
              <w:jc w:val="center"/>
              <w:rPr>
                <w:rFonts w:cs="仿宋_GB2312"/>
                <w:sz w:val="28"/>
                <w:szCs w:val="28"/>
              </w:rPr>
            </w:pPr>
            <w:r>
              <w:rPr>
                <w:rFonts w:hint="eastAsia" w:cs="仿宋_GB2312"/>
                <w:sz w:val="28"/>
                <w:szCs w:val="28"/>
              </w:rPr>
              <w:t>区应急管理局</w:t>
            </w:r>
          </w:p>
          <w:p>
            <w:pPr>
              <w:spacing w:line="320" w:lineRule="exact"/>
              <w:ind w:left="-160" w:leftChars="-50" w:right="-160" w:rightChars="-50"/>
              <w:jc w:val="center"/>
              <w:rPr>
                <w:rFonts w:cs="仿宋_GB2312"/>
                <w:sz w:val="28"/>
                <w:szCs w:val="28"/>
              </w:rPr>
            </w:pPr>
            <w:r>
              <w:rPr>
                <w:rFonts w:hint="eastAsia" w:cs="仿宋_GB2312"/>
                <w:sz w:val="28"/>
                <w:szCs w:val="28"/>
              </w:rPr>
              <w:t>区城管委</w:t>
            </w:r>
          </w:p>
          <w:p>
            <w:pPr>
              <w:adjustRightInd w:val="0"/>
              <w:snapToGrid w:val="0"/>
              <w:spacing w:line="320" w:lineRule="exact"/>
              <w:jc w:val="center"/>
              <w:rPr>
                <w:rFonts w:cs="仿宋_GB2312"/>
                <w:sz w:val="28"/>
                <w:szCs w:val="28"/>
              </w:rPr>
            </w:pPr>
            <w:r>
              <w:rPr>
                <w:rFonts w:hint="eastAsia" w:cs="仿宋_GB2312"/>
                <w:sz w:val="28"/>
                <w:szCs w:val="28"/>
              </w:rPr>
              <w:t>区生态环境局</w:t>
            </w:r>
          </w:p>
          <w:p>
            <w:pPr>
              <w:adjustRightInd w:val="0"/>
              <w:snapToGrid w:val="0"/>
              <w:spacing w:line="320" w:lineRule="exact"/>
              <w:jc w:val="center"/>
              <w:rPr>
                <w:rFonts w:cs="仿宋_GB2312"/>
                <w:sz w:val="28"/>
                <w:szCs w:val="28"/>
              </w:rPr>
            </w:pPr>
            <w:r>
              <w:rPr>
                <w:rFonts w:hint="eastAsia" w:cs="仿宋_GB2312"/>
                <w:sz w:val="28"/>
                <w:szCs w:val="28"/>
              </w:rPr>
              <w:t>各街道（地区）</w:t>
            </w:r>
          </w:p>
        </w:tc>
        <w:tc>
          <w:tcPr>
            <w:tcW w:w="2339" w:type="dxa"/>
            <w:vAlign w:val="center"/>
          </w:tcPr>
          <w:p>
            <w:pPr>
              <w:spacing w:line="320" w:lineRule="exact"/>
              <w:ind w:left="-160" w:leftChars="-50" w:right="-160" w:rightChars="-50"/>
              <w:jc w:val="center"/>
              <w:rPr>
                <w:rFonts w:cs="仿宋_GB2312"/>
                <w:sz w:val="28"/>
                <w:szCs w:val="28"/>
              </w:rPr>
            </w:pPr>
            <w:r>
              <w:rPr>
                <w:rFonts w:hint="eastAsia" w:cs="仿宋_GB2312"/>
                <w:color w:val="000000"/>
                <w:sz w:val="28"/>
                <w:szCs w:val="28"/>
              </w:rPr>
              <w:t>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741" w:type="dxa"/>
            <w:vAlign w:val="center"/>
          </w:tcPr>
          <w:p>
            <w:pPr>
              <w:spacing w:line="360" w:lineRule="exact"/>
              <w:jc w:val="center"/>
              <w:rPr>
                <w:rFonts w:cs="仿宋_GB2312"/>
                <w:sz w:val="28"/>
                <w:szCs w:val="28"/>
              </w:rPr>
            </w:pPr>
            <w:r>
              <w:rPr>
                <w:rFonts w:hint="eastAsia"/>
                <w:sz w:val="28"/>
                <w:szCs w:val="28"/>
              </w:rPr>
              <w:t>34</w:t>
            </w:r>
          </w:p>
        </w:tc>
        <w:tc>
          <w:tcPr>
            <w:tcW w:w="1839" w:type="dxa"/>
            <w:vAlign w:val="center"/>
          </w:tcPr>
          <w:p>
            <w:pPr>
              <w:spacing w:line="360" w:lineRule="exact"/>
              <w:jc w:val="center"/>
              <w:rPr>
                <w:sz w:val="28"/>
                <w:szCs w:val="28"/>
              </w:rPr>
            </w:pPr>
            <w:r>
              <w:rPr>
                <w:rFonts w:hint="eastAsia" w:cs="仿宋_GB2312"/>
                <w:color w:val="000000"/>
                <w:sz w:val="28"/>
                <w:szCs w:val="28"/>
              </w:rPr>
              <w:t>加强统筹调度</w:t>
            </w:r>
          </w:p>
        </w:tc>
        <w:tc>
          <w:tcPr>
            <w:tcW w:w="6382" w:type="dxa"/>
            <w:vAlign w:val="center"/>
          </w:tcPr>
          <w:p>
            <w:pPr>
              <w:snapToGrid w:val="0"/>
              <w:spacing w:line="320" w:lineRule="exact"/>
              <w:jc w:val="left"/>
              <w:rPr>
                <w:rFonts w:cs="仿宋_GB2312"/>
                <w:sz w:val="28"/>
                <w:szCs w:val="28"/>
              </w:rPr>
            </w:pPr>
            <w:r>
              <w:rPr>
                <w:rFonts w:hint="eastAsia" w:cs="仿宋_GB2312"/>
                <w:sz w:val="28"/>
                <w:szCs w:val="28"/>
              </w:rPr>
              <w:t>充分发挥大气监测网络作用，及时通报区域空气质量状况，</w:t>
            </w:r>
            <w:r>
              <w:rPr>
                <w:rFonts w:hint="eastAsia" w:cs="仿宋_GB2312"/>
                <w:color w:val="000000"/>
                <w:sz w:val="28"/>
                <w:szCs w:val="28"/>
              </w:rPr>
              <w:t>定期对各街道空气质量进行排名通报。</w:t>
            </w:r>
          </w:p>
        </w:tc>
        <w:tc>
          <w:tcPr>
            <w:tcW w:w="1422" w:type="dxa"/>
            <w:vAlign w:val="center"/>
          </w:tcPr>
          <w:p>
            <w:pPr>
              <w:spacing w:line="360" w:lineRule="exact"/>
              <w:jc w:val="center"/>
              <w:rPr>
                <w:rFonts w:cs="仿宋_GB2312"/>
                <w:sz w:val="28"/>
                <w:szCs w:val="28"/>
              </w:rPr>
            </w:pPr>
            <w:r>
              <w:rPr>
                <w:rFonts w:hint="eastAsia" w:cs="仿宋_GB2312"/>
                <w:color w:val="000000"/>
                <w:sz w:val="28"/>
                <w:szCs w:val="28"/>
              </w:rPr>
              <w:t>长期实施</w:t>
            </w:r>
          </w:p>
        </w:tc>
        <w:tc>
          <w:tcPr>
            <w:tcW w:w="2268" w:type="dxa"/>
            <w:vAlign w:val="center"/>
          </w:tcPr>
          <w:p>
            <w:pPr>
              <w:adjustRightInd w:val="0"/>
              <w:snapToGrid w:val="0"/>
              <w:spacing w:line="360" w:lineRule="exact"/>
              <w:jc w:val="center"/>
              <w:rPr>
                <w:rFonts w:cs="仿宋_GB2312"/>
                <w:sz w:val="28"/>
                <w:szCs w:val="28"/>
              </w:rPr>
            </w:pPr>
            <w:r>
              <w:rPr>
                <w:rFonts w:hint="eastAsia" w:cs="仿宋_GB2312"/>
                <w:color w:val="000000"/>
                <w:sz w:val="28"/>
                <w:szCs w:val="28"/>
              </w:rPr>
              <w:t>区</w:t>
            </w:r>
            <w:r>
              <w:rPr>
                <w:rFonts w:hint="eastAsia" w:cs="仿宋_GB2312"/>
                <w:sz w:val="28"/>
                <w:szCs w:val="28"/>
              </w:rPr>
              <w:t>生态环境</w:t>
            </w:r>
            <w:r>
              <w:rPr>
                <w:rFonts w:hint="eastAsia" w:cs="仿宋_GB2312"/>
                <w:color w:val="000000"/>
                <w:sz w:val="28"/>
                <w:szCs w:val="28"/>
              </w:rPr>
              <w:t>局</w:t>
            </w:r>
          </w:p>
        </w:tc>
        <w:tc>
          <w:tcPr>
            <w:tcW w:w="2339" w:type="dxa"/>
            <w:vAlign w:val="center"/>
          </w:tcPr>
          <w:p>
            <w:pPr>
              <w:spacing w:line="360" w:lineRule="exact"/>
              <w:ind w:left="-160" w:leftChars="-50" w:right="-160" w:rightChars="-50"/>
              <w:jc w:val="center"/>
              <w:rPr>
                <w:rFonts w:cs="仿宋_GB2312"/>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91" w:type="dxa"/>
            <w:gridSpan w:val="6"/>
            <w:vAlign w:val="center"/>
          </w:tcPr>
          <w:p>
            <w:pPr>
              <w:widowControl/>
              <w:jc w:val="center"/>
              <w:rPr>
                <w:sz w:val="28"/>
                <w:szCs w:val="28"/>
              </w:rPr>
            </w:pPr>
            <w:r>
              <w:rPr>
                <w:rFonts w:hint="eastAsia" w:ascii="黑体" w:hAnsi="黑体" w:eastAsia="黑体"/>
                <w:sz w:val="28"/>
                <w:szCs w:val="28"/>
              </w:rPr>
              <w:t>六、推进区域大气污染联防联控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741" w:type="dxa"/>
            <w:vAlign w:val="center"/>
          </w:tcPr>
          <w:p>
            <w:pPr>
              <w:spacing w:line="280" w:lineRule="exact"/>
              <w:jc w:val="center"/>
              <w:rPr>
                <w:rFonts w:cs="仿宋_GB2312"/>
                <w:sz w:val="28"/>
                <w:szCs w:val="28"/>
              </w:rPr>
            </w:pPr>
            <w:r>
              <w:rPr>
                <w:rFonts w:hint="eastAsia"/>
                <w:sz w:val="28"/>
                <w:szCs w:val="28"/>
              </w:rPr>
              <w:t>35</w:t>
            </w:r>
          </w:p>
        </w:tc>
        <w:tc>
          <w:tcPr>
            <w:tcW w:w="1839" w:type="dxa"/>
            <w:vAlign w:val="center"/>
          </w:tcPr>
          <w:p>
            <w:pPr>
              <w:spacing w:line="360" w:lineRule="exact"/>
              <w:jc w:val="center"/>
              <w:rPr>
                <w:sz w:val="28"/>
                <w:szCs w:val="28"/>
              </w:rPr>
            </w:pPr>
            <w:r>
              <w:rPr>
                <w:rFonts w:hint="eastAsia" w:cs="仿宋_GB2312"/>
                <w:sz w:val="28"/>
                <w:szCs w:val="28"/>
              </w:rPr>
              <w:t>加强区域联防联控</w:t>
            </w:r>
          </w:p>
        </w:tc>
        <w:tc>
          <w:tcPr>
            <w:tcW w:w="6382" w:type="dxa"/>
            <w:vAlign w:val="center"/>
          </w:tcPr>
          <w:p>
            <w:pPr>
              <w:snapToGrid w:val="0"/>
              <w:spacing w:line="340" w:lineRule="exact"/>
              <w:jc w:val="left"/>
              <w:rPr>
                <w:rFonts w:ascii="黑体" w:hAnsi="黑体" w:eastAsia="黑体"/>
                <w:sz w:val="28"/>
                <w:szCs w:val="28"/>
              </w:rPr>
            </w:pPr>
            <w:r>
              <w:rPr>
                <w:rFonts w:hint="eastAsia" w:cs="仿宋_GB2312"/>
                <w:sz w:val="28"/>
                <w:szCs w:val="28"/>
              </w:rPr>
              <w:t>加强空气质量预测预报分析，确保信息传输通道畅通，积极协调相关部门共同做好重大活动空气质量保障工作。</w:t>
            </w:r>
          </w:p>
        </w:tc>
        <w:tc>
          <w:tcPr>
            <w:tcW w:w="1422" w:type="dxa"/>
            <w:vAlign w:val="center"/>
          </w:tcPr>
          <w:p>
            <w:pPr>
              <w:spacing w:line="280" w:lineRule="exact"/>
              <w:jc w:val="center"/>
              <w:rPr>
                <w:rFonts w:cs="仿宋_GB2312"/>
                <w:sz w:val="28"/>
                <w:szCs w:val="28"/>
              </w:rPr>
            </w:pPr>
            <w:r>
              <w:rPr>
                <w:rFonts w:hint="eastAsia" w:cs="仿宋_GB2312"/>
                <w:sz w:val="28"/>
                <w:szCs w:val="28"/>
              </w:rPr>
              <w:t>长期实施</w:t>
            </w:r>
          </w:p>
        </w:tc>
        <w:tc>
          <w:tcPr>
            <w:tcW w:w="2268" w:type="dxa"/>
            <w:vAlign w:val="center"/>
          </w:tcPr>
          <w:p>
            <w:pPr>
              <w:spacing w:line="280" w:lineRule="exact"/>
              <w:jc w:val="center"/>
              <w:rPr>
                <w:rFonts w:cs="仿宋_GB2312"/>
                <w:sz w:val="28"/>
                <w:szCs w:val="28"/>
              </w:rPr>
            </w:pPr>
            <w:r>
              <w:rPr>
                <w:rFonts w:hint="eastAsia" w:cs="仿宋_GB2312"/>
                <w:sz w:val="28"/>
                <w:szCs w:val="28"/>
              </w:rPr>
              <w:t>区生态环境局</w:t>
            </w:r>
          </w:p>
        </w:tc>
        <w:tc>
          <w:tcPr>
            <w:tcW w:w="2339" w:type="dxa"/>
            <w:vAlign w:val="center"/>
          </w:tcPr>
          <w:p>
            <w:pPr>
              <w:spacing w:line="360" w:lineRule="exact"/>
              <w:ind w:left="-160" w:leftChars="-50" w:right="-160" w:rightChars="-50"/>
              <w:jc w:val="center"/>
              <w:rPr>
                <w:rFonts w:cs="仿宋_GB2312"/>
                <w:sz w:val="24"/>
              </w:rPr>
            </w:pPr>
            <w:r>
              <w:rPr>
                <w:rFonts w:hint="eastAsia" w:cs="仿宋_GB2312"/>
                <w:color w:val="000000"/>
                <w:sz w:val="28"/>
                <w:szCs w:val="28"/>
              </w:rPr>
              <w:t>区相关部门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741" w:type="dxa"/>
            <w:vAlign w:val="center"/>
          </w:tcPr>
          <w:p>
            <w:pPr>
              <w:spacing w:line="280" w:lineRule="exact"/>
              <w:jc w:val="center"/>
              <w:rPr>
                <w:rFonts w:cs="仿宋_GB2312"/>
                <w:sz w:val="28"/>
                <w:szCs w:val="28"/>
              </w:rPr>
            </w:pPr>
            <w:r>
              <w:rPr>
                <w:rFonts w:hint="eastAsia" w:cs="仿宋_GB2312"/>
                <w:sz w:val="28"/>
                <w:szCs w:val="28"/>
              </w:rPr>
              <w:t>36</w:t>
            </w:r>
          </w:p>
        </w:tc>
        <w:tc>
          <w:tcPr>
            <w:tcW w:w="1839" w:type="dxa"/>
            <w:vAlign w:val="center"/>
          </w:tcPr>
          <w:p>
            <w:pPr>
              <w:spacing w:line="280" w:lineRule="exact"/>
              <w:jc w:val="center"/>
              <w:rPr>
                <w:sz w:val="28"/>
                <w:szCs w:val="28"/>
              </w:rPr>
            </w:pPr>
            <w:r>
              <w:rPr>
                <w:rFonts w:hint="eastAsia" w:cs="仿宋_GB2312"/>
                <w:sz w:val="28"/>
                <w:szCs w:val="28"/>
              </w:rPr>
              <w:t>强化空气重污染应对</w:t>
            </w:r>
          </w:p>
        </w:tc>
        <w:tc>
          <w:tcPr>
            <w:tcW w:w="6382" w:type="dxa"/>
            <w:vAlign w:val="center"/>
          </w:tcPr>
          <w:p>
            <w:pPr>
              <w:spacing w:line="340" w:lineRule="exact"/>
              <w:jc w:val="left"/>
              <w:rPr>
                <w:sz w:val="28"/>
                <w:szCs w:val="28"/>
              </w:rPr>
            </w:pPr>
            <w:r>
              <w:rPr>
                <w:rFonts w:hint="eastAsia" w:cs="仿宋_GB2312"/>
                <w:sz w:val="28"/>
                <w:szCs w:val="28"/>
              </w:rPr>
              <w:t>落实空气重污染应急预案，更新完善“一厂一策”应急减排清单，实施分类、分级差异化管理。</w:t>
            </w:r>
          </w:p>
          <w:p>
            <w:pPr>
              <w:snapToGrid w:val="0"/>
              <w:spacing w:line="340" w:lineRule="exact"/>
              <w:jc w:val="left"/>
              <w:rPr>
                <w:rFonts w:cs="仿宋_GB2312"/>
                <w:sz w:val="28"/>
                <w:szCs w:val="28"/>
              </w:rPr>
            </w:pPr>
            <w:r>
              <w:rPr>
                <w:rFonts w:hint="eastAsia" w:cs="仿宋_GB2312"/>
                <w:sz w:val="28"/>
                <w:szCs w:val="28"/>
              </w:rPr>
              <w:t>空气重污染期间，加强督查检查执法，督促落实“一厂一策”等各项减排措施，发挥对重污染的削峰降速作用。</w:t>
            </w:r>
          </w:p>
        </w:tc>
        <w:tc>
          <w:tcPr>
            <w:tcW w:w="1422" w:type="dxa"/>
            <w:vAlign w:val="center"/>
          </w:tcPr>
          <w:p>
            <w:pPr>
              <w:spacing w:line="280" w:lineRule="exact"/>
              <w:jc w:val="center"/>
              <w:rPr>
                <w:rFonts w:cs="仿宋_GB2312"/>
                <w:sz w:val="28"/>
                <w:szCs w:val="28"/>
              </w:rPr>
            </w:pPr>
            <w:r>
              <w:rPr>
                <w:rFonts w:hint="eastAsia" w:cs="仿宋_GB2312"/>
                <w:sz w:val="28"/>
                <w:szCs w:val="28"/>
              </w:rPr>
              <w:t>长期</w:t>
            </w:r>
          </w:p>
          <w:p>
            <w:pPr>
              <w:spacing w:line="280" w:lineRule="exact"/>
              <w:jc w:val="center"/>
              <w:rPr>
                <w:rFonts w:cs="仿宋_GB2312"/>
                <w:sz w:val="28"/>
                <w:szCs w:val="28"/>
              </w:rPr>
            </w:pPr>
            <w:r>
              <w:rPr>
                <w:rFonts w:hint="eastAsia" w:cs="仿宋_GB2312"/>
                <w:sz w:val="28"/>
                <w:szCs w:val="28"/>
              </w:rPr>
              <w:t>实施</w:t>
            </w:r>
          </w:p>
        </w:tc>
        <w:tc>
          <w:tcPr>
            <w:tcW w:w="2268" w:type="dxa"/>
            <w:vAlign w:val="center"/>
          </w:tcPr>
          <w:p>
            <w:pPr>
              <w:spacing w:line="280" w:lineRule="exact"/>
              <w:jc w:val="center"/>
              <w:rPr>
                <w:rFonts w:cs="仿宋_GB2312"/>
                <w:sz w:val="28"/>
                <w:szCs w:val="28"/>
              </w:rPr>
            </w:pPr>
            <w:r>
              <w:rPr>
                <w:rFonts w:hint="eastAsia" w:cs="仿宋_GB2312"/>
                <w:sz w:val="28"/>
                <w:szCs w:val="28"/>
              </w:rPr>
              <w:t>区生态环境局</w:t>
            </w:r>
          </w:p>
        </w:tc>
        <w:tc>
          <w:tcPr>
            <w:tcW w:w="2339" w:type="dxa"/>
            <w:vAlign w:val="center"/>
          </w:tcPr>
          <w:p>
            <w:pPr>
              <w:spacing w:line="360" w:lineRule="exact"/>
              <w:ind w:left="-160" w:leftChars="-50" w:right="-160" w:rightChars="-50"/>
              <w:jc w:val="center"/>
              <w:rPr>
                <w:rFonts w:cs="仿宋_GB2312"/>
                <w:color w:val="000000"/>
                <w:sz w:val="28"/>
                <w:szCs w:val="28"/>
              </w:rPr>
            </w:pPr>
            <w:r>
              <w:rPr>
                <w:rFonts w:hint="eastAsia" w:cs="仿宋_GB2312"/>
                <w:color w:val="000000"/>
                <w:sz w:val="28"/>
                <w:szCs w:val="28"/>
              </w:rPr>
              <w:t>区应急局</w:t>
            </w:r>
          </w:p>
          <w:p>
            <w:pPr>
              <w:spacing w:line="360" w:lineRule="exact"/>
              <w:ind w:left="-160" w:leftChars="-50" w:right="-160" w:rightChars="-50"/>
              <w:jc w:val="center"/>
              <w:rPr>
                <w:rFonts w:cs="仿宋_GB2312"/>
                <w:color w:val="000000"/>
                <w:sz w:val="28"/>
                <w:szCs w:val="28"/>
              </w:rPr>
            </w:pPr>
            <w:r>
              <w:rPr>
                <w:rFonts w:hint="eastAsia" w:cs="仿宋_GB2312"/>
                <w:color w:val="000000"/>
                <w:sz w:val="28"/>
                <w:szCs w:val="28"/>
              </w:rPr>
              <w:t>区空气重污染应急指挥部成员单位</w:t>
            </w:r>
          </w:p>
        </w:tc>
      </w:tr>
    </w:tbl>
    <w:p>
      <w:pPr>
        <w:jc w:val="center"/>
      </w:pPr>
    </w:p>
    <w:p>
      <w:pPr>
        <w:ind w:firstLine="640" w:firstLineChars="200"/>
        <w:rPr>
          <w:rFonts w:ascii="Times New Roman" w:hAnsi="Times New Roman" w:cs="Times New Roman"/>
          <w:szCs w:val="32"/>
        </w:rPr>
      </w:pPr>
      <w:r>
        <w:rPr>
          <w:rFonts w:ascii="Times New Roman" w:hAnsi="Times New Roman" w:cs="Times New Roman"/>
          <w:szCs w:val="32"/>
        </w:rPr>
        <w:br w:type="page"/>
      </w:r>
    </w:p>
    <w:p>
      <w:pPr>
        <w:rPr>
          <w:rFonts w:ascii="黑体" w:hAnsi="黑体" w:eastAsia="黑体"/>
          <w:szCs w:val="32"/>
        </w:rPr>
      </w:pPr>
      <w:r>
        <w:rPr>
          <w:rFonts w:hint="eastAsia" w:ascii="黑体" w:hAnsi="黑体" w:eastAsia="黑体"/>
          <w:szCs w:val="32"/>
        </w:rPr>
        <w:t>附件2</w:t>
      </w:r>
    </w:p>
    <w:p>
      <w:pPr>
        <w:spacing w:before="435" w:beforeLines="100" w:after="435" w:afterLines="100"/>
        <w:jc w:val="center"/>
        <w:outlineLvl w:val="0"/>
        <w:rPr>
          <w:rFonts w:ascii="方正小标宋简体" w:eastAsia="方正小标宋简体"/>
          <w:szCs w:val="32"/>
        </w:rPr>
      </w:pPr>
      <w:r>
        <w:rPr>
          <w:rFonts w:hint="eastAsia" w:ascii="方正小标宋简体" w:eastAsia="方正小标宋简体"/>
          <w:sz w:val="44"/>
          <w:szCs w:val="44"/>
        </w:rPr>
        <w:t>东城区水污染防治2021年行动计划</w:t>
      </w:r>
    </w:p>
    <w:tbl>
      <w:tblPr>
        <w:tblStyle w:val="5"/>
        <w:tblW w:w="15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514"/>
        <w:gridCol w:w="22"/>
        <w:gridCol w:w="5814"/>
        <w:gridCol w:w="1054"/>
        <w:gridCol w:w="3675"/>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sz w:val="28"/>
                <w:szCs w:val="28"/>
              </w:rPr>
            </w:pPr>
            <w:r>
              <w:rPr>
                <w:rFonts w:hint="eastAsia" w:eastAsia="黑体"/>
                <w:sz w:val="28"/>
                <w:szCs w:val="28"/>
              </w:rPr>
              <w:t>序号</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sz w:val="28"/>
                <w:szCs w:val="28"/>
              </w:rPr>
            </w:pPr>
            <w:r>
              <w:rPr>
                <w:rFonts w:hint="eastAsia" w:eastAsia="黑体"/>
                <w:sz w:val="28"/>
                <w:szCs w:val="28"/>
              </w:rPr>
              <w:t>重点任务</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sz w:val="28"/>
                <w:szCs w:val="28"/>
              </w:rPr>
            </w:pPr>
            <w:r>
              <w:rPr>
                <w:rFonts w:hint="eastAsia" w:eastAsia="黑体"/>
                <w:sz w:val="28"/>
                <w:szCs w:val="28"/>
              </w:rPr>
              <w:t>工作措施</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rFonts w:eastAsia="黑体"/>
                <w:sz w:val="28"/>
                <w:szCs w:val="28"/>
              </w:rPr>
            </w:pPr>
            <w:r>
              <w:rPr>
                <w:rFonts w:hint="eastAsia" w:eastAsia="黑体"/>
                <w:sz w:val="28"/>
                <w:szCs w:val="28"/>
              </w:rPr>
              <w:t>完成</w:t>
            </w:r>
          </w:p>
          <w:p>
            <w:pPr>
              <w:spacing w:line="360" w:lineRule="exact"/>
              <w:ind w:left="-160" w:leftChars="-50" w:right="-160" w:rightChars="-50"/>
              <w:jc w:val="center"/>
              <w:rPr>
                <w:rFonts w:eastAsia="黑体"/>
                <w:sz w:val="28"/>
                <w:szCs w:val="28"/>
              </w:rPr>
            </w:pPr>
            <w:r>
              <w:rPr>
                <w:rFonts w:hint="eastAsia" w:eastAsia="黑体"/>
                <w:sz w:val="28"/>
                <w:szCs w:val="28"/>
              </w:rPr>
              <w:t>时限</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sz w:val="28"/>
                <w:szCs w:val="28"/>
              </w:rPr>
            </w:pPr>
            <w:r>
              <w:rPr>
                <w:rFonts w:hint="eastAsia" w:eastAsia="黑体"/>
                <w:sz w:val="28"/>
                <w:szCs w:val="28"/>
              </w:rPr>
              <w:t>牵头部门</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sz w:val="28"/>
                <w:szCs w:val="28"/>
              </w:rPr>
            </w:pPr>
            <w:r>
              <w:rPr>
                <w:rFonts w:hint="eastAsia" w:eastAsia="黑体"/>
                <w:sz w:val="28"/>
                <w:szCs w:val="28"/>
              </w:rPr>
              <w:t>协办部门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5270"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rFonts w:eastAsia="黑体"/>
                <w:sz w:val="28"/>
                <w:szCs w:val="28"/>
              </w:rPr>
            </w:pPr>
            <w:r>
              <w:rPr>
                <w:rFonts w:hint="eastAsia" w:eastAsia="黑体"/>
                <w:sz w:val="28"/>
                <w:szCs w:val="28"/>
              </w:rPr>
              <w:t>一、水环境质量目标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vMerge w:val="restart"/>
            <w:tcBorders>
              <w:top w:val="single" w:color="auto" w:sz="4" w:space="0"/>
              <w:left w:val="single" w:color="auto" w:sz="4" w:space="0"/>
              <w:right w:val="single" w:color="auto" w:sz="4" w:space="0"/>
            </w:tcBorders>
            <w:vAlign w:val="center"/>
          </w:tcPr>
          <w:p>
            <w:pPr>
              <w:spacing w:line="360" w:lineRule="exact"/>
              <w:jc w:val="center"/>
              <w:rPr>
                <w:sz w:val="28"/>
                <w:szCs w:val="28"/>
              </w:rPr>
            </w:pPr>
            <w:r>
              <w:rPr>
                <w:rFonts w:hint="eastAsia"/>
                <w:sz w:val="28"/>
                <w:szCs w:val="28"/>
              </w:rPr>
              <w:t>1</w:t>
            </w:r>
          </w:p>
        </w:tc>
        <w:tc>
          <w:tcPr>
            <w:tcW w:w="1514" w:type="dxa"/>
            <w:vMerge w:val="restart"/>
            <w:tcBorders>
              <w:top w:val="single" w:color="auto" w:sz="4" w:space="0"/>
              <w:left w:val="single" w:color="auto" w:sz="4" w:space="0"/>
              <w:right w:val="single" w:color="auto" w:sz="4" w:space="0"/>
            </w:tcBorders>
            <w:vAlign w:val="center"/>
          </w:tcPr>
          <w:p>
            <w:pPr>
              <w:spacing w:line="360" w:lineRule="exact"/>
              <w:jc w:val="center"/>
              <w:rPr>
                <w:sz w:val="28"/>
                <w:szCs w:val="28"/>
              </w:rPr>
            </w:pPr>
            <w:r>
              <w:rPr>
                <w:rFonts w:hint="eastAsia"/>
                <w:sz w:val="28"/>
                <w:szCs w:val="28"/>
              </w:rPr>
              <w:t>目标任务</w:t>
            </w:r>
          </w:p>
        </w:tc>
        <w:tc>
          <w:tcPr>
            <w:tcW w:w="58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继续巩固改善地表水环境质量，地表水市级考核断面稳定达到</w:t>
            </w:r>
            <w:r>
              <w:rPr>
                <w:rFonts w:hint="eastAsia" w:ascii="仿宋" w:hAnsi="仿宋" w:eastAsia="仿宋" w:cs="仿宋"/>
                <w:sz w:val="28"/>
                <w:szCs w:val="28"/>
              </w:rPr>
              <w:t>Ⅳ</w:t>
            </w:r>
            <w:r>
              <w:rPr>
                <w:rFonts w:hint="eastAsia"/>
                <w:sz w:val="28"/>
                <w:szCs w:val="28"/>
              </w:rPr>
              <w:t>类及以上，基本消除劣</w:t>
            </w:r>
            <w:r>
              <w:rPr>
                <w:rFonts w:hint="eastAsia" w:hAnsi="宋体" w:cs="宋体"/>
                <w:sz w:val="28"/>
                <w:szCs w:val="28"/>
              </w:rPr>
              <w:t>Ⅴ</w:t>
            </w:r>
            <w:r>
              <w:rPr>
                <w:rFonts w:hint="eastAsia"/>
                <w:sz w:val="28"/>
                <w:szCs w:val="28"/>
              </w:rPr>
              <w:t>类水体断面。</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sz w:val="28"/>
                <w:szCs w:val="28"/>
              </w:rPr>
            </w:pPr>
            <w:r>
              <w:rPr>
                <w:rFonts w:hint="eastAsia"/>
                <w:sz w:val="28"/>
                <w:szCs w:val="28"/>
              </w:rPr>
              <w:t>区园林绿化局</w:t>
            </w:r>
          </w:p>
          <w:p>
            <w:pPr>
              <w:spacing w:line="360" w:lineRule="exact"/>
              <w:jc w:val="center"/>
              <w:rPr>
                <w:sz w:val="28"/>
                <w:szCs w:val="28"/>
              </w:rPr>
            </w:pPr>
            <w:r>
              <w:rPr>
                <w:rFonts w:hint="eastAsia"/>
                <w:sz w:val="28"/>
                <w:szCs w:val="28"/>
              </w:rPr>
              <w:t>区生态环境局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区发改委</w:t>
            </w:r>
          </w:p>
          <w:p>
            <w:pPr>
              <w:spacing w:line="360" w:lineRule="exact"/>
              <w:jc w:val="center"/>
              <w:rPr>
                <w:sz w:val="28"/>
                <w:szCs w:val="28"/>
              </w:rPr>
            </w:pPr>
            <w:r>
              <w:rPr>
                <w:rFonts w:hint="eastAsia"/>
                <w:sz w:val="28"/>
                <w:szCs w:val="28"/>
              </w:rPr>
              <w:t>区财政局</w:t>
            </w:r>
          </w:p>
          <w:p>
            <w:pPr>
              <w:spacing w:line="360" w:lineRule="exact"/>
              <w:jc w:val="center"/>
              <w:rPr>
                <w:sz w:val="28"/>
                <w:szCs w:val="28"/>
              </w:rPr>
            </w:pPr>
            <w:r>
              <w:rPr>
                <w:rFonts w:hint="eastAsia"/>
                <w:sz w:val="28"/>
                <w:szCs w:val="28"/>
              </w:rPr>
              <w:t>各街道（地区）</w:t>
            </w:r>
          </w:p>
          <w:p>
            <w:pPr>
              <w:spacing w:line="360" w:lineRule="exact"/>
              <w:jc w:val="center"/>
              <w:rPr>
                <w:spacing w:val="-12"/>
                <w:sz w:val="28"/>
                <w:szCs w:val="28"/>
              </w:rPr>
            </w:pPr>
            <w:r>
              <w:rPr>
                <w:rFonts w:hint="eastAsia"/>
                <w:sz w:val="28"/>
                <w:szCs w:val="28"/>
              </w:rPr>
              <w:t>市河湖管理处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548" w:type="dxa"/>
            <w:vMerge w:val="continue"/>
            <w:tcBorders>
              <w:left w:val="single" w:color="auto" w:sz="4" w:space="0"/>
              <w:right w:val="single" w:color="auto" w:sz="4" w:space="0"/>
            </w:tcBorders>
            <w:vAlign w:val="center"/>
          </w:tcPr>
          <w:p>
            <w:pPr>
              <w:spacing w:line="360" w:lineRule="exact"/>
              <w:jc w:val="center"/>
              <w:rPr>
                <w:sz w:val="28"/>
                <w:szCs w:val="28"/>
              </w:rPr>
            </w:pPr>
          </w:p>
        </w:tc>
        <w:tc>
          <w:tcPr>
            <w:tcW w:w="1514" w:type="dxa"/>
            <w:vMerge w:val="continue"/>
            <w:tcBorders>
              <w:left w:val="single" w:color="auto" w:sz="4" w:space="0"/>
              <w:right w:val="single" w:color="auto" w:sz="4" w:space="0"/>
            </w:tcBorders>
            <w:vAlign w:val="center"/>
          </w:tcPr>
          <w:p>
            <w:pPr>
              <w:spacing w:line="360" w:lineRule="exact"/>
              <w:jc w:val="center"/>
              <w:rPr>
                <w:sz w:val="28"/>
                <w:szCs w:val="28"/>
              </w:rPr>
            </w:pPr>
          </w:p>
        </w:tc>
        <w:tc>
          <w:tcPr>
            <w:tcW w:w="58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积极改善玉河水质，制定实施水质提升项目措施，力争年底前达到</w:t>
            </w:r>
            <w:r>
              <w:rPr>
                <w:rFonts w:hint="eastAsia" w:ascii="仿宋" w:hAnsi="仿宋" w:eastAsia="仿宋" w:cs="仿宋"/>
                <w:sz w:val="28"/>
                <w:szCs w:val="28"/>
              </w:rPr>
              <w:t>Ⅲ类目标水质。</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sz w:val="28"/>
                <w:szCs w:val="28"/>
              </w:rPr>
            </w:pPr>
            <w:r>
              <w:rPr>
                <w:rFonts w:hint="eastAsia"/>
                <w:sz w:val="28"/>
                <w:szCs w:val="28"/>
              </w:rPr>
              <w:t>交道口街道</w:t>
            </w:r>
          </w:p>
          <w:p>
            <w:pPr>
              <w:spacing w:line="360" w:lineRule="exact"/>
              <w:jc w:val="center"/>
              <w:rPr>
                <w:sz w:val="28"/>
                <w:szCs w:val="28"/>
              </w:rPr>
            </w:pPr>
            <w:r>
              <w:rPr>
                <w:rFonts w:hint="eastAsia"/>
                <w:sz w:val="28"/>
                <w:szCs w:val="28"/>
              </w:rPr>
              <w:t>景山街道</w:t>
            </w:r>
          </w:p>
          <w:p>
            <w:pPr>
              <w:spacing w:line="360" w:lineRule="exact"/>
              <w:jc w:val="center"/>
              <w:rPr>
                <w:sz w:val="28"/>
                <w:szCs w:val="28"/>
              </w:rPr>
            </w:pPr>
            <w:r>
              <w:rPr>
                <w:rFonts w:hint="eastAsia"/>
                <w:sz w:val="28"/>
                <w:szCs w:val="28"/>
              </w:rPr>
              <w:t>天街集团</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区生态环境局</w:t>
            </w:r>
          </w:p>
          <w:p>
            <w:pPr>
              <w:spacing w:line="360" w:lineRule="exact"/>
              <w:jc w:val="center"/>
              <w:rPr>
                <w:sz w:val="28"/>
                <w:szCs w:val="28"/>
              </w:rPr>
            </w:pPr>
            <w:r>
              <w:rPr>
                <w:rFonts w:hint="eastAsia"/>
                <w:sz w:val="28"/>
                <w:szCs w:val="2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48" w:type="dxa"/>
            <w:vMerge w:val="continue"/>
            <w:tcBorders>
              <w:left w:val="single" w:color="auto" w:sz="4" w:space="0"/>
              <w:right w:val="single" w:color="auto" w:sz="4" w:space="0"/>
            </w:tcBorders>
            <w:vAlign w:val="center"/>
          </w:tcPr>
          <w:p>
            <w:pPr>
              <w:spacing w:line="360" w:lineRule="exact"/>
              <w:jc w:val="center"/>
              <w:rPr>
                <w:sz w:val="28"/>
                <w:szCs w:val="28"/>
              </w:rPr>
            </w:pPr>
          </w:p>
        </w:tc>
        <w:tc>
          <w:tcPr>
            <w:tcW w:w="1514" w:type="dxa"/>
            <w:vMerge w:val="continue"/>
            <w:tcBorders>
              <w:left w:val="single" w:color="auto" w:sz="4" w:space="0"/>
              <w:right w:val="single" w:color="auto" w:sz="4" w:space="0"/>
            </w:tcBorders>
            <w:vAlign w:val="center"/>
          </w:tcPr>
          <w:p>
            <w:pPr>
              <w:spacing w:line="360" w:lineRule="exact"/>
              <w:jc w:val="center"/>
              <w:rPr>
                <w:sz w:val="28"/>
                <w:szCs w:val="28"/>
              </w:rPr>
            </w:pPr>
          </w:p>
        </w:tc>
        <w:tc>
          <w:tcPr>
            <w:tcW w:w="58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积极改善柳荫湖水质，按时完成柳荫湖水质提升工程项目，力争年底前达到</w:t>
            </w:r>
            <w:r>
              <w:rPr>
                <w:rFonts w:hint="eastAsia" w:ascii="仿宋" w:hAnsi="仿宋" w:eastAsia="仿宋" w:cs="仿宋"/>
                <w:sz w:val="28"/>
                <w:szCs w:val="28"/>
              </w:rPr>
              <w:t>Ⅳ类目标水质。</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区园林绿化局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sz w:val="28"/>
                <w:szCs w:val="28"/>
              </w:rPr>
            </w:pPr>
            <w:r>
              <w:rPr>
                <w:rFonts w:hint="eastAsia"/>
                <w:sz w:val="28"/>
                <w:szCs w:val="28"/>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48" w:type="dxa"/>
            <w:vMerge w:val="continue"/>
            <w:tcBorders>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1514" w:type="dxa"/>
            <w:vMerge w:val="continue"/>
            <w:tcBorders>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58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深入研究南馆湖水环境现状，制定合理的水量调配、水处理等项目方案，力争年底前达到</w:t>
            </w:r>
            <w:r>
              <w:rPr>
                <w:rFonts w:hint="eastAsia" w:ascii="仿宋" w:hAnsi="仿宋" w:eastAsia="仿宋" w:cs="仿宋"/>
                <w:sz w:val="28"/>
                <w:szCs w:val="28"/>
              </w:rPr>
              <w:t>Ⅳ类目标水质。</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区园林绿化局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sz w:val="28"/>
                <w:szCs w:val="28"/>
              </w:rPr>
            </w:pPr>
            <w:r>
              <w:rPr>
                <w:rFonts w:hint="eastAsia"/>
                <w:sz w:val="28"/>
                <w:szCs w:val="28"/>
              </w:rPr>
              <w:t>区生态环境局</w:t>
            </w:r>
          </w:p>
          <w:p>
            <w:pPr>
              <w:spacing w:line="360" w:lineRule="exact"/>
              <w:jc w:val="center"/>
              <w:rPr>
                <w:sz w:val="28"/>
                <w:szCs w:val="28"/>
              </w:rPr>
            </w:pPr>
            <w:r>
              <w:rPr>
                <w:rFonts w:hint="eastAsia"/>
                <w:sz w:val="28"/>
                <w:szCs w:val="2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5270"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rFonts w:eastAsia="黑体"/>
                <w:sz w:val="28"/>
                <w:szCs w:val="28"/>
              </w:rPr>
            </w:pPr>
            <w:r>
              <w:rPr>
                <w:rFonts w:hint="eastAsia" w:eastAsia="黑体"/>
                <w:sz w:val="28"/>
                <w:szCs w:val="28"/>
              </w:rPr>
              <w:t>二、水资源保护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48" w:type="dxa"/>
            <w:vMerge w:val="restart"/>
            <w:tcBorders>
              <w:top w:val="single" w:color="auto" w:sz="4" w:space="0"/>
              <w:left w:val="single" w:color="auto" w:sz="4" w:space="0"/>
              <w:right w:val="single" w:color="auto" w:sz="4" w:space="0"/>
            </w:tcBorders>
            <w:vAlign w:val="center"/>
          </w:tcPr>
          <w:p>
            <w:pPr>
              <w:widowControl/>
              <w:spacing w:line="360" w:lineRule="exact"/>
              <w:jc w:val="left"/>
              <w:rPr>
                <w:sz w:val="28"/>
                <w:szCs w:val="28"/>
              </w:rPr>
            </w:pPr>
            <w:r>
              <w:rPr>
                <w:rFonts w:hint="eastAsia"/>
                <w:sz w:val="28"/>
                <w:szCs w:val="28"/>
              </w:rPr>
              <w:t>2</w:t>
            </w:r>
          </w:p>
        </w:tc>
        <w:tc>
          <w:tcPr>
            <w:tcW w:w="1536" w:type="dxa"/>
            <w:gridSpan w:val="2"/>
            <w:vMerge w:val="restart"/>
            <w:tcBorders>
              <w:top w:val="single" w:color="auto" w:sz="4" w:space="0"/>
              <w:left w:val="single" w:color="auto" w:sz="4" w:space="0"/>
              <w:right w:val="single" w:color="auto" w:sz="4" w:space="0"/>
            </w:tcBorders>
            <w:vAlign w:val="center"/>
          </w:tcPr>
          <w:p>
            <w:pPr>
              <w:widowControl/>
              <w:snapToGrid w:val="0"/>
              <w:spacing w:line="360" w:lineRule="exact"/>
              <w:jc w:val="center"/>
              <w:rPr>
                <w:sz w:val="28"/>
                <w:szCs w:val="28"/>
              </w:rPr>
            </w:pPr>
            <w:r>
              <w:rPr>
                <w:rFonts w:hint="eastAsia"/>
                <w:sz w:val="28"/>
                <w:szCs w:val="28"/>
              </w:rPr>
              <w:t>创建节水型社会</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pacing w:val="-8"/>
                <w:sz w:val="28"/>
                <w:szCs w:val="28"/>
              </w:rPr>
            </w:pPr>
            <w:r>
              <w:rPr>
                <w:rFonts w:hint="eastAsia"/>
                <w:sz w:val="28"/>
                <w:szCs w:val="28"/>
              </w:rPr>
              <w:t>继续实施最严格水资源管理制度，严格控制用水总量，万元地区生产总值水耗同比下降1%左右。</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548" w:type="dxa"/>
            <w:vMerge w:val="continue"/>
            <w:tcBorders>
              <w:left w:val="single" w:color="auto" w:sz="4" w:space="0"/>
              <w:right w:val="single" w:color="auto" w:sz="4" w:space="0"/>
            </w:tcBorders>
            <w:vAlign w:val="center"/>
          </w:tcPr>
          <w:p>
            <w:pPr>
              <w:widowControl/>
              <w:spacing w:line="360" w:lineRule="exact"/>
              <w:jc w:val="left"/>
              <w:rPr>
                <w:sz w:val="28"/>
                <w:szCs w:val="28"/>
              </w:rPr>
            </w:pPr>
          </w:p>
        </w:tc>
        <w:tc>
          <w:tcPr>
            <w:tcW w:w="1536" w:type="dxa"/>
            <w:gridSpan w:val="2"/>
            <w:vMerge w:val="continue"/>
            <w:tcBorders>
              <w:left w:val="single" w:color="auto" w:sz="4" w:space="0"/>
              <w:right w:val="single" w:color="auto" w:sz="4" w:space="0"/>
            </w:tcBorders>
            <w:vAlign w:val="center"/>
          </w:tcPr>
          <w:p>
            <w:pPr>
              <w:widowControl/>
              <w:spacing w:line="360" w:lineRule="exact"/>
              <w:jc w:val="left"/>
              <w:rPr>
                <w:sz w:val="28"/>
                <w:szCs w:val="28"/>
              </w:rPr>
            </w:pP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pacing w:val="-8"/>
                <w:sz w:val="28"/>
                <w:szCs w:val="28"/>
              </w:rPr>
            </w:pPr>
            <w:r>
              <w:rPr>
                <w:rFonts w:hint="eastAsia"/>
                <w:sz w:val="28"/>
                <w:szCs w:val="28"/>
              </w:rPr>
              <w:t>在创建节水型区的基础上，按照北京市逐步建立的“一年一评估，三年一复验”动态管理机制，做好节水型区复验监管迎检工作。</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8" w:type="dxa"/>
            <w:vMerge w:val="continue"/>
            <w:tcBorders>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1536" w:type="dxa"/>
            <w:gridSpan w:val="2"/>
            <w:vMerge w:val="continue"/>
            <w:tcBorders>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cs="仿宋_GB2312"/>
                <w:sz w:val="28"/>
                <w:szCs w:val="28"/>
              </w:rPr>
              <w:t>推进海绵城市建设，达到北京市标准要求</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hAnsi="黑体" w:cs="仿宋_GB2312"/>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3</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加强饮用水保护</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推进饮用水水源地规范化建设。按照北京市要求，加强水源保护区专项执法和日常监管，动态清理整治水源保护区内的环境问题，因地制宜完善水源保护区（水源井）封闭隔离设施和标志标识牌，提升水源地档案化、精细化管理水平。</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区生态环境局</w:t>
            </w:r>
          </w:p>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和平里街道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4</w:t>
            </w:r>
          </w:p>
        </w:tc>
        <w:tc>
          <w:tcPr>
            <w:tcW w:w="153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防止地下水污染</w:t>
            </w:r>
          </w:p>
        </w:tc>
        <w:tc>
          <w:tcPr>
            <w:tcW w:w="58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sz w:val="28"/>
                <w:szCs w:val="28"/>
              </w:rPr>
            </w:pPr>
            <w:r>
              <w:rPr>
                <w:rFonts w:hint="eastAsia" w:hAnsi="Times New Roman" w:cs="Times New Roman"/>
                <w:sz w:val="28"/>
                <w:szCs w:val="28"/>
              </w:rPr>
              <w:t>按要求</w:t>
            </w:r>
            <w:r>
              <w:rPr>
                <w:rFonts w:hint="eastAsia"/>
                <w:sz w:val="28"/>
                <w:szCs w:val="28"/>
              </w:rPr>
              <w:t>配合市级部门开展北京市平原区地下水本底值调查研究和水质监测。</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区生态环境局</w:t>
            </w:r>
          </w:p>
          <w:p>
            <w:pPr>
              <w:spacing w:line="360" w:lineRule="exact"/>
              <w:jc w:val="center"/>
              <w:rPr>
                <w:rFonts w:ascii="Times New Roman" w:hAnsi="Times New Roman" w:cs="Times New Roman"/>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5814" w:type="dxa"/>
            <w:tcBorders>
              <w:top w:val="single" w:color="auto" w:sz="4" w:space="0"/>
              <w:left w:val="single" w:color="auto" w:sz="4" w:space="0"/>
              <w:bottom w:val="single" w:color="auto" w:sz="4" w:space="0"/>
              <w:right w:val="single" w:color="auto" w:sz="4" w:space="0"/>
            </w:tcBorders>
            <w:vAlign w:val="center"/>
          </w:tcPr>
          <w:p>
            <w:pPr>
              <w:pStyle w:val="4"/>
              <w:snapToGrid w:val="0"/>
              <w:spacing w:before="0" w:beforeAutospacing="0" w:after="0" w:afterAutospacing="0" w:line="360" w:lineRule="exact"/>
              <w:jc w:val="both"/>
              <w:rPr>
                <w:rFonts w:ascii="仿宋_GB2312" w:hAnsi="Times New Roman" w:cs="Times New Roman"/>
                <w:kern w:val="2"/>
                <w:sz w:val="28"/>
                <w:szCs w:val="28"/>
              </w:rPr>
            </w:pPr>
            <w:r>
              <w:rPr>
                <w:rFonts w:hint="eastAsia" w:ascii="仿宋_GB2312" w:hAnsi="Times New Roman" w:cs="Times New Roman"/>
                <w:kern w:val="2"/>
                <w:sz w:val="28"/>
                <w:szCs w:val="28"/>
              </w:rPr>
              <w:t>按照北京市要求梳理辖区地下水环境质量状况，定期开展地下水环境质量监测工作。</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rFonts w:ascii="Times New Roman" w:hAnsi="Times New Roman" w:cs="Times New Roman"/>
                <w:sz w:val="28"/>
                <w:szCs w:val="28"/>
              </w:rPr>
            </w:pPr>
            <w:r>
              <w:rPr>
                <w:rFonts w:hint="eastAsia"/>
                <w:sz w:val="28"/>
                <w:szCs w:val="28"/>
              </w:rPr>
              <w:t>区生态环境局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70"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rFonts w:eastAsia="黑体"/>
                <w:sz w:val="28"/>
                <w:szCs w:val="28"/>
              </w:rPr>
            </w:pPr>
            <w:r>
              <w:rPr>
                <w:rFonts w:hint="eastAsia" w:eastAsia="黑体"/>
                <w:sz w:val="28"/>
                <w:szCs w:val="28"/>
              </w:rPr>
              <w:t>三、水环境治理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5</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加强水系连通</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按时完成龙潭东湖、龙潭中湖、龙潭西湖三湖连通项目，青年湖、柳荫湖两湖连通项目。</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区园林绿化局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4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6</w:t>
            </w:r>
          </w:p>
        </w:tc>
        <w:tc>
          <w:tcPr>
            <w:tcW w:w="153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强化城镇生活污染治理</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加强污水管网日常监管。再生水利用量达到北京市要求。</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区发改委</w:t>
            </w:r>
          </w:p>
          <w:p>
            <w:pPr>
              <w:spacing w:line="360" w:lineRule="exact"/>
              <w:jc w:val="center"/>
              <w:rPr>
                <w:sz w:val="28"/>
                <w:szCs w:val="28"/>
              </w:rPr>
            </w:pPr>
            <w:r>
              <w:rPr>
                <w:rFonts w:hint="eastAsia"/>
                <w:sz w:val="28"/>
                <w:szCs w:val="28"/>
              </w:rPr>
              <w:t>东城规自分局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548" w:type="dxa"/>
            <w:vMerge w:val="continue"/>
            <w:tcBorders>
              <w:left w:val="single" w:color="auto" w:sz="4" w:space="0"/>
              <w:right w:val="single" w:color="auto" w:sz="4" w:space="0"/>
            </w:tcBorders>
            <w:vAlign w:val="center"/>
          </w:tcPr>
          <w:p>
            <w:pPr>
              <w:spacing w:line="360" w:lineRule="exact"/>
              <w:jc w:val="center"/>
              <w:rPr>
                <w:sz w:val="28"/>
                <w:szCs w:val="28"/>
              </w:rPr>
            </w:pPr>
          </w:p>
        </w:tc>
        <w:tc>
          <w:tcPr>
            <w:tcW w:w="1536" w:type="dxa"/>
            <w:gridSpan w:val="2"/>
            <w:vMerge w:val="continue"/>
            <w:tcBorders>
              <w:left w:val="single" w:color="auto" w:sz="4" w:space="0"/>
              <w:right w:val="single" w:color="auto" w:sz="4" w:space="0"/>
            </w:tcBorders>
            <w:vAlign w:val="center"/>
          </w:tcPr>
          <w:p>
            <w:pPr>
              <w:spacing w:line="360" w:lineRule="exact"/>
              <w:jc w:val="center"/>
              <w:rPr>
                <w:sz w:val="28"/>
                <w:szCs w:val="28"/>
              </w:rPr>
            </w:pP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进一步梳理尚未接入管网的小区，核实排查排水去向，建立台账，逐个解决小区污水收集处理问题。加大雨污混接错接整治巡查力度，实现“动态清零”，确保不出现复排，同时加大排水宣传力度进一步规范排水行为。</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48" w:type="dxa"/>
            <w:vMerge w:val="continue"/>
            <w:tcBorders>
              <w:left w:val="single" w:color="auto" w:sz="4" w:space="0"/>
              <w:right w:val="single" w:color="auto" w:sz="4" w:space="0"/>
            </w:tcBorders>
            <w:vAlign w:val="center"/>
          </w:tcPr>
          <w:p>
            <w:pPr>
              <w:spacing w:line="360" w:lineRule="exact"/>
              <w:jc w:val="center"/>
              <w:rPr>
                <w:sz w:val="28"/>
                <w:szCs w:val="28"/>
              </w:rPr>
            </w:pPr>
          </w:p>
        </w:tc>
        <w:tc>
          <w:tcPr>
            <w:tcW w:w="1536" w:type="dxa"/>
            <w:gridSpan w:val="2"/>
            <w:vMerge w:val="continue"/>
            <w:tcBorders>
              <w:left w:val="single" w:color="auto" w:sz="4" w:space="0"/>
              <w:right w:val="single" w:color="auto" w:sz="4" w:space="0"/>
            </w:tcBorders>
            <w:vAlign w:val="center"/>
          </w:tcPr>
          <w:p>
            <w:pPr>
              <w:spacing w:line="360" w:lineRule="exact"/>
              <w:jc w:val="center"/>
              <w:rPr>
                <w:sz w:val="28"/>
                <w:szCs w:val="28"/>
              </w:rPr>
            </w:pP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持续开展“清管行动”“清河行动”，科学制定清管方案，在雨季前对雨水管涵、雨污合流管涵、雨水口（雨箅子）等排水设施进行全面清掏，提高巡查、清理频次和力度，进一步提升清理效果。</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5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实现污泥无害化处置，推进污泥产品资源化利用。增加污泥产品在园林绿化建设维护中的使用量。</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sz w:val="28"/>
                <w:szCs w:val="28"/>
              </w:rPr>
            </w:pPr>
            <w:r>
              <w:rPr>
                <w:rFonts w:hint="eastAsia"/>
                <w:sz w:val="28"/>
                <w:szCs w:val="28"/>
              </w:rPr>
              <w:t>区园林绿化局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7</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强化工业污染防治</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加大工业污染防治力度，严格环评审批，实施固定污染源排污许可“一证式”管理，强化证后监管，严厉处罚无证和不按证排放废水行为。</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sz w:val="28"/>
                <w:szCs w:val="28"/>
              </w:rPr>
            </w:pPr>
            <w:r>
              <w:rPr>
                <w:rFonts w:hint="eastAsia"/>
                <w:sz w:val="28"/>
                <w:szCs w:val="28"/>
              </w:rPr>
              <w:t>区生态环境局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54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8</w:t>
            </w:r>
          </w:p>
        </w:tc>
        <w:tc>
          <w:tcPr>
            <w:tcW w:w="153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整治入河排污口</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pacing w:val="-6"/>
                <w:sz w:val="28"/>
                <w:szCs w:val="28"/>
              </w:rPr>
            </w:pPr>
            <w:r>
              <w:rPr>
                <w:rFonts w:hint="eastAsia"/>
                <w:sz w:val="28"/>
                <w:szCs w:val="28"/>
              </w:rPr>
              <w:t>按照入河排污口分类分级管控要求，将辖区入河排污口数据接入市级平台，动态更新入河排污口数据及工作进展，实现入河排污口“一个库”管理。</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区生态环境局</w:t>
            </w:r>
          </w:p>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相关街道（地区）</w:t>
            </w:r>
          </w:p>
          <w:p>
            <w:pPr>
              <w:spacing w:line="360" w:lineRule="exact"/>
              <w:jc w:val="center"/>
              <w:rPr>
                <w:sz w:val="28"/>
                <w:szCs w:val="28"/>
              </w:rPr>
            </w:pPr>
            <w:r>
              <w:rPr>
                <w:rFonts w:hint="eastAsia"/>
                <w:sz w:val="28"/>
                <w:szCs w:val="28"/>
              </w:rPr>
              <w:t>北京市排水集团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5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pacing w:val="-6"/>
                <w:sz w:val="28"/>
                <w:szCs w:val="28"/>
              </w:rPr>
            </w:pPr>
            <w:r>
              <w:rPr>
                <w:rFonts w:hint="eastAsia"/>
                <w:sz w:val="28"/>
                <w:szCs w:val="28"/>
              </w:rPr>
              <w:t>在对辖区入河排污口排查及完成全国第二次污染源普查入河排污口整治的基础上，全面开展辖区入河排污口的整治工作。</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sz w:val="28"/>
                <w:szCs w:val="28"/>
              </w:rPr>
            </w:pPr>
            <w:r>
              <w:rPr>
                <w:rFonts w:hint="eastAsia"/>
                <w:sz w:val="28"/>
                <w:szCs w:val="28"/>
              </w:rPr>
              <w:t>区生态环境局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相关街道（地区）</w:t>
            </w:r>
          </w:p>
          <w:p>
            <w:pPr>
              <w:spacing w:line="360" w:lineRule="exact"/>
              <w:jc w:val="center"/>
              <w:rPr>
                <w:sz w:val="28"/>
                <w:szCs w:val="28"/>
              </w:rPr>
            </w:pPr>
            <w:r>
              <w:rPr>
                <w:rFonts w:hint="eastAsia"/>
                <w:sz w:val="28"/>
                <w:szCs w:val="28"/>
              </w:rPr>
              <w:t>北京市排水集团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9</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实施河长制湖长制</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highlight w:val="yellow"/>
              </w:rPr>
            </w:pPr>
            <w:r>
              <w:rPr>
                <w:rFonts w:hint="eastAsia"/>
                <w:sz w:val="28"/>
                <w:szCs w:val="28"/>
              </w:rPr>
              <w:t>严格落实“河长制”“湖长制”，加强监督检查，及时发现河湖环境问题并予以协调解决。</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河长制成员单位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548" w:type="dxa"/>
            <w:vMerge w:val="restart"/>
            <w:tcBorders>
              <w:top w:val="single" w:color="auto" w:sz="4" w:space="0"/>
              <w:left w:val="single" w:color="auto" w:sz="4" w:space="0"/>
              <w:right w:val="single" w:color="auto" w:sz="4" w:space="0"/>
            </w:tcBorders>
            <w:vAlign w:val="center"/>
          </w:tcPr>
          <w:p>
            <w:pPr>
              <w:widowControl/>
              <w:spacing w:line="360" w:lineRule="exact"/>
              <w:jc w:val="center"/>
              <w:rPr>
                <w:sz w:val="28"/>
                <w:szCs w:val="28"/>
              </w:rPr>
            </w:pPr>
            <w:r>
              <w:rPr>
                <w:rFonts w:hint="eastAsia"/>
                <w:sz w:val="28"/>
                <w:szCs w:val="28"/>
              </w:rPr>
              <w:t>10</w:t>
            </w:r>
          </w:p>
        </w:tc>
        <w:tc>
          <w:tcPr>
            <w:tcW w:w="1536" w:type="dxa"/>
            <w:gridSpan w:val="2"/>
            <w:vMerge w:val="restart"/>
            <w:tcBorders>
              <w:top w:val="single" w:color="auto" w:sz="4" w:space="0"/>
              <w:left w:val="single" w:color="auto" w:sz="4" w:space="0"/>
              <w:right w:val="single" w:color="auto" w:sz="4" w:space="0"/>
            </w:tcBorders>
            <w:vAlign w:val="center"/>
          </w:tcPr>
          <w:p>
            <w:pPr>
              <w:widowControl/>
              <w:snapToGrid w:val="0"/>
              <w:spacing w:line="360" w:lineRule="exact"/>
              <w:jc w:val="center"/>
              <w:rPr>
                <w:sz w:val="28"/>
                <w:szCs w:val="28"/>
              </w:rPr>
            </w:pPr>
            <w:r>
              <w:rPr>
                <w:rFonts w:hint="eastAsia"/>
                <w:sz w:val="28"/>
                <w:szCs w:val="28"/>
              </w:rPr>
              <w:t>强化环境执法</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pacing w:val="-6"/>
                <w:sz w:val="28"/>
                <w:szCs w:val="28"/>
              </w:rPr>
            </w:pPr>
            <w:r>
              <w:rPr>
                <w:rFonts w:hint="eastAsia"/>
                <w:sz w:val="28"/>
                <w:szCs w:val="28"/>
              </w:rPr>
              <w:t>加强部门联合执法，以饮用水、入河排污口等为重点，开展流域专项执法，区城管委每月对各街道的水污染巡查检查情况进行排名、通报。</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sz w:val="28"/>
                <w:szCs w:val="28"/>
              </w:rPr>
            </w:pPr>
            <w:r>
              <w:rPr>
                <w:rFonts w:hint="eastAsia"/>
                <w:sz w:val="28"/>
                <w:szCs w:val="28"/>
              </w:rPr>
              <w:t>区生态环境局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548" w:type="dxa"/>
            <w:vMerge w:val="continue"/>
            <w:tcBorders>
              <w:left w:val="single" w:color="auto" w:sz="4" w:space="0"/>
              <w:right w:val="single" w:color="auto" w:sz="4" w:space="0"/>
            </w:tcBorders>
            <w:vAlign w:val="center"/>
          </w:tcPr>
          <w:p>
            <w:pPr>
              <w:widowControl/>
              <w:spacing w:line="360" w:lineRule="exact"/>
              <w:jc w:val="left"/>
              <w:rPr>
                <w:sz w:val="28"/>
                <w:szCs w:val="28"/>
              </w:rPr>
            </w:pPr>
          </w:p>
        </w:tc>
        <w:tc>
          <w:tcPr>
            <w:tcW w:w="1536" w:type="dxa"/>
            <w:gridSpan w:val="2"/>
            <w:vMerge w:val="continue"/>
            <w:tcBorders>
              <w:left w:val="single" w:color="auto" w:sz="4" w:space="0"/>
              <w:right w:val="single" w:color="auto" w:sz="4" w:space="0"/>
            </w:tcBorders>
            <w:vAlign w:val="center"/>
          </w:tcPr>
          <w:p>
            <w:pPr>
              <w:widowControl/>
              <w:spacing w:line="360" w:lineRule="exact"/>
              <w:jc w:val="left"/>
              <w:rPr>
                <w:sz w:val="28"/>
                <w:szCs w:val="28"/>
              </w:rPr>
            </w:pP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加强湖泊、河流的监管执法，严格保护水域生态空间。</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548" w:type="dxa"/>
            <w:vMerge w:val="continue"/>
            <w:tcBorders>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1536" w:type="dxa"/>
            <w:gridSpan w:val="2"/>
            <w:vMerge w:val="continue"/>
            <w:tcBorders>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严厉打击向城市雨水管道排污及倾倒垃圾等违法行为，切实减少初期雨水污染对河流水环境的影响。</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548"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left"/>
              <w:rPr>
                <w:sz w:val="28"/>
                <w:szCs w:val="28"/>
              </w:rPr>
            </w:pPr>
            <w:r>
              <w:rPr>
                <w:rFonts w:hint="eastAsia"/>
                <w:sz w:val="28"/>
                <w:szCs w:val="28"/>
              </w:rPr>
              <w:t>11</w:t>
            </w:r>
          </w:p>
        </w:tc>
        <w:tc>
          <w:tcPr>
            <w:tcW w:w="153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sz w:val="28"/>
                <w:szCs w:val="28"/>
              </w:rPr>
            </w:pPr>
            <w:r>
              <w:rPr>
                <w:rFonts w:hint="eastAsia"/>
                <w:sz w:val="28"/>
                <w:szCs w:val="28"/>
              </w:rPr>
              <w:t>严格监测评估</w:t>
            </w:r>
          </w:p>
        </w:tc>
        <w:tc>
          <w:tcPr>
            <w:tcW w:w="58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spacing w:val="-6"/>
                <w:sz w:val="28"/>
                <w:szCs w:val="28"/>
              </w:rPr>
            </w:pPr>
            <w:r>
              <w:rPr>
                <w:rFonts w:hint="eastAsia"/>
                <w:sz w:val="28"/>
                <w:szCs w:val="28"/>
              </w:rPr>
              <w:t>结合北京市覆盖到各街道的水环境质量监测评价体系，每月对各街道地表水断面水质状况进行通报、排名。</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区生态环境局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sz w:val="28"/>
                <w:szCs w:val="28"/>
              </w:rPr>
            </w:pPr>
            <w:r>
              <w:rPr>
                <w:rFonts w:hint="eastAsia"/>
                <w:sz w:val="28"/>
                <w:szCs w:val="28"/>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5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sz w:val="28"/>
                <w:szCs w:val="28"/>
              </w:rPr>
            </w:pPr>
          </w:p>
        </w:tc>
        <w:tc>
          <w:tcPr>
            <w:tcW w:w="58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spacing w:val="-6"/>
                <w:sz w:val="28"/>
                <w:szCs w:val="28"/>
              </w:rPr>
            </w:pPr>
            <w:r>
              <w:rPr>
                <w:rFonts w:hint="eastAsia"/>
                <w:sz w:val="28"/>
                <w:szCs w:val="28"/>
              </w:rPr>
              <w:t>实施覆盖到社区的水环境质量监测评价体系，对社区的水环境质量开展监测评价。</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区生态环境局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sz w:val="28"/>
                <w:szCs w:val="28"/>
              </w:rPr>
            </w:pPr>
            <w:r>
              <w:rPr>
                <w:rFonts w:hint="eastAsia"/>
                <w:sz w:val="28"/>
                <w:szCs w:val="28"/>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270"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rFonts w:eastAsia="黑体"/>
                <w:sz w:val="28"/>
                <w:szCs w:val="28"/>
              </w:rPr>
            </w:pPr>
            <w:r>
              <w:rPr>
                <w:rFonts w:hint="eastAsia" w:eastAsia="黑体"/>
                <w:sz w:val="28"/>
                <w:szCs w:val="28"/>
              </w:rPr>
              <w:t>四、水生态修复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12</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加强空间管控</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根据辖区水资源和流域禀赋，按照实事求是的原则，研究提出“有河有水”河段数量及长度。</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区生态环境局</w:t>
            </w:r>
          </w:p>
          <w:p>
            <w:pPr>
              <w:spacing w:line="360" w:lineRule="exact"/>
              <w:jc w:val="center"/>
              <w:rPr>
                <w:sz w:val="28"/>
                <w:szCs w:val="28"/>
              </w:rPr>
            </w:pPr>
            <w:r>
              <w:rPr>
                <w:rFonts w:hint="eastAsia"/>
                <w:sz w:val="28"/>
                <w:szCs w:val="28"/>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13</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建立生态监管联动执法机制</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加强部门协作，交换生态空间问题线索和执法信息，建立联合执法机制。</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sz w:val="28"/>
                <w:szCs w:val="28"/>
              </w:rPr>
            </w:pPr>
            <w:r>
              <w:rPr>
                <w:rFonts w:hint="eastAsia"/>
                <w:sz w:val="28"/>
                <w:szCs w:val="28"/>
              </w:rPr>
              <w:t>区生态环境局</w:t>
            </w:r>
          </w:p>
          <w:p>
            <w:pPr>
              <w:spacing w:line="360" w:lineRule="exact"/>
              <w:jc w:val="center"/>
              <w:rPr>
                <w:sz w:val="28"/>
                <w:szCs w:val="28"/>
              </w:rPr>
            </w:pPr>
            <w:r>
              <w:rPr>
                <w:rFonts w:hint="eastAsia"/>
                <w:sz w:val="28"/>
                <w:szCs w:val="28"/>
              </w:rPr>
              <w:t>区园林绿化局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各街道（地区）</w:t>
            </w:r>
          </w:p>
          <w:p>
            <w:pPr>
              <w:spacing w:line="360" w:lineRule="exact"/>
              <w:jc w:val="center"/>
              <w:rPr>
                <w:sz w:val="28"/>
                <w:szCs w:val="28"/>
              </w:rPr>
            </w:pPr>
            <w:r>
              <w:rPr>
                <w:rFonts w:hint="eastAsia"/>
                <w:sz w:val="28"/>
                <w:szCs w:val="28"/>
              </w:rPr>
              <w:t>东城规自分局</w:t>
            </w:r>
          </w:p>
          <w:p>
            <w:pPr>
              <w:spacing w:line="360" w:lineRule="exact"/>
              <w:jc w:val="center"/>
              <w:rPr>
                <w:sz w:val="28"/>
                <w:szCs w:val="28"/>
              </w:rPr>
            </w:pPr>
            <w:r>
              <w:rPr>
                <w:rFonts w:hint="eastAsia"/>
                <w:sz w:val="28"/>
                <w:szCs w:val="28"/>
              </w:rPr>
              <w:t>区科信局</w:t>
            </w:r>
          </w:p>
          <w:p>
            <w:pPr>
              <w:spacing w:line="360" w:lineRule="exact"/>
              <w:jc w:val="center"/>
              <w:rPr>
                <w:rFonts w:ascii="Calibri"/>
                <w:spacing w:val="-22"/>
                <w:sz w:val="28"/>
                <w:szCs w:val="28"/>
              </w:rPr>
            </w:pPr>
            <w:r>
              <w:rPr>
                <w:rFonts w:hint="eastAsia"/>
                <w:sz w:val="28"/>
                <w:szCs w:val="28"/>
              </w:rPr>
              <w:t>东城公安分局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14</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加强生物多样性保护</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ascii="Calibri"/>
                <w:sz w:val="28"/>
                <w:szCs w:val="28"/>
              </w:rPr>
              <w:t>按照北京市要求，配合开展北京</w:t>
            </w:r>
            <w:r>
              <w:rPr>
                <w:rFonts w:hint="eastAsia"/>
                <w:sz w:val="28"/>
                <w:szCs w:val="28"/>
              </w:rPr>
              <w:t>市生</w:t>
            </w:r>
            <w:r>
              <w:rPr>
                <w:rFonts w:hint="eastAsia" w:ascii="Calibri"/>
                <w:sz w:val="28"/>
                <w:szCs w:val="28"/>
              </w:rPr>
              <w:t>物多样性本底调查工作，探索建立北京市生物多样性数据库；</w:t>
            </w:r>
            <w:r>
              <w:rPr>
                <w:rFonts w:hint="eastAsia"/>
                <w:sz w:val="28"/>
                <w:szCs w:val="28"/>
              </w:rPr>
              <w:t>采取有效措施，</w:t>
            </w:r>
            <w:r>
              <w:rPr>
                <w:rFonts w:hint="eastAsia" w:ascii="Calibri"/>
                <w:sz w:val="28"/>
                <w:szCs w:val="28"/>
              </w:rPr>
              <w:t>保护水生生物多样性。</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ascii="Calibri"/>
                <w:sz w:val="28"/>
                <w:szCs w:val="28"/>
              </w:rPr>
              <w:t>年底前</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区生态环境局</w:t>
            </w:r>
          </w:p>
          <w:p>
            <w:pPr>
              <w:spacing w:line="360" w:lineRule="exact"/>
              <w:jc w:val="center"/>
              <w:rPr>
                <w:sz w:val="28"/>
                <w:szCs w:val="28"/>
              </w:rPr>
            </w:pPr>
            <w:r>
              <w:rPr>
                <w:rFonts w:hint="eastAsia"/>
                <w:sz w:val="28"/>
                <w:szCs w:val="28"/>
              </w:rPr>
              <w:t>区园林绿化局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15</w:t>
            </w:r>
          </w:p>
        </w:tc>
        <w:tc>
          <w:tcPr>
            <w:tcW w:w="15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开展水生态监测评估</w:t>
            </w:r>
          </w:p>
        </w:tc>
        <w:tc>
          <w:tcPr>
            <w:tcW w:w="5814" w:type="dxa"/>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rFonts w:hint="eastAsia"/>
                <w:sz w:val="28"/>
                <w:szCs w:val="28"/>
              </w:rPr>
              <w:t>加强流域水生态监测评价工作，按照北京市要求配合开展水生态调查评估工作。</w:t>
            </w:r>
          </w:p>
        </w:tc>
        <w:tc>
          <w:tcPr>
            <w:tcW w:w="1054" w:type="dxa"/>
            <w:tcBorders>
              <w:top w:val="single" w:color="auto" w:sz="4" w:space="0"/>
              <w:left w:val="single" w:color="auto" w:sz="4" w:space="0"/>
              <w:bottom w:val="single" w:color="auto" w:sz="4" w:space="0"/>
              <w:right w:val="single" w:color="auto" w:sz="4" w:space="0"/>
            </w:tcBorders>
            <w:vAlign w:val="center"/>
          </w:tcPr>
          <w:p>
            <w:pPr>
              <w:spacing w:line="360" w:lineRule="exact"/>
              <w:ind w:left="-160" w:leftChars="-50" w:right="-160" w:rightChars="-50"/>
              <w:jc w:val="center"/>
              <w:rPr>
                <w:sz w:val="28"/>
                <w:szCs w:val="28"/>
              </w:rPr>
            </w:pPr>
            <w:r>
              <w:rPr>
                <w:rFonts w:hint="eastAsia"/>
                <w:sz w:val="28"/>
                <w:szCs w:val="28"/>
              </w:rPr>
              <w:t>长期</w:t>
            </w:r>
          </w:p>
          <w:p>
            <w:pPr>
              <w:spacing w:line="360" w:lineRule="exact"/>
              <w:ind w:left="-160" w:leftChars="-50" w:right="-160" w:rightChars="-50"/>
              <w:jc w:val="center"/>
              <w:rPr>
                <w:sz w:val="28"/>
                <w:szCs w:val="28"/>
              </w:rPr>
            </w:pPr>
            <w:r>
              <w:rPr>
                <w:rFonts w:hint="eastAsia"/>
                <w:sz w:val="28"/>
                <w:szCs w:val="28"/>
              </w:rPr>
              <w:t>实施</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区生态环境局</w:t>
            </w:r>
          </w:p>
        </w:tc>
        <w:tc>
          <w:tcPr>
            <w:tcW w:w="2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区城管委</w:t>
            </w:r>
          </w:p>
          <w:p>
            <w:pPr>
              <w:spacing w:line="360" w:lineRule="exact"/>
              <w:jc w:val="center"/>
              <w:rPr>
                <w:sz w:val="28"/>
                <w:szCs w:val="28"/>
              </w:rPr>
            </w:pPr>
            <w:r>
              <w:rPr>
                <w:rFonts w:hint="eastAsia"/>
                <w:sz w:val="28"/>
                <w:szCs w:val="28"/>
              </w:rPr>
              <w:t>各街道（地区）</w:t>
            </w:r>
          </w:p>
        </w:tc>
      </w:tr>
    </w:tbl>
    <w:p/>
    <w:p>
      <w:pPr>
        <w:ind w:firstLine="624" w:firstLineChars="200"/>
        <w:rPr>
          <w:rFonts w:ascii="黑体" w:hAnsi="黑体" w:eastAsia="黑体"/>
          <w:spacing w:val="-4"/>
          <w:szCs w:val="32"/>
        </w:rPr>
      </w:pPr>
      <w:r>
        <w:rPr>
          <w:rFonts w:ascii="Times New Roman" w:hAnsi="Times New Roman" w:cs="Times New Roman"/>
          <w:spacing w:val="-4"/>
          <w:szCs w:val="32"/>
        </w:rPr>
        <w:br w:type="page"/>
      </w:r>
      <w:r>
        <w:rPr>
          <w:rFonts w:hint="eastAsia" w:ascii="黑体" w:hAnsi="黑体" w:eastAsia="黑体"/>
          <w:spacing w:val="-4"/>
          <w:szCs w:val="32"/>
        </w:rPr>
        <w:t>附件3</w:t>
      </w:r>
    </w:p>
    <w:p>
      <w:pPr>
        <w:spacing w:before="435" w:beforeLines="100" w:after="435" w:afterLines="100"/>
        <w:jc w:val="center"/>
        <w:rPr>
          <w:snapToGrid w:val="0"/>
          <w:kern w:val="0"/>
          <w:sz w:val="40"/>
          <w:szCs w:val="40"/>
        </w:rPr>
      </w:pPr>
      <w:r>
        <w:rPr>
          <w:rFonts w:hint="eastAsia" w:ascii="方正小标宋简体" w:hAnsi="宋体" w:eastAsia="方正小标宋简体" w:cs="方正小标宋简体"/>
          <w:snapToGrid w:val="0"/>
          <w:kern w:val="0"/>
          <w:sz w:val="44"/>
          <w:szCs w:val="44"/>
        </w:rPr>
        <w:t>东城区2021年土壤污染防治措施</w:t>
      </w:r>
    </w:p>
    <w:tbl>
      <w:tblPr>
        <w:tblStyle w:val="5"/>
        <w:tblW w:w="14174" w:type="dxa"/>
        <w:jc w:val="center"/>
        <w:tblLayout w:type="fixed"/>
        <w:tblCellMar>
          <w:top w:w="0" w:type="dxa"/>
          <w:left w:w="108" w:type="dxa"/>
          <w:bottom w:w="0" w:type="dxa"/>
          <w:right w:w="108" w:type="dxa"/>
        </w:tblCellMar>
      </w:tblPr>
      <w:tblGrid>
        <w:gridCol w:w="876"/>
        <w:gridCol w:w="8"/>
        <w:gridCol w:w="9"/>
        <w:gridCol w:w="1477"/>
        <w:gridCol w:w="5227"/>
        <w:gridCol w:w="1553"/>
        <w:gridCol w:w="2546"/>
        <w:gridCol w:w="2478"/>
      </w:tblGrid>
      <w:tr>
        <w:tblPrEx>
          <w:tblCellMar>
            <w:top w:w="0" w:type="dxa"/>
            <w:left w:w="108" w:type="dxa"/>
            <w:bottom w:w="0" w:type="dxa"/>
            <w:right w:w="108" w:type="dxa"/>
          </w:tblCellMar>
        </w:tblPrEx>
        <w:trPr>
          <w:trHeight w:val="480" w:hRule="atLeast"/>
          <w:tblHeader/>
          <w:jc w:val="center"/>
        </w:trPr>
        <w:tc>
          <w:tcPr>
            <w:tcW w:w="89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cs="宋体"/>
                <w:snapToGrid w:val="0"/>
                <w:kern w:val="0"/>
                <w:sz w:val="28"/>
                <w:szCs w:val="28"/>
              </w:rPr>
            </w:pPr>
            <w:r>
              <w:rPr>
                <w:rFonts w:hint="eastAsia" w:ascii="黑体" w:hAnsi="黑体" w:eastAsia="黑体" w:cs="宋体"/>
                <w:snapToGrid w:val="0"/>
                <w:kern w:val="0"/>
                <w:sz w:val="28"/>
                <w:szCs w:val="28"/>
              </w:rPr>
              <w:t>序号</w:t>
            </w:r>
          </w:p>
        </w:tc>
        <w:tc>
          <w:tcPr>
            <w:tcW w:w="147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黑体" w:hAnsi="黑体" w:eastAsia="黑体" w:cs="宋体"/>
                <w:snapToGrid w:val="0"/>
                <w:kern w:val="0"/>
                <w:sz w:val="28"/>
                <w:szCs w:val="28"/>
              </w:rPr>
            </w:pPr>
            <w:r>
              <w:rPr>
                <w:rFonts w:hint="eastAsia" w:ascii="黑体" w:hAnsi="黑体" w:eastAsia="黑体" w:cs="宋体"/>
                <w:snapToGrid w:val="0"/>
                <w:kern w:val="0"/>
                <w:sz w:val="28"/>
                <w:szCs w:val="28"/>
              </w:rPr>
              <w:t>重点任务</w:t>
            </w:r>
          </w:p>
        </w:tc>
        <w:tc>
          <w:tcPr>
            <w:tcW w:w="52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黑体" w:hAnsi="黑体" w:eastAsia="黑体" w:cs="宋体"/>
                <w:snapToGrid w:val="0"/>
                <w:kern w:val="0"/>
                <w:sz w:val="28"/>
                <w:szCs w:val="28"/>
              </w:rPr>
            </w:pPr>
            <w:r>
              <w:rPr>
                <w:rFonts w:hint="eastAsia" w:ascii="黑体" w:hAnsi="黑体" w:eastAsia="黑体" w:cs="宋体"/>
                <w:snapToGrid w:val="0"/>
                <w:kern w:val="0"/>
                <w:sz w:val="28"/>
                <w:szCs w:val="28"/>
              </w:rPr>
              <w:t>工作措施</w:t>
            </w:r>
          </w:p>
        </w:tc>
        <w:tc>
          <w:tcPr>
            <w:tcW w:w="155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黑体" w:hAnsi="黑体" w:eastAsia="黑体" w:cs="宋体"/>
                <w:snapToGrid w:val="0"/>
                <w:kern w:val="0"/>
                <w:sz w:val="28"/>
                <w:szCs w:val="28"/>
              </w:rPr>
            </w:pPr>
            <w:r>
              <w:rPr>
                <w:rFonts w:hint="eastAsia" w:ascii="黑体" w:hAnsi="黑体" w:eastAsia="黑体" w:cs="宋体"/>
                <w:snapToGrid w:val="0"/>
                <w:kern w:val="0"/>
                <w:sz w:val="28"/>
                <w:szCs w:val="28"/>
              </w:rPr>
              <w:t>完成时限</w:t>
            </w:r>
          </w:p>
        </w:tc>
        <w:tc>
          <w:tcPr>
            <w:tcW w:w="254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黑体" w:hAnsi="黑体" w:eastAsia="黑体" w:cs="宋体"/>
                <w:snapToGrid w:val="0"/>
                <w:kern w:val="0"/>
                <w:sz w:val="28"/>
                <w:szCs w:val="28"/>
              </w:rPr>
            </w:pPr>
            <w:r>
              <w:rPr>
                <w:rFonts w:hint="eastAsia" w:ascii="黑体" w:hAnsi="黑体" w:eastAsia="黑体" w:cs="宋体"/>
                <w:snapToGrid w:val="0"/>
                <w:kern w:val="0"/>
                <w:sz w:val="28"/>
                <w:szCs w:val="28"/>
              </w:rPr>
              <w:t>牵头部门</w:t>
            </w:r>
          </w:p>
        </w:tc>
        <w:tc>
          <w:tcPr>
            <w:tcW w:w="247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黑体" w:hAnsi="黑体" w:eastAsia="黑体" w:cs="宋体"/>
                <w:snapToGrid w:val="0"/>
                <w:kern w:val="0"/>
                <w:sz w:val="28"/>
                <w:szCs w:val="28"/>
              </w:rPr>
            </w:pPr>
            <w:r>
              <w:rPr>
                <w:rFonts w:hint="eastAsia" w:ascii="黑体" w:hAnsi="黑体" w:eastAsia="黑体" w:cs="宋体"/>
                <w:snapToGrid w:val="0"/>
                <w:kern w:val="0"/>
                <w:sz w:val="28"/>
                <w:szCs w:val="28"/>
              </w:rPr>
              <w:t>协办部门</w:t>
            </w:r>
          </w:p>
        </w:tc>
      </w:tr>
      <w:tr>
        <w:tblPrEx>
          <w:tblCellMar>
            <w:top w:w="0" w:type="dxa"/>
            <w:left w:w="108" w:type="dxa"/>
            <w:bottom w:w="0" w:type="dxa"/>
            <w:right w:w="108" w:type="dxa"/>
          </w:tblCellMar>
        </w:tblPrEx>
        <w:trPr>
          <w:trHeight w:val="567" w:hRule="atLeast"/>
          <w:jc w:val="center"/>
        </w:trPr>
        <w:tc>
          <w:tcPr>
            <w:tcW w:w="14174" w:type="dxa"/>
            <w:gridSpan w:val="8"/>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ascii="黑体" w:hAnsi="黑体" w:eastAsia="黑体" w:cs="宋体"/>
                <w:bCs/>
                <w:snapToGrid w:val="0"/>
                <w:kern w:val="0"/>
                <w:sz w:val="28"/>
                <w:szCs w:val="28"/>
              </w:rPr>
            </w:pPr>
            <w:r>
              <w:rPr>
                <w:rFonts w:hint="eastAsia" w:ascii="黑体" w:hAnsi="黑体" w:eastAsia="黑体" w:cs="宋体"/>
                <w:bCs/>
                <w:snapToGrid w:val="0"/>
                <w:kern w:val="0"/>
                <w:sz w:val="28"/>
                <w:szCs w:val="28"/>
              </w:rPr>
              <w:t>一、土壤污染防治目标</w:t>
            </w:r>
          </w:p>
        </w:tc>
      </w:tr>
      <w:tr>
        <w:tblPrEx>
          <w:tblCellMar>
            <w:top w:w="0" w:type="dxa"/>
            <w:left w:w="108" w:type="dxa"/>
            <w:bottom w:w="0" w:type="dxa"/>
            <w:right w:w="108" w:type="dxa"/>
          </w:tblCellMar>
        </w:tblPrEx>
        <w:trPr>
          <w:trHeight w:val="2683"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Cs/>
                <w:snapToGrid w:val="0"/>
                <w:kern w:val="0"/>
                <w:sz w:val="28"/>
                <w:szCs w:val="28"/>
              </w:rPr>
            </w:pPr>
            <w:r>
              <w:rPr>
                <w:bCs/>
                <w:snapToGrid w:val="0"/>
                <w:kern w:val="0"/>
                <w:sz w:val="28"/>
                <w:szCs w:val="28"/>
              </w:rPr>
              <w:t>1</w:t>
            </w:r>
          </w:p>
        </w:tc>
        <w:tc>
          <w:tcPr>
            <w:tcW w:w="1494" w:type="dxa"/>
            <w:gridSpan w:val="3"/>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bCs/>
                <w:snapToGrid w:val="0"/>
                <w:kern w:val="0"/>
                <w:sz w:val="28"/>
                <w:szCs w:val="28"/>
              </w:rPr>
            </w:pPr>
            <w:r>
              <w:rPr>
                <w:bCs/>
                <w:snapToGrid w:val="0"/>
                <w:kern w:val="0"/>
                <w:sz w:val="28"/>
                <w:szCs w:val="28"/>
              </w:rPr>
              <w:t>目标任务</w:t>
            </w:r>
          </w:p>
        </w:tc>
        <w:tc>
          <w:tcPr>
            <w:tcW w:w="5227"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rPr>
                <w:b/>
                <w:bCs/>
                <w:snapToGrid w:val="0"/>
                <w:kern w:val="0"/>
                <w:sz w:val="28"/>
                <w:szCs w:val="28"/>
              </w:rPr>
            </w:pPr>
            <w:r>
              <w:rPr>
                <w:rFonts w:hint="eastAsia"/>
                <w:kern w:val="0"/>
                <w:sz w:val="28"/>
                <w:szCs w:val="28"/>
              </w:rPr>
              <w:t>土壤污染风险得到有效管控，</w:t>
            </w:r>
            <w:r>
              <w:rPr>
                <w:snapToGrid w:val="0"/>
                <w:kern w:val="0"/>
                <w:sz w:val="28"/>
                <w:szCs w:val="28"/>
              </w:rPr>
              <w:t>辖区污染地块安全利用率达到9</w:t>
            </w:r>
            <w:r>
              <w:rPr>
                <w:rFonts w:hint="eastAsia"/>
                <w:snapToGrid w:val="0"/>
                <w:kern w:val="0"/>
                <w:sz w:val="28"/>
                <w:szCs w:val="28"/>
              </w:rPr>
              <w:t>5</w:t>
            </w:r>
            <w:r>
              <w:rPr>
                <w:snapToGrid w:val="0"/>
                <w:kern w:val="0"/>
                <w:sz w:val="28"/>
                <w:szCs w:val="28"/>
              </w:rPr>
              <w:t>%以上。</w:t>
            </w:r>
          </w:p>
        </w:tc>
        <w:tc>
          <w:tcPr>
            <w:tcW w:w="1553"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b/>
                <w:bCs/>
                <w:snapToGrid w:val="0"/>
                <w:kern w:val="0"/>
                <w:sz w:val="28"/>
                <w:szCs w:val="28"/>
              </w:rPr>
            </w:pPr>
            <w:r>
              <w:rPr>
                <w:snapToGrid w:val="0"/>
                <w:kern w:val="0"/>
                <w:sz w:val="28"/>
                <w:szCs w:val="28"/>
              </w:rPr>
              <w:t>年底前</w:t>
            </w:r>
          </w:p>
        </w:tc>
        <w:tc>
          <w:tcPr>
            <w:tcW w:w="2546" w:type="dxa"/>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snapToGrid w:val="0"/>
                <w:kern w:val="0"/>
                <w:sz w:val="28"/>
                <w:szCs w:val="28"/>
              </w:rPr>
            </w:pPr>
            <w:r>
              <w:rPr>
                <w:snapToGrid w:val="0"/>
                <w:kern w:val="0"/>
                <w:sz w:val="28"/>
                <w:szCs w:val="28"/>
              </w:rPr>
              <w:t>区</w:t>
            </w:r>
            <w:r>
              <w:rPr>
                <w:rFonts w:hint="eastAsia"/>
                <w:snapToGrid w:val="0"/>
                <w:kern w:val="0"/>
                <w:sz w:val="28"/>
                <w:szCs w:val="28"/>
              </w:rPr>
              <w:t>生态环境</w:t>
            </w:r>
            <w:r>
              <w:rPr>
                <w:snapToGrid w:val="0"/>
                <w:kern w:val="0"/>
                <w:sz w:val="28"/>
                <w:szCs w:val="28"/>
              </w:rPr>
              <w:t>局</w:t>
            </w:r>
          </w:p>
          <w:p>
            <w:pPr>
              <w:widowControl/>
              <w:spacing w:line="360" w:lineRule="exact"/>
              <w:jc w:val="center"/>
              <w:rPr>
                <w:snapToGrid w:val="0"/>
                <w:kern w:val="0"/>
                <w:sz w:val="28"/>
                <w:szCs w:val="28"/>
              </w:rPr>
            </w:pPr>
            <w:r>
              <w:rPr>
                <w:rFonts w:hint="eastAsia"/>
                <w:snapToGrid w:val="0"/>
                <w:kern w:val="0"/>
                <w:sz w:val="28"/>
                <w:szCs w:val="28"/>
              </w:rPr>
              <w:t>东城规自分局</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区住建委</w:t>
            </w:r>
          </w:p>
          <w:p>
            <w:pPr>
              <w:widowControl/>
              <w:spacing w:line="360" w:lineRule="exact"/>
              <w:jc w:val="center"/>
              <w:rPr>
                <w:snapToGrid w:val="0"/>
                <w:kern w:val="0"/>
                <w:sz w:val="28"/>
                <w:szCs w:val="28"/>
              </w:rPr>
            </w:pPr>
            <w:r>
              <w:rPr>
                <w:snapToGrid w:val="0"/>
                <w:kern w:val="0"/>
                <w:sz w:val="28"/>
                <w:szCs w:val="28"/>
              </w:rPr>
              <w:t>区城管委</w:t>
            </w:r>
          </w:p>
          <w:p>
            <w:pPr>
              <w:widowControl/>
              <w:spacing w:line="360" w:lineRule="exact"/>
              <w:jc w:val="center"/>
              <w:rPr>
                <w:snapToGrid w:val="0"/>
                <w:kern w:val="0"/>
                <w:sz w:val="28"/>
                <w:szCs w:val="28"/>
              </w:rPr>
            </w:pPr>
            <w:r>
              <w:rPr>
                <w:snapToGrid w:val="0"/>
                <w:kern w:val="0"/>
                <w:sz w:val="28"/>
                <w:szCs w:val="28"/>
              </w:rPr>
              <w:t>区发改委</w:t>
            </w:r>
          </w:p>
          <w:p>
            <w:pPr>
              <w:widowControl/>
              <w:spacing w:line="360" w:lineRule="exact"/>
              <w:jc w:val="center"/>
              <w:rPr>
                <w:snapToGrid w:val="0"/>
                <w:kern w:val="0"/>
                <w:sz w:val="28"/>
                <w:szCs w:val="28"/>
              </w:rPr>
            </w:pPr>
            <w:r>
              <w:rPr>
                <w:snapToGrid w:val="0"/>
                <w:kern w:val="0"/>
                <w:sz w:val="28"/>
                <w:szCs w:val="28"/>
              </w:rPr>
              <w:t>区财政局</w:t>
            </w:r>
          </w:p>
          <w:p>
            <w:pPr>
              <w:widowControl/>
              <w:spacing w:line="360" w:lineRule="exact"/>
              <w:jc w:val="center"/>
              <w:rPr>
                <w:snapToGrid w:val="0"/>
                <w:kern w:val="0"/>
                <w:sz w:val="28"/>
                <w:szCs w:val="28"/>
              </w:rPr>
            </w:pPr>
            <w:r>
              <w:rPr>
                <w:snapToGrid w:val="0"/>
                <w:kern w:val="0"/>
                <w:sz w:val="28"/>
                <w:szCs w:val="28"/>
              </w:rPr>
              <w:t>区</w:t>
            </w:r>
            <w:r>
              <w:rPr>
                <w:rFonts w:hint="eastAsia"/>
                <w:snapToGrid w:val="0"/>
                <w:kern w:val="0"/>
                <w:sz w:val="28"/>
                <w:szCs w:val="28"/>
              </w:rPr>
              <w:t>科信局</w:t>
            </w:r>
          </w:p>
          <w:p>
            <w:pPr>
              <w:widowControl/>
              <w:spacing w:line="360" w:lineRule="exact"/>
              <w:jc w:val="center"/>
              <w:rPr>
                <w:snapToGrid w:val="0"/>
                <w:kern w:val="0"/>
                <w:sz w:val="28"/>
                <w:szCs w:val="28"/>
              </w:rPr>
            </w:pPr>
            <w:r>
              <w:rPr>
                <w:snapToGrid w:val="0"/>
                <w:kern w:val="0"/>
                <w:sz w:val="28"/>
                <w:szCs w:val="28"/>
              </w:rPr>
              <w:t>区</w:t>
            </w:r>
            <w:r>
              <w:rPr>
                <w:rFonts w:hint="eastAsia"/>
                <w:snapToGrid w:val="0"/>
                <w:kern w:val="0"/>
                <w:sz w:val="28"/>
                <w:szCs w:val="28"/>
              </w:rPr>
              <w:t>应急局</w:t>
            </w:r>
          </w:p>
          <w:p>
            <w:pPr>
              <w:widowControl/>
              <w:spacing w:line="360" w:lineRule="exact"/>
              <w:jc w:val="center"/>
              <w:rPr>
                <w:snapToGrid w:val="0"/>
                <w:kern w:val="0"/>
                <w:sz w:val="28"/>
                <w:szCs w:val="28"/>
              </w:rPr>
            </w:pPr>
            <w:r>
              <w:rPr>
                <w:snapToGrid w:val="0"/>
                <w:kern w:val="0"/>
                <w:sz w:val="28"/>
                <w:szCs w:val="28"/>
              </w:rPr>
              <w:t>区园林绿化局</w:t>
            </w:r>
          </w:p>
        </w:tc>
      </w:tr>
      <w:tr>
        <w:tblPrEx>
          <w:tblCellMar>
            <w:top w:w="0" w:type="dxa"/>
            <w:left w:w="108" w:type="dxa"/>
            <w:bottom w:w="0" w:type="dxa"/>
            <w:right w:w="108" w:type="dxa"/>
          </w:tblCellMar>
        </w:tblPrEx>
        <w:trPr>
          <w:trHeight w:val="567" w:hRule="atLeast"/>
          <w:jc w:val="center"/>
        </w:trPr>
        <w:tc>
          <w:tcPr>
            <w:tcW w:w="14174" w:type="dxa"/>
            <w:gridSpan w:val="8"/>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ascii="黑体" w:hAnsi="黑体" w:eastAsia="黑体"/>
                <w:bCs/>
                <w:snapToGrid w:val="0"/>
                <w:kern w:val="0"/>
                <w:sz w:val="28"/>
                <w:szCs w:val="28"/>
              </w:rPr>
            </w:pPr>
            <w:r>
              <w:rPr>
                <w:rFonts w:hint="eastAsia" w:ascii="黑体" w:hAnsi="黑体" w:eastAsia="黑体"/>
                <w:bCs/>
                <w:snapToGrid w:val="0"/>
                <w:kern w:val="0"/>
                <w:sz w:val="28"/>
                <w:szCs w:val="28"/>
              </w:rPr>
              <w:t>二、</w:t>
            </w:r>
            <w:r>
              <w:rPr>
                <w:rFonts w:hint="eastAsia" w:eastAsia="黑体"/>
                <w:kern w:val="0"/>
                <w:sz w:val="28"/>
                <w:szCs w:val="28"/>
              </w:rPr>
              <w:t>强化土壤污染预防和保护</w:t>
            </w:r>
          </w:p>
        </w:tc>
      </w:tr>
      <w:tr>
        <w:tblPrEx>
          <w:tblCellMar>
            <w:top w:w="0" w:type="dxa"/>
            <w:left w:w="108" w:type="dxa"/>
            <w:bottom w:w="0" w:type="dxa"/>
            <w:right w:w="108" w:type="dxa"/>
          </w:tblCellMar>
        </w:tblPrEx>
        <w:trPr>
          <w:trHeight w:val="1919" w:hRule="atLeast"/>
          <w:jc w:val="center"/>
        </w:trPr>
        <w:tc>
          <w:tcPr>
            <w:tcW w:w="89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2</w:t>
            </w:r>
          </w:p>
        </w:tc>
        <w:tc>
          <w:tcPr>
            <w:tcW w:w="147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Ansi="宋体" w:cs="仿宋_GB2312"/>
                <w:snapToGrid w:val="0"/>
                <w:kern w:val="0"/>
                <w:sz w:val="28"/>
                <w:szCs w:val="28"/>
              </w:rPr>
            </w:pPr>
            <w:r>
              <w:rPr>
                <w:rFonts w:hint="eastAsia"/>
                <w:snapToGrid w:val="0"/>
                <w:kern w:val="0"/>
                <w:sz w:val="28"/>
                <w:szCs w:val="28"/>
              </w:rPr>
              <w:t>严格空间布局</w:t>
            </w:r>
          </w:p>
        </w:tc>
        <w:tc>
          <w:tcPr>
            <w:tcW w:w="52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Ansi="宋体" w:cs="仿宋_GB2312"/>
                <w:snapToGrid w:val="0"/>
                <w:kern w:val="0"/>
                <w:sz w:val="28"/>
                <w:szCs w:val="28"/>
              </w:rPr>
            </w:pPr>
            <w:r>
              <w:rPr>
                <w:rFonts w:hint="eastAsia"/>
                <w:kern w:val="0"/>
                <w:sz w:val="28"/>
                <w:szCs w:val="28"/>
              </w:rPr>
              <w:t>科学布局、统筹规划，在居民区、学校、医疗等敏感用地周边，优先规划为土壤污染低风险用地。在土壤污染高风险用地周边，确需规划为上述用地的，提前做好风险防控工作。</w:t>
            </w:r>
          </w:p>
        </w:tc>
        <w:tc>
          <w:tcPr>
            <w:tcW w:w="15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Ansi="宋体" w:cs="仿宋_GB2312"/>
                <w:snapToGrid w:val="0"/>
                <w:kern w:val="0"/>
                <w:sz w:val="28"/>
                <w:szCs w:val="28"/>
              </w:rPr>
            </w:pPr>
            <w:r>
              <w:rPr>
                <w:snapToGrid w:val="0"/>
                <w:kern w:val="0"/>
                <w:sz w:val="28"/>
                <w:szCs w:val="28"/>
              </w:rPr>
              <w:t>年底前</w:t>
            </w:r>
          </w:p>
        </w:tc>
        <w:tc>
          <w:tcPr>
            <w:tcW w:w="25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东城规自分局</w:t>
            </w:r>
          </w:p>
          <w:p>
            <w:pPr>
              <w:widowControl/>
              <w:spacing w:line="360" w:lineRule="exact"/>
              <w:jc w:val="center"/>
              <w:rPr>
                <w:snapToGrid w:val="0"/>
                <w:kern w:val="0"/>
                <w:sz w:val="28"/>
                <w:szCs w:val="28"/>
              </w:rPr>
            </w:pPr>
          </w:p>
        </w:tc>
        <w:tc>
          <w:tcPr>
            <w:tcW w:w="247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区</w:t>
            </w:r>
            <w:r>
              <w:rPr>
                <w:rFonts w:hint="eastAsia"/>
                <w:snapToGrid w:val="0"/>
                <w:kern w:val="0"/>
                <w:sz w:val="28"/>
                <w:szCs w:val="28"/>
              </w:rPr>
              <w:t>生态环境</w:t>
            </w:r>
            <w:r>
              <w:rPr>
                <w:snapToGrid w:val="0"/>
                <w:kern w:val="0"/>
                <w:sz w:val="28"/>
                <w:szCs w:val="28"/>
              </w:rPr>
              <w:t>局</w:t>
            </w:r>
          </w:p>
          <w:p>
            <w:pPr>
              <w:widowControl/>
              <w:spacing w:line="360" w:lineRule="exact"/>
              <w:jc w:val="center"/>
              <w:rPr>
                <w:rFonts w:hAnsi="宋体" w:cs="仿宋_GB2312"/>
                <w:snapToGrid w:val="0"/>
                <w:kern w:val="0"/>
                <w:sz w:val="28"/>
                <w:szCs w:val="28"/>
              </w:rPr>
            </w:pPr>
            <w:r>
              <w:rPr>
                <w:snapToGrid w:val="0"/>
                <w:kern w:val="0"/>
                <w:sz w:val="28"/>
                <w:szCs w:val="28"/>
              </w:rPr>
              <w:t>区住建委</w:t>
            </w:r>
          </w:p>
        </w:tc>
      </w:tr>
      <w:tr>
        <w:tblPrEx>
          <w:tblCellMar>
            <w:top w:w="0" w:type="dxa"/>
            <w:left w:w="108" w:type="dxa"/>
            <w:bottom w:w="0" w:type="dxa"/>
            <w:right w:w="108" w:type="dxa"/>
          </w:tblCellMar>
        </w:tblPrEx>
        <w:trPr>
          <w:trHeight w:val="2232" w:hRule="atLeast"/>
          <w:jc w:val="center"/>
        </w:trPr>
        <w:tc>
          <w:tcPr>
            <w:tcW w:w="89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3</w:t>
            </w:r>
          </w:p>
        </w:tc>
        <w:tc>
          <w:tcPr>
            <w:tcW w:w="1477" w:type="dxa"/>
            <w:tcBorders>
              <w:top w:val="single" w:color="auto" w:sz="4" w:space="0"/>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严格工业企业污染预防</w:t>
            </w:r>
          </w:p>
        </w:tc>
        <w:tc>
          <w:tcPr>
            <w:tcW w:w="5227" w:type="dxa"/>
            <w:tcBorders>
              <w:top w:val="nil"/>
              <w:left w:val="nil"/>
              <w:bottom w:val="single" w:color="auto" w:sz="4" w:space="0"/>
              <w:right w:val="single" w:color="auto" w:sz="4" w:space="0"/>
            </w:tcBorders>
            <w:vAlign w:val="center"/>
          </w:tcPr>
          <w:p>
            <w:pPr>
              <w:widowControl/>
              <w:snapToGrid w:val="0"/>
              <w:spacing w:line="360" w:lineRule="exact"/>
              <w:rPr>
                <w:kern w:val="0"/>
                <w:sz w:val="28"/>
                <w:szCs w:val="28"/>
              </w:rPr>
            </w:pPr>
            <w:r>
              <w:rPr>
                <w:rFonts w:hint="eastAsia"/>
                <w:kern w:val="0"/>
                <w:sz w:val="28"/>
                <w:szCs w:val="28"/>
              </w:rPr>
              <w:t>根据全市重点行业企业用地土壤污染状况调查结果，督促高、中风险在产企业完成一轮隐患排查。</w:t>
            </w:r>
          </w:p>
        </w:tc>
        <w:tc>
          <w:tcPr>
            <w:tcW w:w="1553" w:type="dxa"/>
            <w:tcBorders>
              <w:top w:val="nil"/>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区生态环境局</w:t>
            </w:r>
          </w:p>
        </w:tc>
        <w:tc>
          <w:tcPr>
            <w:tcW w:w="2478" w:type="dxa"/>
            <w:tcBorders>
              <w:top w:val="nil"/>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区科信局</w:t>
            </w:r>
          </w:p>
        </w:tc>
      </w:tr>
      <w:tr>
        <w:tblPrEx>
          <w:tblCellMar>
            <w:top w:w="0" w:type="dxa"/>
            <w:left w:w="108" w:type="dxa"/>
            <w:bottom w:w="0" w:type="dxa"/>
            <w:right w:w="108" w:type="dxa"/>
          </w:tblCellMar>
        </w:tblPrEx>
        <w:trPr>
          <w:trHeight w:val="2529" w:hRule="atLeast"/>
          <w:jc w:val="center"/>
        </w:trPr>
        <w:tc>
          <w:tcPr>
            <w:tcW w:w="893" w:type="dxa"/>
            <w:gridSpan w:val="3"/>
            <w:vMerge w:val="restart"/>
            <w:tcBorders>
              <w:top w:val="single" w:color="auto" w:sz="4" w:space="0"/>
              <w:left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4</w:t>
            </w:r>
          </w:p>
        </w:tc>
        <w:tc>
          <w:tcPr>
            <w:tcW w:w="1477" w:type="dxa"/>
            <w:vMerge w:val="restart"/>
            <w:tcBorders>
              <w:top w:val="single" w:color="auto" w:sz="4" w:space="0"/>
              <w:left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kern w:val="0"/>
                <w:sz w:val="28"/>
                <w:szCs w:val="28"/>
              </w:rPr>
              <w:t>强化未利用地土壤保护</w:t>
            </w:r>
          </w:p>
        </w:tc>
        <w:tc>
          <w:tcPr>
            <w:tcW w:w="5227" w:type="dxa"/>
            <w:tcBorders>
              <w:top w:val="nil"/>
              <w:left w:val="nil"/>
              <w:bottom w:val="single" w:color="auto" w:sz="4" w:space="0"/>
              <w:right w:val="single" w:color="auto" w:sz="4" w:space="0"/>
            </w:tcBorders>
            <w:vAlign w:val="center"/>
          </w:tcPr>
          <w:p>
            <w:pPr>
              <w:widowControl/>
              <w:snapToGrid w:val="0"/>
              <w:spacing w:line="360" w:lineRule="exact"/>
              <w:jc w:val="left"/>
              <w:rPr>
                <w:snapToGrid w:val="0"/>
                <w:kern w:val="0"/>
                <w:sz w:val="28"/>
                <w:szCs w:val="28"/>
              </w:rPr>
            </w:pPr>
            <w:r>
              <w:rPr>
                <w:rFonts w:hint="eastAsia"/>
                <w:kern w:val="0"/>
                <w:sz w:val="28"/>
                <w:szCs w:val="28"/>
              </w:rPr>
              <w:t>结合未利用地土壤现状情况，开展日常巡查和专项检查，依法查处所发现涉及环境污染的倾倒垃圾、侵占使用等情形，建立风险防控管理清单，加强未利用地保护。</w:t>
            </w:r>
          </w:p>
        </w:tc>
        <w:tc>
          <w:tcPr>
            <w:tcW w:w="1553" w:type="dxa"/>
            <w:tcBorders>
              <w:top w:val="nil"/>
              <w:left w:val="nil"/>
              <w:bottom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rFonts w:hint="eastAsia" w:hAnsi="宋体" w:cs="仿宋_GB2312"/>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hAnsi="宋体" w:cs="仿宋_GB2312"/>
                <w:snapToGrid w:val="0"/>
                <w:kern w:val="0"/>
                <w:sz w:val="28"/>
                <w:szCs w:val="28"/>
              </w:rPr>
              <w:t>东城规自分局</w:t>
            </w:r>
          </w:p>
        </w:tc>
        <w:tc>
          <w:tcPr>
            <w:tcW w:w="2478" w:type="dxa"/>
            <w:tcBorders>
              <w:top w:val="nil"/>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区城管委</w:t>
            </w:r>
          </w:p>
          <w:p>
            <w:pPr>
              <w:widowControl/>
              <w:spacing w:line="360" w:lineRule="exact"/>
              <w:ind w:firstLine="280" w:firstLineChars="100"/>
              <w:jc w:val="center"/>
              <w:rPr>
                <w:snapToGrid w:val="0"/>
                <w:kern w:val="0"/>
                <w:sz w:val="28"/>
                <w:szCs w:val="28"/>
              </w:rPr>
            </w:pPr>
            <w:r>
              <w:rPr>
                <w:rFonts w:hint="eastAsia"/>
                <w:snapToGrid w:val="0"/>
                <w:kern w:val="0"/>
                <w:sz w:val="28"/>
                <w:szCs w:val="28"/>
              </w:rPr>
              <w:t>区生态环境局</w:t>
            </w:r>
          </w:p>
          <w:p>
            <w:pPr>
              <w:widowControl/>
              <w:spacing w:line="360" w:lineRule="exact"/>
              <w:jc w:val="center"/>
              <w:rPr>
                <w:snapToGrid w:val="0"/>
                <w:kern w:val="0"/>
                <w:sz w:val="28"/>
                <w:szCs w:val="28"/>
              </w:rPr>
            </w:pPr>
            <w:r>
              <w:rPr>
                <w:rFonts w:hint="eastAsia"/>
                <w:snapToGrid w:val="0"/>
                <w:kern w:val="0"/>
                <w:sz w:val="28"/>
                <w:szCs w:val="28"/>
              </w:rPr>
              <w:t>各街道（地区）</w:t>
            </w:r>
          </w:p>
        </w:tc>
      </w:tr>
      <w:tr>
        <w:tblPrEx>
          <w:tblCellMar>
            <w:top w:w="0" w:type="dxa"/>
            <w:left w:w="108" w:type="dxa"/>
            <w:bottom w:w="0" w:type="dxa"/>
            <w:right w:w="108" w:type="dxa"/>
          </w:tblCellMar>
        </w:tblPrEx>
        <w:trPr>
          <w:trHeight w:val="2599" w:hRule="atLeast"/>
          <w:jc w:val="center"/>
        </w:trPr>
        <w:tc>
          <w:tcPr>
            <w:tcW w:w="893" w:type="dxa"/>
            <w:gridSpan w:val="3"/>
            <w:vMerge w:val="continue"/>
            <w:tcBorders>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p>
        </w:tc>
        <w:tc>
          <w:tcPr>
            <w:tcW w:w="1477" w:type="dxa"/>
            <w:vMerge w:val="continue"/>
            <w:tcBorders>
              <w:left w:val="single" w:color="auto" w:sz="4" w:space="0"/>
              <w:bottom w:val="single" w:color="000000" w:sz="4" w:space="0"/>
              <w:right w:val="single" w:color="auto" w:sz="4" w:space="0"/>
            </w:tcBorders>
            <w:vAlign w:val="center"/>
          </w:tcPr>
          <w:p>
            <w:pPr>
              <w:widowControl/>
              <w:spacing w:line="360" w:lineRule="exact"/>
              <w:jc w:val="center"/>
              <w:rPr>
                <w:snapToGrid w:val="0"/>
                <w:kern w:val="0"/>
                <w:sz w:val="28"/>
                <w:szCs w:val="28"/>
              </w:rPr>
            </w:pPr>
          </w:p>
        </w:tc>
        <w:tc>
          <w:tcPr>
            <w:tcW w:w="5227" w:type="dxa"/>
            <w:tcBorders>
              <w:top w:val="nil"/>
              <w:left w:val="nil"/>
              <w:bottom w:val="single" w:color="auto" w:sz="4" w:space="0"/>
              <w:right w:val="single" w:color="auto" w:sz="4" w:space="0"/>
            </w:tcBorders>
            <w:vAlign w:val="center"/>
          </w:tcPr>
          <w:p>
            <w:pPr>
              <w:widowControl/>
              <w:snapToGrid w:val="0"/>
              <w:spacing w:line="360" w:lineRule="exact"/>
              <w:jc w:val="left"/>
              <w:rPr>
                <w:snapToGrid w:val="0"/>
                <w:kern w:val="0"/>
                <w:sz w:val="28"/>
                <w:szCs w:val="28"/>
              </w:rPr>
            </w:pPr>
            <w:r>
              <w:rPr>
                <w:rFonts w:hint="eastAsia"/>
                <w:kern w:val="0"/>
                <w:sz w:val="28"/>
                <w:szCs w:val="28"/>
              </w:rPr>
              <w:t>针对未利用地的超标点位和风险防控管理清单，采取调整规划或严格控制使用等措施，研究制定未利用地土壤污染状况调查和风险防控方案。</w:t>
            </w:r>
          </w:p>
        </w:tc>
        <w:tc>
          <w:tcPr>
            <w:tcW w:w="1553" w:type="dxa"/>
            <w:tcBorders>
              <w:top w:val="nil"/>
              <w:left w:val="nil"/>
              <w:bottom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rFonts w:hint="eastAsia" w:hAnsi="宋体" w:cs="仿宋_GB2312"/>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rFonts w:hint="eastAsia" w:hAnsi="宋体" w:cs="仿宋_GB2312"/>
                <w:snapToGrid w:val="0"/>
                <w:kern w:val="0"/>
                <w:sz w:val="28"/>
                <w:szCs w:val="28"/>
              </w:rPr>
              <w:t>东城规自分局</w:t>
            </w:r>
          </w:p>
        </w:tc>
        <w:tc>
          <w:tcPr>
            <w:tcW w:w="2478" w:type="dxa"/>
            <w:tcBorders>
              <w:top w:val="nil"/>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区生态环境局</w:t>
            </w:r>
          </w:p>
        </w:tc>
      </w:tr>
      <w:tr>
        <w:tblPrEx>
          <w:tblCellMar>
            <w:top w:w="0" w:type="dxa"/>
            <w:left w:w="108" w:type="dxa"/>
            <w:bottom w:w="0" w:type="dxa"/>
            <w:right w:w="108" w:type="dxa"/>
          </w:tblCellMar>
        </w:tblPrEx>
        <w:trPr>
          <w:trHeight w:val="538" w:hRule="atLeast"/>
          <w:jc w:val="center"/>
        </w:trPr>
        <w:tc>
          <w:tcPr>
            <w:tcW w:w="14174" w:type="dxa"/>
            <w:gridSpan w:val="8"/>
            <w:tcBorders>
              <w:top w:val="nil"/>
              <w:left w:val="single" w:color="auto" w:sz="4" w:space="0"/>
              <w:bottom w:val="single" w:color="auto" w:sz="4" w:space="0"/>
              <w:right w:val="single" w:color="auto" w:sz="4" w:space="0"/>
            </w:tcBorders>
            <w:vAlign w:val="center"/>
          </w:tcPr>
          <w:p>
            <w:pPr>
              <w:widowControl/>
              <w:snapToGrid w:val="0"/>
              <w:spacing w:line="360" w:lineRule="exact"/>
              <w:ind w:left="-160" w:leftChars="-50" w:right="-160" w:rightChars="-50"/>
              <w:jc w:val="center"/>
              <w:rPr>
                <w:rFonts w:hAnsi="宋体" w:cs="仿宋_GB2312"/>
                <w:snapToGrid w:val="0"/>
                <w:kern w:val="0"/>
                <w:sz w:val="28"/>
                <w:szCs w:val="28"/>
              </w:rPr>
            </w:pPr>
            <w:r>
              <w:rPr>
                <w:rFonts w:hint="eastAsia" w:ascii="黑体" w:hAnsi="黑体" w:eastAsia="黑体"/>
                <w:bCs/>
                <w:snapToGrid w:val="0"/>
                <w:kern w:val="0"/>
                <w:sz w:val="28"/>
                <w:szCs w:val="28"/>
              </w:rPr>
              <w:t>三、强化风险管控和修复</w:t>
            </w:r>
          </w:p>
        </w:tc>
      </w:tr>
      <w:tr>
        <w:tblPrEx>
          <w:tblCellMar>
            <w:top w:w="0" w:type="dxa"/>
            <w:left w:w="108" w:type="dxa"/>
            <w:bottom w:w="0" w:type="dxa"/>
            <w:right w:w="108" w:type="dxa"/>
          </w:tblCellMar>
        </w:tblPrEx>
        <w:trPr>
          <w:trHeight w:val="90" w:hRule="atLeast"/>
          <w:jc w:val="center"/>
        </w:trPr>
        <w:tc>
          <w:tcPr>
            <w:tcW w:w="893" w:type="dxa"/>
            <w:gridSpan w:val="3"/>
            <w:vMerge w:val="restart"/>
            <w:tcBorders>
              <w:top w:val="nil"/>
              <w:left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5</w:t>
            </w:r>
          </w:p>
        </w:tc>
        <w:tc>
          <w:tcPr>
            <w:tcW w:w="1477" w:type="dxa"/>
            <w:vMerge w:val="restart"/>
            <w:tcBorders>
              <w:top w:val="nil"/>
              <w:left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rFonts w:hint="eastAsia"/>
                <w:kern w:val="0"/>
                <w:sz w:val="28"/>
                <w:szCs w:val="28"/>
              </w:rPr>
              <w:t>合理规划建设用地受污染地块土地用途</w:t>
            </w:r>
          </w:p>
        </w:tc>
        <w:tc>
          <w:tcPr>
            <w:tcW w:w="5227" w:type="dxa"/>
            <w:tcBorders>
              <w:top w:val="nil"/>
              <w:left w:val="nil"/>
              <w:bottom w:val="single" w:color="auto" w:sz="4" w:space="0"/>
              <w:right w:val="single" w:color="auto" w:sz="4" w:space="0"/>
            </w:tcBorders>
            <w:vAlign w:val="center"/>
          </w:tcPr>
          <w:p>
            <w:pPr>
              <w:widowControl/>
              <w:snapToGrid w:val="0"/>
              <w:spacing w:line="360" w:lineRule="exact"/>
              <w:jc w:val="left"/>
              <w:rPr>
                <w:rFonts w:hAnsi="宋体" w:cs="仿宋_GB2312"/>
                <w:snapToGrid w:val="0"/>
                <w:kern w:val="0"/>
                <w:sz w:val="28"/>
                <w:szCs w:val="28"/>
              </w:rPr>
            </w:pPr>
            <w:r>
              <w:rPr>
                <w:rFonts w:hint="eastAsia"/>
                <w:kern w:val="0"/>
                <w:sz w:val="28"/>
                <w:szCs w:val="28"/>
              </w:rPr>
              <w:t>辖区内建设用地受污染地块优先规划为战略留白用地，尽量避免规划为住宅、公共管理与公共服务等敏感用地。</w:t>
            </w:r>
          </w:p>
        </w:tc>
        <w:tc>
          <w:tcPr>
            <w:tcW w:w="1553" w:type="dxa"/>
            <w:tcBorders>
              <w:top w:val="nil"/>
              <w:left w:val="nil"/>
              <w:bottom w:val="single" w:color="auto" w:sz="4" w:space="0"/>
              <w:right w:val="single" w:color="auto" w:sz="4" w:space="0"/>
            </w:tcBorders>
            <w:vAlign w:val="center"/>
          </w:tcPr>
          <w:p>
            <w:pPr>
              <w:widowControl/>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widowControl/>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东城规自分局</w:t>
            </w:r>
          </w:p>
        </w:tc>
        <w:tc>
          <w:tcPr>
            <w:tcW w:w="2478" w:type="dxa"/>
            <w:tcBorders>
              <w:top w:val="nil"/>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snapToGrid w:val="0"/>
                <w:kern w:val="0"/>
                <w:sz w:val="28"/>
                <w:szCs w:val="28"/>
              </w:rPr>
            </w:pPr>
            <w:r>
              <w:rPr>
                <w:rFonts w:hint="eastAsia"/>
                <w:snapToGrid w:val="0"/>
                <w:kern w:val="0"/>
                <w:sz w:val="28"/>
                <w:szCs w:val="28"/>
              </w:rPr>
              <w:t>区生态环境局</w:t>
            </w:r>
          </w:p>
        </w:tc>
      </w:tr>
      <w:tr>
        <w:tblPrEx>
          <w:tblCellMar>
            <w:top w:w="0" w:type="dxa"/>
            <w:left w:w="108" w:type="dxa"/>
            <w:bottom w:w="0" w:type="dxa"/>
            <w:right w:w="108" w:type="dxa"/>
          </w:tblCellMar>
        </w:tblPrEx>
        <w:trPr>
          <w:trHeight w:val="2088" w:hRule="atLeast"/>
          <w:jc w:val="center"/>
        </w:trPr>
        <w:tc>
          <w:tcPr>
            <w:tcW w:w="893" w:type="dxa"/>
            <w:gridSpan w:val="3"/>
            <w:vMerge w:val="continue"/>
            <w:tcBorders>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p>
        </w:tc>
        <w:tc>
          <w:tcPr>
            <w:tcW w:w="1477"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Ansi="黑体" w:cs="仿宋_GB2312"/>
                <w:snapToGrid w:val="0"/>
                <w:kern w:val="0"/>
                <w:sz w:val="28"/>
                <w:szCs w:val="28"/>
              </w:rPr>
            </w:pPr>
          </w:p>
        </w:tc>
        <w:tc>
          <w:tcPr>
            <w:tcW w:w="5227" w:type="dxa"/>
            <w:tcBorders>
              <w:top w:val="nil"/>
              <w:left w:val="nil"/>
              <w:bottom w:val="single" w:color="auto" w:sz="4" w:space="0"/>
              <w:right w:val="single" w:color="auto" w:sz="4" w:space="0"/>
            </w:tcBorders>
            <w:vAlign w:val="center"/>
          </w:tcPr>
          <w:p>
            <w:pPr>
              <w:widowControl/>
              <w:snapToGrid w:val="0"/>
              <w:spacing w:line="360" w:lineRule="exact"/>
              <w:rPr>
                <w:rFonts w:hAnsi="宋体" w:cs="仿宋_GB2312"/>
                <w:snapToGrid w:val="0"/>
                <w:kern w:val="0"/>
                <w:sz w:val="28"/>
                <w:szCs w:val="28"/>
              </w:rPr>
            </w:pPr>
            <w:r>
              <w:rPr>
                <w:rFonts w:hint="eastAsia"/>
                <w:kern w:val="0"/>
                <w:sz w:val="28"/>
                <w:szCs w:val="28"/>
              </w:rPr>
              <w:t>加强“一张图”管理，动态更新土壤污染重点监管单位、受污染地块等空间信息，推进在规划许可、不动产登记等重要环节中的实际应用。土地征收、收回、收购时，按国家要求及时查询全国污染地块土壤环境管理系统。</w:t>
            </w:r>
          </w:p>
        </w:tc>
        <w:tc>
          <w:tcPr>
            <w:tcW w:w="1553" w:type="dxa"/>
            <w:tcBorders>
              <w:top w:val="nil"/>
              <w:left w:val="nil"/>
              <w:bottom w:val="single" w:color="auto" w:sz="4" w:space="0"/>
              <w:right w:val="single" w:color="auto" w:sz="4" w:space="0"/>
            </w:tcBorders>
            <w:vAlign w:val="center"/>
          </w:tcPr>
          <w:p>
            <w:pPr>
              <w:widowControl/>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rFonts w:hAnsi="宋体" w:cs="仿宋_GB2312"/>
                <w:snapToGrid w:val="0"/>
                <w:kern w:val="0"/>
                <w:sz w:val="28"/>
                <w:szCs w:val="28"/>
              </w:rPr>
            </w:pPr>
            <w:r>
              <w:rPr>
                <w:rFonts w:hint="eastAsia" w:hAnsi="宋体" w:cs="仿宋_GB2312"/>
                <w:snapToGrid w:val="0"/>
                <w:kern w:val="0"/>
                <w:sz w:val="28"/>
                <w:szCs w:val="28"/>
              </w:rPr>
              <w:t>东城规自分局</w:t>
            </w:r>
          </w:p>
          <w:p>
            <w:pPr>
              <w:widowControl/>
              <w:snapToGrid w:val="0"/>
              <w:spacing w:line="360" w:lineRule="exact"/>
              <w:ind w:left="-160" w:leftChars="-50" w:right="-160" w:rightChars="-50"/>
              <w:jc w:val="center"/>
              <w:rPr>
                <w:rFonts w:hAnsi="宋体" w:cs="仿宋_GB2312"/>
                <w:snapToGrid w:val="0"/>
                <w:kern w:val="0"/>
                <w:sz w:val="28"/>
                <w:szCs w:val="28"/>
              </w:rPr>
            </w:pPr>
            <w:r>
              <w:rPr>
                <w:rFonts w:hint="eastAsia" w:hAnsi="宋体" w:cs="仿宋_GB2312"/>
                <w:snapToGrid w:val="0"/>
                <w:kern w:val="0"/>
                <w:sz w:val="28"/>
                <w:szCs w:val="28"/>
              </w:rPr>
              <w:t>区生态环境局</w:t>
            </w:r>
          </w:p>
        </w:tc>
        <w:tc>
          <w:tcPr>
            <w:tcW w:w="2478" w:type="dxa"/>
            <w:tcBorders>
              <w:top w:val="nil"/>
              <w:left w:val="nil"/>
              <w:bottom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rFonts w:hint="eastAsia"/>
                <w:snapToGrid w:val="0"/>
                <w:kern w:val="0"/>
                <w:sz w:val="28"/>
                <w:szCs w:val="28"/>
              </w:rPr>
              <w:t>区住建委</w:t>
            </w:r>
          </w:p>
        </w:tc>
      </w:tr>
      <w:tr>
        <w:tblPrEx>
          <w:tblCellMar>
            <w:top w:w="0" w:type="dxa"/>
            <w:left w:w="108" w:type="dxa"/>
            <w:bottom w:w="0" w:type="dxa"/>
            <w:right w:w="108" w:type="dxa"/>
          </w:tblCellMar>
        </w:tblPrEx>
        <w:trPr>
          <w:trHeight w:val="1531" w:hRule="atLeast"/>
          <w:jc w:val="center"/>
        </w:trPr>
        <w:tc>
          <w:tcPr>
            <w:tcW w:w="89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6</w:t>
            </w:r>
          </w:p>
        </w:tc>
        <w:tc>
          <w:tcPr>
            <w:tcW w:w="14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Ansi="黑体" w:cs="仿宋_GB2312"/>
                <w:snapToGrid w:val="0"/>
                <w:kern w:val="0"/>
                <w:sz w:val="28"/>
                <w:szCs w:val="28"/>
              </w:rPr>
            </w:pPr>
            <w:r>
              <w:rPr>
                <w:rFonts w:hint="eastAsia"/>
                <w:kern w:val="0"/>
                <w:sz w:val="28"/>
                <w:szCs w:val="28"/>
              </w:rPr>
              <w:t>强化建设用地受污染地块“入口”管理</w:t>
            </w:r>
          </w:p>
        </w:tc>
        <w:tc>
          <w:tcPr>
            <w:tcW w:w="5227" w:type="dxa"/>
            <w:tcBorders>
              <w:top w:val="nil"/>
              <w:left w:val="nil"/>
              <w:bottom w:val="single" w:color="auto" w:sz="4" w:space="0"/>
              <w:right w:val="single" w:color="auto" w:sz="4" w:space="0"/>
            </w:tcBorders>
            <w:vAlign w:val="center"/>
          </w:tcPr>
          <w:p>
            <w:pPr>
              <w:widowControl/>
              <w:snapToGrid w:val="0"/>
              <w:spacing w:line="360" w:lineRule="exact"/>
              <w:rPr>
                <w:rFonts w:hAnsi="宋体" w:cs="仿宋_GB2312"/>
                <w:snapToGrid w:val="0"/>
                <w:kern w:val="0"/>
                <w:sz w:val="28"/>
                <w:szCs w:val="28"/>
              </w:rPr>
            </w:pPr>
            <w:r>
              <w:rPr>
                <w:rFonts w:hint="eastAsia"/>
                <w:kern w:val="0"/>
                <w:sz w:val="28"/>
                <w:szCs w:val="28"/>
              </w:rPr>
              <w:t>开展2020年关停企业原址用地筛查，动态更新筛查台账。根据重点行业企业用地土壤污染状况调查结果，将高、中风险关停企业纳入筛查台账管理。</w:t>
            </w:r>
          </w:p>
        </w:tc>
        <w:tc>
          <w:tcPr>
            <w:tcW w:w="1553" w:type="dxa"/>
            <w:tcBorders>
              <w:top w:val="nil"/>
              <w:left w:val="nil"/>
              <w:bottom w:val="single" w:color="auto" w:sz="4" w:space="0"/>
              <w:right w:val="single" w:color="auto" w:sz="4" w:space="0"/>
            </w:tcBorders>
            <w:vAlign w:val="center"/>
          </w:tcPr>
          <w:p>
            <w:pPr>
              <w:widowControl/>
              <w:adjustRightInd w:val="0"/>
              <w:snapToGrid w:val="0"/>
              <w:spacing w:line="360" w:lineRule="exact"/>
              <w:ind w:left="-160" w:leftChars="-50" w:right="-160" w:rightChars="-50"/>
              <w:jc w:val="center"/>
              <w:rPr>
                <w:rFonts w:hAnsi="宋体" w:cs="仿宋_GB2312"/>
                <w:snapToGrid w:val="0"/>
                <w:kern w:val="0"/>
                <w:sz w:val="28"/>
                <w:szCs w:val="28"/>
              </w:rPr>
            </w:pPr>
            <w:r>
              <w:rPr>
                <w:rFonts w:hint="eastAsia" w:hAnsi="宋体" w:cs="仿宋_GB2312"/>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widowControl/>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区生态环境局</w:t>
            </w:r>
          </w:p>
          <w:p>
            <w:pPr>
              <w:widowControl/>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区科信局</w:t>
            </w:r>
          </w:p>
        </w:tc>
        <w:tc>
          <w:tcPr>
            <w:tcW w:w="2478" w:type="dxa"/>
            <w:tcBorders>
              <w:top w:val="nil"/>
              <w:left w:val="nil"/>
              <w:bottom w:val="single" w:color="auto" w:sz="4" w:space="0"/>
              <w:right w:val="single" w:color="auto" w:sz="4" w:space="0"/>
            </w:tcBorders>
            <w:vAlign w:val="center"/>
          </w:tcPr>
          <w:p>
            <w:pPr>
              <w:widowControl/>
              <w:adjustRightInd w:val="0"/>
              <w:snapToGrid w:val="0"/>
              <w:spacing w:line="360" w:lineRule="exact"/>
              <w:ind w:right="-160" w:rightChars="-50" w:firstLine="280" w:firstLineChars="100"/>
              <w:rPr>
                <w:rFonts w:hAnsi="宋体" w:cs="仿宋_GB2312"/>
                <w:snapToGrid w:val="0"/>
                <w:kern w:val="0"/>
                <w:sz w:val="28"/>
                <w:szCs w:val="28"/>
              </w:rPr>
            </w:pPr>
            <w:r>
              <w:rPr>
                <w:rFonts w:hint="eastAsia"/>
                <w:snapToGrid w:val="0"/>
                <w:kern w:val="0"/>
                <w:sz w:val="28"/>
                <w:szCs w:val="28"/>
              </w:rPr>
              <w:t>各街道（地区）</w:t>
            </w:r>
          </w:p>
        </w:tc>
      </w:tr>
      <w:tr>
        <w:tblPrEx>
          <w:tblCellMar>
            <w:top w:w="0" w:type="dxa"/>
            <w:left w:w="108" w:type="dxa"/>
            <w:bottom w:w="0" w:type="dxa"/>
            <w:right w:w="108" w:type="dxa"/>
          </w:tblCellMar>
        </w:tblPrEx>
        <w:trPr>
          <w:trHeight w:val="352" w:hRule="atLeast"/>
          <w:jc w:val="center"/>
        </w:trPr>
        <w:tc>
          <w:tcPr>
            <w:tcW w:w="89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p>
        </w:tc>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8"/>
                <w:szCs w:val="28"/>
              </w:rPr>
            </w:pPr>
          </w:p>
        </w:tc>
        <w:tc>
          <w:tcPr>
            <w:tcW w:w="5227" w:type="dxa"/>
            <w:tcBorders>
              <w:top w:val="nil"/>
              <w:left w:val="nil"/>
              <w:bottom w:val="single" w:color="auto" w:sz="4" w:space="0"/>
              <w:right w:val="single" w:color="auto" w:sz="4" w:space="0"/>
            </w:tcBorders>
            <w:vAlign w:val="center"/>
          </w:tcPr>
          <w:p>
            <w:pPr>
              <w:widowControl/>
              <w:snapToGrid w:val="0"/>
              <w:spacing w:line="360" w:lineRule="exact"/>
              <w:rPr>
                <w:kern w:val="0"/>
                <w:sz w:val="28"/>
                <w:szCs w:val="28"/>
              </w:rPr>
            </w:pPr>
            <w:r>
              <w:rPr>
                <w:rFonts w:hint="eastAsia"/>
                <w:kern w:val="0"/>
                <w:sz w:val="28"/>
                <w:szCs w:val="28"/>
              </w:rPr>
              <w:t>依法督促用途变更、用地属性变化等的地块开展土壤污染状况调查。其中，东城规自分局将规划用途为住宅、公共管理与公共服务、商业用地的，通过“多规合一”平台与区生态环境局进行会签；区生态环境局依法督促用途变更的地块开展土壤污染状况调查。</w:t>
            </w:r>
          </w:p>
        </w:tc>
        <w:tc>
          <w:tcPr>
            <w:tcW w:w="1553" w:type="dxa"/>
            <w:tcBorders>
              <w:top w:val="nil"/>
              <w:left w:val="nil"/>
              <w:bottom w:val="single" w:color="auto" w:sz="4" w:space="0"/>
              <w:right w:val="single" w:color="auto" w:sz="4" w:space="0"/>
            </w:tcBorders>
            <w:vAlign w:val="center"/>
          </w:tcPr>
          <w:p>
            <w:pPr>
              <w:widowControl/>
              <w:snapToGrid w:val="0"/>
              <w:spacing w:line="360" w:lineRule="exact"/>
              <w:jc w:val="center"/>
              <w:rPr>
                <w:rFonts w:hAnsi="宋体" w:cs="仿宋_GB2312"/>
                <w:snapToGrid w:val="0"/>
                <w:kern w:val="0"/>
                <w:sz w:val="28"/>
                <w:szCs w:val="28"/>
              </w:rPr>
            </w:pPr>
            <w:r>
              <w:rPr>
                <w:rFonts w:hint="eastAsia"/>
                <w:kern w:val="0"/>
                <w:sz w:val="28"/>
                <w:szCs w:val="28"/>
              </w:rPr>
              <w:t>年底前</w:t>
            </w:r>
          </w:p>
        </w:tc>
        <w:tc>
          <w:tcPr>
            <w:tcW w:w="2546" w:type="dxa"/>
            <w:tcBorders>
              <w:top w:val="nil"/>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rFonts w:hAnsi="宋体" w:cs="仿宋_GB2312"/>
                <w:snapToGrid w:val="0"/>
                <w:kern w:val="0"/>
                <w:sz w:val="28"/>
                <w:szCs w:val="28"/>
              </w:rPr>
            </w:pPr>
            <w:r>
              <w:rPr>
                <w:rFonts w:hint="eastAsia" w:hAnsi="宋体" w:cs="仿宋_GB2312"/>
                <w:snapToGrid w:val="0"/>
                <w:kern w:val="0"/>
                <w:sz w:val="28"/>
                <w:szCs w:val="28"/>
              </w:rPr>
              <w:t>东城规自分局</w:t>
            </w:r>
          </w:p>
        </w:tc>
        <w:tc>
          <w:tcPr>
            <w:tcW w:w="2478" w:type="dxa"/>
            <w:tcBorders>
              <w:top w:val="nil"/>
              <w:left w:val="nil"/>
              <w:bottom w:val="single" w:color="auto" w:sz="4" w:space="0"/>
              <w:right w:val="single" w:color="auto" w:sz="4" w:space="0"/>
            </w:tcBorders>
            <w:vAlign w:val="center"/>
          </w:tcPr>
          <w:p>
            <w:pPr>
              <w:widowControl/>
              <w:adjustRightInd w:val="0"/>
              <w:snapToGrid w:val="0"/>
              <w:spacing w:line="360" w:lineRule="exact"/>
              <w:ind w:right="19" w:rightChars="6"/>
              <w:jc w:val="center"/>
              <w:rPr>
                <w:snapToGrid w:val="0"/>
                <w:kern w:val="0"/>
                <w:sz w:val="28"/>
                <w:szCs w:val="28"/>
              </w:rPr>
            </w:pPr>
            <w:r>
              <w:rPr>
                <w:rFonts w:hint="eastAsia" w:hAnsi="宋体" w:cs="仿宋_GB2312"/>
                <w:snapToGrid w:val="0"/>
                <w:kern w:val="0"/>
                <w:sz w:val="28"/>
                <w:szCs w:val="28"/>
              </w:rPr>
              <w:t>区生态环境局</w:t>
            </w:r>
          </w:p>
        </w:tc>
      </w:tr>
      <w:tr>
        <w:tblPrEx>
          <w:tblCellMar>
            <w:top w:w="0" w:type="dxa"/>
            <w:left w:w="108" w:type="dxa"/>
            <w:bottom w:w="0" w:type="dxa"/>
            <w:right w:w="108" w:type="dxa"/>
          </w:tblCellMar>
        </w:tblPrEx>
        <w:trPr>
          <w:trHeight w:val="90" w:hRule="atLeast"/>
          <w:jc w:val="center"/>
        </w:trPr>
        <w:tc>
          <w:tcPr>
            <w:tcW w:w="88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7</w:t>
            </w:r>
          </w:p>
        </w:tc>
        <w:tc>
          <w:tcPr>
            <w:tcW w:w="1486" w:type="dxa"/>
            <w:gridSpan w:val="2"/>
            <w:vMerge w:val="restart"/>
            <w:tcBorders>
              <w:top w:val="single" w:color="auto" w:sz="4" w:space="0"/>
              <w:left w:val="nil"/>
              <w:bottom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rFonts w:hint="eastAsia"/>
                <w:kern w:val="0"/>
                <w:sz w:val="28"/>
                <w:szCs w:val="28"/>
              </w:rPr>
              <w:t>强化建设用地受污染地块“出口”管理</w:t>
            </w:r>
          </w:p>
        </w:tc>
        <w:tc>
          <w:tcPr>
            <w:tcW w:w="5227" w:type="dxa"/>
            <w:tcBorders>
              <w:top w:val="nil"/>
              <w:left w:val="nil"/>
              <w:bottom w:val="single" w:color="auto" w:sz="4" w:space="0"/>
              <w:right w:val="single" w:color="auto" w:sz="4" w:space="0"/>
            </w:tcBorders>
            <w:vAlign w:val="center"/>
          </w:tcPr>
          <w:p>
            <w:pPr>
              <w:widowControl/>
              <w:snapToGrid w:val="0"/>
              <w:spacing w:line="360" w:lineRule="exact"/>
              <w:jc w:val="left"/>
              <w:rPr>
                <w:snapToGrid w:val="0"/>
                <w:kern w:val="0"/>
                <w:sz w:val="28"/>
                <w:szCs w:val="28"/>
              </w:rPr>
            </w:pPr>
            <w:r>
              <w:rPr>
                <w:rFonts w:hint="eastAsia"/>
                <w:kern w:val="0"/>
                <w:sz w:val="28"/>
                <w:szCs w:val="28"/>
              </w:rPr>
              <w:t>对暂不开发利用或现阶段不具备治理修复条件的建设用地受污染地块，制定风险管控年度计划并组织实施。</w:t>
            </w:r>
          </w:p>
        </w:tc>
        <w:tc>
          <w:tcPr>
            <w:tcW w:w="1553" w:type="dxa"/>
            <w:tcBorders>
              <w:top w:val="nil"/>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snapToGrid w:val="0"/>
                <w:kern w:val="0"/>
                <w:sz w:val="28"/>
                <w:szCs w:val="28"/>
              </w:rPr>
            </w:pPr>
            <w:r>
              <w:rPr>
                <w:rFonts w:hint="eastAsia" w:hAnsi="宋体" w:cs="仿宋_GB2312"/>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widowControl/>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区生态环境局</w:t>
            </w:r>
          </w:p>
          <w:p>
            <w:pPr>
              <w:widowControl/>
              <w:snapToGrid w:val="0"/>
              <w:spacing w:line="360" w:lineRule="exact"/>
              <w:jc w:val="center"/>
              <w:rPr>
                <w:snapToGrid w:val="0"/>
                <w:kern w:val="0"/>
                <w:sz w:val="28"/>
                <w:szCs w:val="28"/>
              </w:rPr>
            </w:pPr>
            <w:r>
              <w:rPr>
                <w:rFonts w:hint="eastAsia"/>
                <w:snapToGrid w:val="0"/>
                <w:kern w:val="0"/>
                <w:sz w:val="28"/>
                <w:szCs w:val="28"/>
              </w:rPr>
              <w:t>东城规自分局</w:t>
            </w:r>
          </w:p>
        </w:tc>
        <w:tc>
          <w:tcPr>
            <w:tcW w:w="2478" w:type="dxa"/>
            <w:tcBorders>
              <w:top w:val="nil"/>
              <w:left w:val="nil"/>
              <w:bottom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rFonts w:hint="eastAsia"/>
                <w:snapToGrid w:val="0"/>
                <w:kern w:val="0"/>
                <w:sz w:val="28"/>
                <w:szCs w:val="28"/>
              </w:rPr>
              <w:t>区住建委</w:t>
            </w:r>
          </w:p>
        </w:tc>
      </w:tr>
      <w:tr>
        <w:tblPrEx>
          <w:tblCellMar>
            <w:top w:w="0" w:type="dxa"/>
            <w:left w:w="108" w:type="dxa"/>
            <w:bottom w:w="0" w:type="dxa"/>
            <w:right w:w="108" w:type="dxa"/>
          </w:tblCellMar>
        </w:tblPrEx>
        <w:trPr>
          <w:trHeight w:val="1498" w:hRule="atLeast"/>
          <w:jc w:val="center"/>
        </w:trPr>
        <w:tc>
          <w:tcPr>
            <w:tcW w:w="8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p>
        </w:tc>
        <w:tc>
          <w:tcPr>
            <w:tcW w:w="1486" w:type="dxa"/>
            <w:gridSpan w:val="2"/>
            <w:vMerge w:val="continue"/>
            <w:tcBorders>
              <w:top w:val="single" w:color="auto" w:sz="4" w:space="0"/>
              <w:left w:val="nil"/>
              <w:bottom w:val="single" w:color="auto" w:sz="4" w:space="0"/>
              <w:right w:val="single" w:color="auto" w:sz="4" w:space="0"/>
            </w:tcBorders>
            <w:vAlign w:val="center"/>
          </w:tcPr>
          <w:p>
            <w:pPr>
              <w:widowControl/>
              <w:snapToGrid w:val="0"/>
              <w:spacing w:line="360" w:lineRule="exact"/>
              <w:jc w:val="center"/>
              <w:rPr>
                <w:kern w:val="0"/>
                <w:sz w:val="28"/>
                <w:szCs w:val="28"/>
              </w:rPr>
            </w:pPr>
          </w:p>
        </w:tc>
        <w:tc>
          <w:tcPr>
            <w:tcW w:w="5227" w:type="dxa"/>
            <w:tcBorders>
              <w:top w:val="nil"/>
              <w:left w:val="nil"/>
              <w:bottom w:val="single" w:color="auto" w:sz="4" w:space="0"/>
              <w:right w:val="single" w:color="auto" w:sz="4" w:space="0"/>
            </w:tcBorders>
            <w:vAlign w:val="center"/>
          </w:tcPr>
          <w:p>
            <w:pPr>
              <w:widowControl/>
              <w:snapToGrid w:val="0"/>
              <w:spacing w:line="360" w:lineRule="exact"/>
              <w:jc w:val="left"/>
              <w:rPr>
                <w:kern w:val="0"/>
                <w:sz w:val="28"/>
                <w:szCs w:val="28"/>
              </w:rPr>
            </w:pPr>
            <w:r>
              <w:rPr>
                <w:rFonts w:hint="eastAsia"/>
                <w:kern w:val="0"/>
                <w:sz w:val="28"/>
                <w:szCs w:val="28"/>
              </w:rPr>
              <w:t>加强建设用地土壤污染风险管控和修复名录内的地块管理，督促实施风险管控、备案修复方案，现场检查污染防控措施落实情况。</w:t>
            </w:r>
          </w:p>
        </w:tc>
        <w:tc>
          <w:tcPr>
            <w:tcW w:w="1553" w:type="dxa"/>
            <w:tcBorders>
              <w:top w:val="nil"/>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rFonts w:hAnsi="宋体" w:cs="仿宋_GB2312"/>
                <w:snapToGrid w:val="0"/>
                <w:kern w:val="0"/>
                <w:sz w:val="28"/>
                <w:szCs w:val="28"/>
              </w:rPr>
            </w:pPr>
            <w:r>
              <w:rPr>
                <w:rFonts w:hint="eastAsia" w:hAnsi="宋体" w:cs="仿宋_GB2312"/>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区</w:t>
            </w:r>
            <w:r>
              <w:rPr>
                <w:rFonts w:hint="eastAsia"/>
                <w:snapToGrid w:val="0"/>
                <w:kern w:val="0"/>
                <w:sz w:val="28"/>
                <w:szCs w:val="28"/>
              </w:rPr>
              <w:t>生态环境</w:t>
            </w:r>
            <w:r>
              <w:rPr>
                <w:snapToGrid w:val="0"/>
                <w:kern w:val="0"/>
                <w:sz w:val="28"/>
                <w:szCs w:val="28"/>
              </w:rPr>
              <w:t>局</w:t>
            </w:r>
            <w:r>
              <w:rPr>
                <w:rFonts w:hint="eastAsia"/>
                <w:snapToGrid w:val="0"/>
                <w:kern w:val="0"/>
                <w:sz w:val="28"/>
                <w:szCs w:val="28"/>
              </w:rPr>
              <w:t xml:space="preserve">       </w:t>
            </w:r>
          </w:p>
        </w:tc>
        <w:tc>
          <w:tcPr>
            <w:tcW w:w="2478" w:type="dxa"/>
            <w:tcBorders>
              <w:top w:val="nil"/>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东城规自分局</w:t>
            </w:r>
          </w:p>
          <w:p>
            <w:pPr>
              <w:widowControl/>
              <w:spacing w:line="360" w:lineRule="exact"/>
              <w:jc w:val="center"/>
              <w:rPr>
                <w:snapToGrid w:val="0"/>
                <w:kern w:val="0"/>
                <w:sz w:val="28"/>
                <w:szCs w:val="28"/>
              </w:rPr>
            </w:pPr>
            <w:r>
              <w:rPr>
                <w:rFonts w:hint="eastAsia"/>
                <w:snapToGrid w:val="0"/>
                <w:kern w:val="0"/>
                <w:sz w:val="28"/>
                <w:szCs w:val="28"/>
              </w:rPr>
              <w:t>区住建委</w:t>
            </w:r>
          </w:p>
        </w:tc>
      </w:tr>
      <w:tr>
        <w:tblPrEx>
          <w:tblCellMar>
            <w:top w:w="0" w:type="dxa"/>
            <w:left w:w="108" w:type="dxa"/>
            <w:bottom w:w="0" w:type="dxa"/>
            <w:right w:w="108" w:type="dxa"/>
          </w:tblCellMar>
        </w:tblPrEx>
        <w:trPr>
          <w:trHeight w:val="924" w:hRule="atLeast"/>
          <w:jc w:val="center"/>
        </w:trPr>
        <w:tc>
          <w:tcPr>
            <w:tcW w:w="8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p>
        </w:tc>
        <w:tc>
          <w:tcPr>
            <w:tcW w:w="1486" w:type="dxa"/>
            <w:gridSpan w:val="2"/>
            <w:vMerge w:val="continue"/>
            <w:tcBorders>
              <w:top w:val="single" w:color="auto" w:sz="4" w:space="0"/>
              <w:left w:val="nil"/>
              <w:bottom w:val="single" w:color="auto" w:sz="4" w:space="0"/>
              <w:right w:val="single" w:color="auto" w:sz="4" w:space="0"/>
            </w:tcBorders>
            <w:vAlign w:val="center"/>
          </w:tcPr>
          <w:p>
            <w:pPr>
              <w:widowControl/>
              <w:snapToGrid w:val="0"/>
              <w:spacing w:line="360" w:lineRule="exact"/>
              <w:jc w:val="center"/>
              <w:rPr>
                <w:kern w:val="0"/>
                <w:sz w:val="28"/>
                <w:szCs w:val="28"/>
              </w:rPr>
            </w:pPr>
          </w:p>
        </w:tc>
        <w:tc>
          <w:tcPr>
            <w:tcW w:w="5227" w:type="dxa"/>
            <w:tcBorders>
              <w:top w:val="nil"/>
              <w:left w:val="nil"/>
              <w:bottom w:val="single" w:color="auto" w:sz="4" w:space="0"/>
              <w:right w:val="single" w:color="auto" w:sz="4" w:space="0"/>
            </w:tcBorders>
            <w:vAlign w:val="center"/>
          </w:tcPr>
          <w:p>
            <w:pPr>
              <w:widowControl/>
              <w:snapToGrid w:val="0"/>
              <w:spacing w:line="360" w:lineRule="exact"/>
              <w:jc w:val="left"/>
              <w:rPr>
                <w:kern w:val="0"/>
                <w:sz w:val="28"/>
                <w:szCs w:val="28"/>
              </w:rPr>
            </w:pPr>
            <w:r>
              <w:rPr>
                <w:rFonts w:hint="eastAsia"/>
                <w:kern w:val="0"/>
                <w:sz w:val="28"/>
                <w:szCs w:val="28"/>
              </w:rPr>
              <w:t>风险管控、修复活动完成后，督促开展效果评估和备案。对需要开展后期管理的地块，监管有关要求落实情况。</w:t>
            </w:r>
          </w:p>
        </w:tc>
        <w:tc>
          <w:tcPr>
            <w:tcW w:w="1553" w:type="dxa"/>
            <w:tcBorders>
              <w:top w:val="nil"/>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rFonts w:hAnsi="宋体" w:cs="仿宋_GB2312"/>
                <w:snapToGrid w:val="0"/>
                <w:kern w:val="0"/>
                <w:sz w:val="28"/>
                <w:szCs w:val="28"/>
              </w:rPr>
            </w:pPr>
            <w:r>
              <w:rPr>
                <w:rFonts w:hint="eastAsia" w:hAnsi="宋体" w:cs="仿宋_GB2312"/>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区</w:t>
            </w:r>
            <w:r>
              <w:rPr>
                <w:rFonts w:hint="eastAsia"/>
                <w:snapToGrid w:val="0"/>
                <w:kern w:val="0"/>
                <w:sz w:val="28"/>
                <w:szCs w:val="28"/>
              </w:rPr>
              <w:t>生态环境</w:t>
            </w:r>
            <w:r>
              <w:rPr>
                <w:snapToGrid w:val="0"/>
                <w:kern w:val="0"/>
                <w:sz w:val="28"/>
                <w:szCs w:val="28"/>
              </w:rPr>
              <w:t>局</w:t>
            </w:r>
            <w:r>
              <w:rPr>
                <w:rFonts w:hint="eastAsia"/>
                <w:snapToGrid w:val="0"/>
                <w:kern w:val="0"/>
                <w:sz w:val="28"/>
                <w:szCs w:val="28"/>
              </w:rPr>
              <w:t xml:space="preserve">       </w:t>
            </w:r>
          </w:p>
        </w:tc>
        <w:tc>
          <w:tcPr>
            <w:tcW w:w="2478" w:type="dxa"/>
            <w:tcBorders>
              <w:top w:val="nil"/>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东城规自分局</w:t>
            </w:r>
          </w:p>
          <w:p>
            <w:pPr>
              <w:widowControl/>
              <w:spacing w:line="360" w:lineRule="exact"/>
              <w:jc w:val="center"/>
              <w:rPr>
                <w:snapToGrid w:val="0"/>
                <w:kern w:val="0"/>
                <w:sz w:val="28"/>
                <w:szCs w:val="28"/>
              </w:rPr>
            </w:pPr>
            <w:r>
              <w:rPr>
                <w:rFonts w:hint="eastAsia"/>
                <w:snapToGrid w:val="0"/>
                <w:kern w:val="0"/>
                <w:sz w:val="28"/>
                <w:szCs w:val="28"/>
              </w:rPr>
              <w:t>区住建委</w:t>
            </w:r>
          </w:p>
        </w:tc>
      </w:tr>
      <w:tr>
        <w:tblPrEx>
          <w:tblCellMar>
            <w:top w:w="0" w:type="dxa"/>
            <w:left w:w="108" w:type="dxa"/>
            <w:bottom w:w="0" w:type="dxa"/>
            <w:right w:w="108" w:type="dxa"/>
          </w:tblCellMar>
        </w:tblPrEx>
        <w:trPr>
          <w:trHeight w:val="4074" w:hRule="atLeast"/>
          <w:jc w:val="center"/>
        </w:trPr>
        <w:tc>
          <w:tcPr>
            <w:tcW w:w="88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8</w:t>
            </w:r>
          </w:p>
        </w:tc>
        <w:tc>
          <w:tcPr>
            <w:tcW w:w="1486"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z w:val="28"/>
                <w:szCs w:val="28"/>
              </w:rPr>
              <w:t>科学实施生态修复</w:t>
            </w:r>
          </w:p>
        </w:tc>
        <w:tc>
          <w:tcPr>
            <w:tcW w:w="5227" w:type="dxa"/>
            <w:tcBorders>
              <w:top w:val="nil"/>
              <w:left w:val="nil"/>
              <w:bottom w:val="single" w:color="auto" w:sz="4" w:space="0"/>
              <w:right w:val="single" w:color="auto" w:sz="4" w:space="0"/>
            </w:tcBorders>
            <w:vAlign w:val="center"/>
          </w:tcPr>
          <w:p>
            <w:pPr>
              <w:widowControl/>
              <w:snapToGrid w:val="0"/>
              <w:spacing w:line="360" w:lineRule="exact"/>
              <w:jc w:val="left"/>
              <w:rPr>
                <w:kern w:val="0"/>
                <w:sz w:val="28"/>
                <w:szCs w:val="28"/>
              </w:rPr>
            </w:pPr>
            <w:r>
              <w:rPr>
                <w:rFonts w:hint="eastAsia"/>
                <w:kern w:val="0"/>
                <w:sz w:val="28"/>
                <w:szCs w:val="28"/>
              </w:rPr>
              <w:t>配合市级主管部门完成《北京市国土空间生态修复规划（2021年—2035年）》编制工作。依照市级部门明确的行业生态问题评估及修复原则，开展生态问题评估及生态修复工作。</w:t>
            </w:r>
          </w:p>
          <w:p>
            <w:pPr>
              <w:widowControl/>
              <w:snapToGrid w:val="0"/>
              <w:spacing w:line="360" w:lineRule="exact"/>
              <w:jc w:val="left"/>
              <w:rPr>
                <w:rFonts w:hAnsi="宋体" w:cs="仿宋_GB2312"/>
                <w:snapToGrid w:val="0"/>
                <w:kern w:val="0"/>
                <w:sz w:val="28"/>
                <w:szCs w:val="28"/>
              </w:rPr>
            </w:pPr>
            <w:r>
              <w:rPr>
                <w:rFonts w:hint="eastAsia"/>
                <w:kern w:val="0"/>
                <w:sz w:val="28"/>
                <w:szCs w:val="28"/>
              </w:rPr>
              <w:t>区发展改革委、区财政局在批复涉及生态修复的项目时，应在一个月内将批复文件抄送区生态环境局备案。在实施涉及生态修复的建设项目前，要依法开展规划环评和建设项目环评。</w:t>
            </w:r>
          </w:p>
        </w:tc>
        <w:tc>
          <w:tcPr>
            <w:tcW w:w="1553" w:type="dxa"/>
            <w:tcBorders>
              <w:top w:val="nil"/>
              <w:left w:val="nil"/>
              <w:bottom w:val="single" w:color="auto" w:sz="4" w:space="0"/>
              <w:right w:val="single" w:color="auto" w:sz="4" w:space="0"/>
            </w:tcBorders>
            <w:vAlign w:val="center"/>
          </w:tcPr>
          <w:p>
            <w:pPr>
              <w:widowControl/>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snapToGrid w:val="0"/>
              <w:spacing w:line="360" w:lineRule="exact"/>
              <w:jc w:val="center"/>
              <w:rPr>
                <w:sz w:val="28"/>
                <w:szCs w:val="28"/>
              </w:rPr>
            </w:pPr>
            <w:r>
              <w:rPr>
                <w:rFonts w:hint="eastAsia"/>
                <w:sz w:val="28"/>
                <w:szCs w:val="28"/>
              </w:rPr>
              <w:t>东城规自分局</w:t>
            </w:r>
          </w:p>
          <w:p>
            <w:pPr>
              <w:widowControl/>
              <w:snapToGrid w:val="0"/>
              <w:spacing w:line="360" w:lineRule="exact"/>
              <w:jc w:val="center"/>
              <w:rPr>
                <w:sz w:val="28"/>
                <w:szCs w:val="28"/>
              </w:rPr>
            </w:pPr>
            <w:r>
              <w:rPr>
                <w:rFonts w:hint="eastAsia"/>
                <w:sz w:val="28"/>
                <w:szCs w:val="28"/>
              </w:rPr>
              <w:t>区园林绿化局</w:t>
            </w:r>
          </w:p>
          <w:p>
            <w:pPr>
              <w:widowControl/>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区城管委</w:t>
            </w:r>
          </w:p>
        </w:tc>
        <w:tc>
          <w:tcPr>
            <w:tcW w:w="2478" w:type="dxa"/>
            <w:tcBorders>
              <w:top w:val="nil"/>
              <w:left w:val="nil"/>
              <w:bottom w:val="single" w:color="auto" w:sz="4" w:space="0"/>
              <w:right w:val="single" w:color="auto" w:sz="4" w:space="0"/>
            </w:tcBorders>
            <w:vAlign w:val="center"/>
          </w:tcPr>
          <w:p>
            <w:pPr>
              <w:snapToGrid w:val="0"/>
              <w:spacing w:line="360" w:lineRule="exact"/>
              <w:jc w:val="center"/>
              <w:rPr>
                <w:sz w:val="28"/>
                <w:szCs w:val="28"/>
              </w:rPr>
            </w:pPr>
            <w:r>
              <w:rPr>
                <w:rFonts w:hint="eastAsia"/>
                <w:sz w:val="28"/>
                <w:szCs w:val="28"/>
              </w:rPr>
              <w:t>区国资委</w:t>
            </w:r>
          </w:p>
          <w:p>
            <w:pPr>
              <w:snapToGrid w:val="0"/>
              <w:spacing w:line="360" w:lineRule="exact"/>
              <w:jc w:val="center"/>
              <w:rPr>
                <w:sz w:val="28"/>
                <w:szCs w:val="28"/>
              </w:rPr>
            </w:pPr>
            <w:r>
              <w:rPr>
                <w:rFonts w:hint="eastAsia"/>
                <w:sz w:val="28"/>
                <w:szCs w:val="28"/>
              </w:rPr>
              <w:t>区发展改革委</w:t>
            </w:r>
          </w:p>
          <w:p>
            <w:pPr>
              <w:snapToGrid w:val="0"/>
              <w:spacing w:line="360" w:lineRule="exact"/>
              <w:jc w:val="center"/>
              <w:rPr>
                <w:sz w:val="28"/>
                <w:szCs w:val="28"/>
              </w:rPr>
            </w:pPr>
            <w:r>
              <w:rPr>
                <w:rFonts w:hint="eastAsia"/>
                <w:sz w:val="28"/>
                <w:szCs w:val="28"/>
              </w:rPr>
              <w:t>区财政局</w:t>
            </w:r>
          </w:p>
          <w:p>
            <w:pPr>
              <w:snapToGrid w:val="0"/>
              <w:spacing w:line="360" w:lineRule="exact"/>
              <w:jc w:val="center"/>
              <w:rPr>
                <w:rFonts w:hAnsi="宋体" w:cs="仿宋_GB2312"/>
                <w:snapToGrid w:val="0"/>
                <w:kern w:val="0"/>
                <w:sz w:val="28"/>
                <w:szCs w:val="28"/>
              </w:rPr>
            </w:pPr>
            <w:r>
              <w:rPr>
                <w:rFonts w:hint="eastAsia"/>
                <w:sz w:val="28"/>
                <w:szCs w:val="28"/>
              </w:rPr>
              <w:t>区生态环境局</w:t>
            </w:r>
          </w:p>
        </w:tc>
      </w:tr>
      <w:tr>
        <w:tblPrEx>
          <w:tblCellMar>
            <w:top w:w="0" w:type="dxa"/>
            <w:left w:w="108" w:type="dxa"/>
            <w:bottom w:w="0" w:type="dxa"/>
            <w:right w:w="108" w:type="dxa"/>
          </w:tblCellMar>
        </w:tblPrEx>
        <w:trPr>
          <w:trHeight w:val="567" w:hRule="atLeast"/>
          <w:jc w:val="center"/>
        </w:trPr>
        <w:tc>
          <w:tcPr>
            <w:tcW w:w="14174"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rFonts w:hint="eastAsia" w:ascii="黑体" w:hAnsi="黑体" w:eastAsia="黑体"/>
                <w:bCs/>
                <w:snapToGrid w:val="0"/>
                <w:kern w:val="0"/>
                <w:sz w:val="28"/>
                <w:szCs w:val="28"/>
              </w:rPr>
              <w:t>四、强化保障基础</w:t>
            </w:r>
          </w:p>
        </w:tc>
      </w:tr>
      <w:tr>
        <w:tblPrEx>
          <w:tblCellMar>
            <w:top w:w="0" w:type="dxa"/>
            <w:left w:w="108" w:type="dxa"/>
            <w:bottom w:w="0" w:type="dxa"/>
            <w:right w:w="108" w:type="dxa"/>
          </w:tblCellMar>
        </w:tblPrEx>
        <w:trPr>
          <w:trHeight w:val="1793" w:hRule="atLeast"/>
          <w:jc w:val="center"/>
        </w:trPr>
        <w:tc>
          <w:tcPr>
            <w:tcW w:w="88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9</w:t>
            </w:r>
          </w:p>
        </w:tc>
        <w:tc>
          <w:tcPr>
            <w:tcW w:w="148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rFonts w:hint="eastAsia"/>
                <w:kern w:val="0"/>
                <w:sz w:val="28"/>
                <w:szCs w:val="28"/>
              </w:rPr>
              <w:t>推进土壤环境监测</w:t>
            </w:r>
          </w:p>
        </w:tc>
        <w:tc>
          <w:tcPr>
            <w:tcW w:w="52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left"/>
              <w:rPr>
                <w:snapToGrid w:val="0"/>
                <w:kern w:val="0"/>
                <w:sz w:val="28"/>
                <w:szCs w:val="28"/>
              </w:rPr>
            </w:pPr>
            <w:r>
              <w:rPr>
                <w:rFonts w:hint="eastAsia"/>
                <w:kern w:val="0"/>
                <w:sz w:val="28"/>
                <w:szCs w:val="28"/>
              </w:rPr>
              <w:t>配合市级部门完成土壤环境“综合网络”监测，涉及地球化学元素调查监测、园林绿化用地监测等内容，继续优化监测点位布设，共享监测成果。</w:t>
            </w:r>
          </w:p>
        </w:tc>
        <w:tc>
          <w:tcPr>
            <w:tcW w:w="1553" w:type="dxa"/>
            <w:tcBorders>
              <w:top w:val="nil"/>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snapToGrid w:val="0"/>
                <w:kern w:val="0"/>
                <w:sz w:val="28"/>
                <w:szCs w:val="28"/>
              </w:rPr>
            </w:pPr>
            <w:r>
              <w:rPr>
                <w:rFonts w:hint="eastAsia" w:hAnsi="宋体" w:cs="仿宋_GB2312"/>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widowControl/>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区生态环境局</w:t>
            </w:r>
          </w:p>
          <w:p>
            <w:pPr>
              <w:widowControl/>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东城规自分局</w:t>
            </w:r>
          </w:p>
          <w:p>
            <w:pPr>
              <w:widowControl/>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区园林绿化局</w:t>
            </w:r>
          </w:p>
        </w:tc>
        <w:tc>
          <w:tcPr>
            <w:tcW w:w="2478" w:type="dxa"/>
            <w:tcBorders>
              <w:top w:val="nil"/>
              <w:left w:val="nil"/>
              <w:bottom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rFonts w:hint="eastAsia"/>
                <w:snapToGrid w:val="0"/>
                <w:kern w:val="0"/>
                <w:sz w:val="28"/>
                <w:szCs w:val="28"/>
              </w:rPr>
              <w:t>各街道（地区）</w:t>
            </w:r>
          </w:p>
        </w:tc>
      </w:tr>
      <w:tr>
        <w:tblPrEx>
          <w:tblCellMar>
            <w:top w:w="0" w:type="dxa"/>
            <w:left w:w="108" w:type="dxa"/>
            <w:bottom w:w="0" w:type="dxa"/>
            <w:right w:w="108" w:type="dxa"/>
          </w:tblCellMar>
        </w:tblPrEx>
        <w:trPr>
          <w:trHeight w:val="1080" w:hRule="atLeast"/>
          <w:jc w:val="center"/>
        </w:trPr>
        <w:tc>
          <w:tcPr>
            <w:tcW w:w="88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10</w:t>
            </w:r>
          </w:p>
        </w:tc>
        <w:tc>
          <w:tcPr>
            <w:tcW w:w="14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kern w:val="0"/>
                <w:sz w:val="28"/>
                <w:szCs w:val="28"/>
              </w:rPr>
            </w:pPr>
            <w:r>
              <w:rPr>
                <w:rFonts w:hint="eastAsia"/>
                <w:snapToGrid w:val="0"/>
                <w:kern w:val="0"/>
                <w:sz w:val="28"/>
                <w:szCs w:val="28"/>
              </w:rPr>
              <w:t>提升危险废物收运处置</w:t>
            </w:r>
          </w:p>
        </w:tc>
        <w:tc>
          <w:tcPr>
            <w:tcW w:w="52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left"/>
              <w:rPr>
                <w:snapToGrid w:val="0"/>
                <w:kern w:val="0"/>
                <w:sz w:val="28"/>
                <w:szCs w:val="28"/>
              </w:rPr>
            </w:pPr>
            <w:r>
              <w:rPr>
                <w:rFonts w:hint="eastAsia"/>
                <w:sz w:val="28"/>
                <w:szCs w:val="28"/>
              </w:rPr>
              <w:t>初步建成辖区小微医疗卫生机构医疗废物收集转运体系。</w:t>
            </w:r>
          </w:p>
        </w:tc>
        <w:tc>
          <w:tcPr>
            <w:tcW w:w="1553" w:type="dxa"/>
            <w:tcBorders>
              <w:top w:val="nil"/>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snapToGrid w:val="0"/>
                <w:kern w:val="0"/>
                <w:sz w:val="28"/>
                <w:szCs w:val="28"/>
              </w:rPr>
            </w:pPr>
            <w:r>
              <w:rPr>
                <w:rFonts w:hint="eastAsia" w:hAnsi="宋体" w:cs="仿宋_GB2312"/>
                <w:snapToGrid w:val="0"/>
                <w:kern w:val="0"/>
                <w:sz w:val="28"/>
                <w:szCs w:val="28"/>
              </w:rPr>
              <w:t>年底前</w:t>
            </w:r>
          </w:p>
        </w:tc>
        <w:tc>
          <w:tcPr>
            <w:tcW w:w="2546" w:type="dxa"/>
            <w:tcBorders>
              <w:top w:val="nil"/>
              <w:left w:val="nil"/>
              <w:bottom w:val="single" w:color="auto" w:sz="4" w:space="0"/>
              <w:right w:val="single" w:color="auto" w:sz="4" w:space="0"/>
            </w:tcBorders>
            <w:vAlign w:val="center"/>
          </w:tcPr>
          <w:p>
            <w:pPr>
              <w:widowControl/>
              <w:adjustRightInd w:val="0"/>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区卫健委</w:t>
            </w:r>
          </w:p>
          <w:p>
            <w:pPr>
              <w:widowControl/>
              <w:adjustRightInd w:val="0"/>
              <w:snapToGrid w:val="0"/>
              <w:spacing w:line="360" w:lineRule="exact"/>
              <w:jc w:val="center"/>
              <w:rPr>
                <w:rFonts w:hAnsi="宋体" w:cs="仿宋_GB2312"/>
                <w:snapToGrid w:val="0"/>
                <w:kern w:val="0"/>
                <w:sz w:val="28"/>
                <w:szCs w:val="28"/>
              </w:rPr>
            </w:pPr>
            <w:r>
              <w:rPr>
                <w:rFonts w:hint="eastAsia" w:hAnsi="宋体" w:cs="仿宋_GB2312"/>
                <w:snapToGrid w:val="0"/>
                <w:kern w:val="0"/>
                <w:sz w:val="28"/>
                <w:szCs w:val="28"/>
              </w:rPr>
              <w:t>区城管委</w:t>
            </w:r>
          </w:p>
          <w:p>
            <w:pPr>
              <w:widowControl/>
              <w:spacing w:line="360" w:lineRule="exact"/>
              <w:jc w:val="center"/>
              <w:rPr>
                <w:snapToGrid w:val="0"/>
                <w:kern w:val="0"/>
                <w:sz w:val="28"/>
                <w:szCs w:val="28"/>
              </w:rPr>
            </w:pPr>
            <w:r>
              <w:rPr>
                <w:rFonts w:hint="eastAsia" w:hAnsi="宋体" w:cs="仿宋_GB2312"/>
                <w:snapToGrid w:val="0"/>
                <w:kern w:val="0"/>
                <w:sz w:val="28"/>
                <w:szCs w:val="28"/>
              </w:rPr>
              <w:t>区生态环境局</w:t>
            </w:r>
          </w:p>
        </w:tc>
        <w:tc>
          <w:tcPr>
            <w:tcW w:w="2478" w:type="dxa"/>
            <w:tcBorders>
              <w:top w:val="nil"/>
              <w:left w:val="nil"/>
              <w:bottom w:val="single" w:color="auto" w:sz="4" w:space="0"/>
              <w:right w:val="single" w:color="auto" w:sz="4" w:space="0"/>
            </w:tcBorders>
            <w:vAlign w:val="center"/>
          </w:tcPr>
          <w:p>
            <w:pPr>
              <w:widowControl/>
              <w:adjustRightInd w:val="0"/>
              <w:snapToGrid w:val="0"/>
              <w:spacing w:line="360" w:lineRule="exact"/>
              <w:ind w:left="-160" w:leftChars="-50" w:right="-160" w:rightChars="-50"/>
              <w:jc w:val="center"/>
              <w:rPr>
                <w:rFonts w:hAnsi="宋体" w:cs="仿宋_GB2312"/>
                <w:snapToGrid w:val="0"/>
                <w:kern w:val="0"/>
                <w:sz w:val="28"/>
                <w:szCs w:val="28"/>
              </w:rPr>
            </w:pPr>
            <w:r>
              <w:rPr>
                <w:rFonts w:hint="eastAsia" w:hAnsi="宋体" w:cs="仿宋_GB2312"/>
                <w:snapToGrid w:val="0"/>
                <w:kern w:val="0"/>
                <w:sz w:val="28"/>
                <w:szCs w:val="28"/>
              </w:rPr>
              <w:t>区发改委</w:t>
            </w:r>
          </w:p>
        </w:tc>
      </w:tr>
      <w:tr>
        <w:tblPrEx>
          <w:tblCellMar>
            <w:top w:w="0" w:type="dxa"/>
            <w:left w:w="108" w:type="dxa"/>
            <w:bottom w:w="0" w:type="dxa"/>
            <w:right w:w="108" w:type="dxa"/>
          </w:tblCellMar>
        </w:tblPrEx>
        <w:trPr>
          <w:trHeight w:val="2183" w:hRule="atLeast"/>
          <w:jc w:val="center"/>
        </w:trPr>
        <w:tc>
          <w:tcPr>
            <w:tcW w:w="88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kern w:val="0"/>
                <w:sz w:val="28"/>
                <w:szCs w:val="28"/>
              </w:rPr>
            </w:pPr>
            <w:r>
              <w:rPr>
                <w:rFonts w:hint="eastAsia"/>
                <w:snapToGrid w:val="0"/>
                <w:kern w:val="0"/>
                <w:sz w:val="28"/>
                <w:szCs w:val="28"/>
              </w:rPr>
              <w:t>11</w:t>
            </w:r>
          </w:p>
        </w:tc>
        <w:tc>
          <w:tcPr>
            <w:tcW w:w="148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kern w:val="0"/>
                <w:sz w:val="28"/>
                <w:szCs w:val="28"/>
              </w:rPr>
            </w:pPr>
            <w:r>
              <w:rPr>
                <w:rFonts w:hint="eastAsia"/>
                <w:kern w:val="0"/>
                <w:sz w:val="28"/>
                <w:szCs w:val="28"/>
              </w:rPr>
              <w:t>强化执法监管和应急保障</w:t>
            </w:r>
          </w:p>
        </w:tc>
        <w:tc>
          <w:tcPr>
            <w:tcW w:w="5227" w:type="dxa"/>
            <w:tcBorders>
              <w:top w:val="single" w:color="auto" w:sz="4" w:space="0"/>
              <w:left w:val="nil"/>
              <w:bottom w:val="single" w:color="auto" w:sz="4" w:space="0"/>
              <w:right w:val="single" w:color="auto" w:sz="4" w:space="0"/>
            </w:tcBorders>
            <w:vAlign w:val="center"/>
          </w:tcPr>
          <w:p>
            <w:pPr>
              <w:widowControl/>
              <w:snapToGrid w:val="0"/>
              <w:spacing w:line="360" w:lineRule="exact"/>
              <w:jc w:val="left"/>
              <w:rPr>
                <w:sz w:val="28"/>
                <w:szCs w:val="28"/>
              </w:rPr>
            </w:pPr>
            <w:r>
              <w:rPr>
                <w:rFonts w:hint="eastAsia"/>
                <w:kern w:val="0"/>
                <w:sz w:val="28"/>
                <w:szCs w:val="28"/>
              </w:rPr>
              <w:t>通过日常监管、专项检查、联合执法等方式，切实加强监督执法，严厉打击土壤环境违法行为。提升突发环境事件土壤应急处置能力，防控突发环境事件造成土壤污染。</w:t>
            </w:r>
          </w:p>
        </w:tc>
        <w:tc>
          <w:tcPr>
            <w:tcW w:w="1553" w:type="dxa"/>
            <w:tcBorders>
              <w:top w:val="single" w:color="auto" w:sz="4" w:space="0"/>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rFonts w:hAnsi="宋体" w:cs="仿宋_GB2312"/>
                <w:snapToGrid w:val="0"/>
                <w:kern w:val="0"/>
                <w:sz w:val="28"/>
                <w:szCs w:val="28"/>
              </w:rPr>
            </w:pPr>
            <w:r>
              <w:rPr>
                <w:rFonts w:hint="eastAsia" w:hAnsi="宋体" w:cs="仿宋_GB2312"/>
                <w:snapToGrid w:val="0"/>
                <w:kern w:val="0"/>
                <w:sz w:val="28"/>
                <w:szCs w:val="28"/>
              </w:rPr>
              <w:t>长期实施</w:t>
            </w:r>
          </w:p>
        </w:tc>
        <w:tc>
          <w:tcPr>
            <w:tcW w:w="2546" w:type="dxa"/>
            <w:tcBorders>
              <w:top w:val="single" w:color="auto" w:sz="4" w:space="0"/>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区生态环境局</w:t>
            </w:r>
          </w:p>
          <w:p>
            <w:pPr>
              <w:widowControl/>
              <w:spacing w:line="360" w:lineRule="exact"/>
              <w:jc w:val="center"/>
              <w:rPr>
                <w:snapToGrid w:val="0"/>
                <w:kern w:val="0"/>
                <w:sz w:val="28"/>
                <w:szCs w:val="28"/>
              </w:rPr>
            </w:pPr>
            <w:r>
              <w:rPr>
                <w:rFonts w:hint="eastAsia"/>
                <w:snapToGrid w:val="0"/>
                <w:kern w:val="0"/>
                <w:sz w:val="28"/>
                <w:szCs w:val="28"/>
              </w:rPr>
              <w:t>区公安分局</w:t>
            </w:r>
          </w:p>
          <w:p>
            <w:pPr>
              <w:widowControl/>
              <w:spacing w:line="360" w:lineRule="exact"/>
              <w:jc w:val="center"/>
              <w:rPr>
                <w:snapToGrid w:val="0"/>
                <w:kern w:val="0"/>
                <w:sz w:val="28"/>
                <w:szCs w:val="28"/>
              </w:rPr>
            </w:pPr>
            <w:r>
              <w:rPr>
                <w:rFonts w:hint="eastAsia"/>
                <w:snapToGrid w:val="0"/>
                <w:kern w:val="0"/>
                <w:sz w:val="28"/>
                <w:szCs w:val="28"/>
              </w:rPr>
              <w:t>区应急局</w:t>
            </w:r>
          </w:p>
        </w:tc>
        <w:tc>
          <w:tcPr>
            <w:tcW w:w="2478" w:type="dxa"/>
            <w:tcBorders>
              <w:top w:val="single" w:color="auto" w:sz="4" w:space="0"/>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各街道（地区）</w:t>
            </w:r>
          </w:p>
        </w:tc>
      </w:tr>
      <w:tr>
        <w:tblPrEx>
          <w:tblCellMar>
            <w:top w:w="0" w:type="dxa"/>
            <w:left w:w="108" w:type="dxa"/>
            <w:bottom w:w="0" w:type="dxa"/>
            <w:right w:w="108" w:type="dxa"/>
          </w:tblCellMar>
        </w:tblPrEx>
        <w:trPr>
          <w:trHeight w:val="1883" w:hRule="atLeast"/>
          <w:jc w:val="center"/>
        </w:trPr>
        <w:tc>
          <w:tcPr>
            <w:tcW w:w="88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kern w:val="0"/>
                <w:sz w:val="28"/>
                <w:szCs w:val="28"/>
              </w:rPr>
            </w:pPr>
          </w:p>
        </w:tc>
        <w:tc>
          <w:tcPr>
            <w:tcW w:w="14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kern w:val="0"/>
                <w:sz w:val="28"/>
                <w:szCs w:val="28"/>
              </w:rPr>
            </w:pPr>
          </w:p>
        </w:tc>
        <w:tc>
          <w:tcPr>
            <w:tcW w:w="5227" w:type="dxa"/>
            <w:tcBorders>
              <w:top w:val="single" w:color="auto" w:sz="4" w:space="0"/>
              <w:left w:val="nil"/>
              <w:bottom w:val="single" w:color="auto" w:sz="4" w:space="0"/>
              <w:right w:val="single" w:color="auto" w:sz="4" w:space="0"/>
            </w:tcBorders>
            <w:vAlign w:val="center"/>
          </w:tcPr>
          <w:p>
            <w:pPr>
              <w:widowControl/>
              <w:snapToGrid w:val="0"/>
              <w:spacing w:line="360" w:lineRule="exact"/>
              <w:jc w:val="left"/>
              <w:rPr>
                <w:sz w:val="28"/>
                <w:szCs w:val="28"/>
              </w:rPr>
            </w:pPr>
            <w:r>
              <w:rPr>
                <w:rFonts w:hint="eastAsia"/>
                <w:kern w:val="0"/>
                <w:sz w:val="28"/>
                <w:szCs w:val="28"/>
              </w:rPr>
              <w:t>配合市级部门使用卫星遥感等科技手段，动态监测建设用地受污染地块的违法违规开工建设情况。</w:t>
            </w:r>
          </w:p>
        </w:tc>
        <w:tc>
          <w:tcPr>
            <w:tcW w:w="1553" w:type="dxa"/>
            <w:tcBorders>
              <w:top w:val="single" w:color="auto" w:sz="4" w:space="0"/>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rFonts w:hAnsi="宋体" w:cs="仿宋_GB2312"/>
                <w:snapToGrid w:val="0"/>
                <w:kern w:val="0"/>
                <w:sz w:val="28"/>
                <w:szCs w:val="28"/>
              </w:rPr>
            </w:pPr>
            <w:r>
              <w:rPr>
                <w:rFonts w:hint="eastAsia" w:hAnsi="宋体" w:cs="仿宋_GB2312"/>
                <w:snapToGrid w:val="0"/>
                <w:kern w:val="0"/>
                <w:sz w:val="28"/>
                <w:szCs w:val="28"/>
              </w:rPr>
              <w:t>年底前</w:t>
            </w:r>
          </w:p>
        </w:tc>
        <w:tc>
          <w:tcPr>
            <w:tcW w:w="2546" w:type="dxa"/>
            <w:tcBorders>
              <w:top w:val="single" w:color="auto" w:sz="4" w:space="0"/>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区生态环境局</w:t>
            </w:r>
          </w:p>
        </w:tc>
        <w:tc>
          <w:tcPr>
            <w:tcW w:w="2478" w:type="dxa"/>
            <w:tcBorders>
              <w:top w:val="single" w:color="auto" w:sz="4" w:space="0"/>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东城规自分局</w:t>
            </w:r>
          </w:p>
          <w:p>
            <w:pPr>
              <w:widowControl/>
              <w:spacing w:line="360" w:lineRule="exact"/>
              <w:jc w:val="center"/>
              <w:rPr>
                <w:snapToGrid w:val="0"/>
                <w:kern w:val="0"/>
                <w:sz w:val="28"/>
                <w:szCs w:val="28"/>
              </w:rPr>
            </w:pPr>
            <w:r>
              <w:rPr>
                <w:rFonts w:hint="eastAsia"/>
                <w:snapToGrid w:val="0"/>
                <w:kern w:val="0"/>
                <w:sz w:val="28"/>
                <w:szCs w:val="28"/>
              </w:rPr>
              <w:t>区住建委</w:t>
            </w:r>
          </w:p>
          <w:p>
            <w:pPr>
              <w:widowControl/>
              <w:spacing w:line="360" w:lineRule="exact"/>
              <w:jc w:val="center"/>
              <w:rPr>
                <w:snapToGrid w:val="0"/>
                <w:kern w:val="0"/>
                <w:sz w:val="28"/>
                <w:szCs w:val="28"/>
              </w:rPr>
            </w:pPr>
            <w:r>
              <w:rPr>
                <w:rFonts w:hint="eastAsia"/>
                <w:snapToGrid w:val="0"/>
                <w:kern w:val="0"/>
                <w:sz w:val="28"/>
                <w:szCs w:val="28"/>
              </w:rPr>
              <w:t>区园林绿化局</w:t>
            </w:r>
          </w:p>
        </w:tc>
      </w:tr>
      <w:tr>
        <w:tblPrEx>
          <w:tblCellMar>
            <w:top w:w="0" w:type="dxa"/>
            <w:left w:w="108" w:type="dxa"/>
            <w:bottom w:w="0" w:type="dxa"/>
            <w:right w:w="108" w:type="dxa"/>
          </w:tblCellMar>
        </w:tblPrEx>
        <w:trPr>
          <w:trHeight w:val="1364" w:hRule="atLeast"/>
          <w:jc w:val="center"/>
        </w:trPr>
        <w:tc>
          <w:tcPr>
            <w:tcW w:w="88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kern w:val="0"/>
                <w:sz w:val="28"/>
                <w:szCs w:val="28"/>
              </w:rPr>
            </w:pPr>
            <w:r>
              <w:rPr>
                <w:rFonts w:hint="eastAsia"/>
                <w:snapToGrid w:val="0"/>
                <w:kern w:val="0"/>
                <w:sz w:val="28"/>
                <w:szCs w:val="28"/>
              </w:rPr>
              <w:t>12</w:t>
            </w:r>
          </w:p>
        </w:tc>
        <w:tc>
          <w:tcPr>
            <w:tcW w:w="148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kern w:val="0"/>
                <w:sz w:val="28"/>
                <w:szCs w:val="28"/>
              </w:rPr>
            </w:pPr>
            <w:r>
              <w:rPr>
                <w:rFonts w:hint="eastAsia"/>
                <w:kern w:val="0"/>
                <w:sz w:val="28"/>
                <w:szCs w:val="28"/>
              </w:rPr>
              <w:t>加强研究创新和从业评价</w:t>
            </w:r>
          </w:p>
        </w:tc>
        <w:tc>
          <w:tcPr>
            <w:tcW w:w="5227" w:type="dxa"/>
            <w:tcBorders>
              <w:top w:val="single" w:color="auto" w:sz="4" w:space="0"/>
              <w:left w:val="nil"/>
              <w:bottom w:val="single" w:color="auto" w:sz="4" w:space="0"/>
              <w:right w:val="single" w:color="auto" w:sz="4" w:space="0"/>
            </w:tcBorders>
            <w:vAlign w:val="center"/>
          </w:tcPr>
          <w:p>
            <w:pPr>
              <w:widowControl/>
              <w:snapToGrid w:val="0"/>
              <w:spacing w:line="360" w:lineRule="exact"/>
              <w:jc w:val="left"/>
              <w:rPr>
                <w:sz w:val="28"/>
                <w:szCs w:val="28"/>
              </w:rPr>
            </w:pPr>
            <w:r>
              <w:rPr>
                <w:rFonts w:hint="eastAsia"/>
                <w:kern w:val="0"/>
                <w:sz w:val="28"/>
                <w:szCs w:val="28"/>
              </w:rPr>
              <w:t>配合市级部门探索开展“环境修复</w:t>
            </w:r>
            <w:r>
              <w:rPr>
                <w:kern w:val="0"/>
                <w:sz w:val="28"/>
                <w:szCs w:val="28"/>
              </w:rPr>
              <w:t>+</w:t>
            </w:r>
            <w:r>
              <w:rPr>
                <w:rFonts w:hint="eastAsia"/>
                <w:kern w:val="0"/>
                <w:sz w:val="28"/>
                <w:szCs w:val="28"/>
              </w:rPr>
              <w:t>开发建设”试点项目，共同研究适合本区的运行、监督和保障机制。</w:t>
            </w:r>
          </w:p>
        </w:tc>
        <w:tc>
          <w:tcPr>
            <w:tcW w:w="1553" w:type="dxa"/>
            <w:tcBorders>
              <w:top w:val="single" w:color="auto" w:sz="4" w:space="0"/>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rFonts w:hAnsi="宋体" w:cs="仿宋_GB2312"/>
                <w:snapToGrid w:val="0"/>
                <w:kern w:val="0"/>
                <w:sz w:val="28"/>
                <w:szCs w:val="28"/>
              </w:rPr>
            </w:pPr>
            <w:r>
              <w:rPr>
                <w:rFonts w:hint="eastAsia" w:hAnsi="宋体" w:cs="仿宋_GB2312"/>
                <w:snapToGrid w:val="0"/>
                <w:kern w:val="0"/>
                <w:sz w:val="28"/>
                <w:szCs w:val="28"/>
              </w:rPr>
              <w:t>年底前</w:t>
            </w:r>
          </w:p>
        </w:tc>
        <w:tc>
          <w:tcPr>
            <w:tcW w:w="2546" w:type="dxa"/>
            <w:tcBorders>
              <w:top w:val="single" w:color="auto" w:sz="4" w:space="0"/>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区生态环境局</w:t>
            </w:r>
          </w:p>
          <w:p>
            <w:pPr>
              <w:widowControl/>
              <w:spacing w:line="360" w:lineRule="exact"/>
              <w:jc w:val="center"/>
              <w:rPr>
                <w:snapToGrid w:val="0"/>
                <w:kern w:val="0"/>
                <w:sz w:val="28"/>
                <w:szCs w:val="28"/>
              </w:rPr>
            </w:pPr>
            <w:r>
              <w:rPr>
                <w:snapToGrid w:val="0"/>
                <w:kern w:val="0"/>
                <w:sz w:val="28"/>
                <w:szCs w:val="28"/>
              </w:rPr>
              <w:t>东城规自分局</w:t>
            </w:r>
          </w:p>
          <w:p>
            <w:pPr>
              <w:widowControl/>
              <w:spacing w:line="360" w:lineRule="exact"/>
              <w:jc w:val="center"/>
              <w:rPr>
                <w:snapToGrid w:val="0"/>
                <w:kern w:val="0"/>
                <w:sz w:val="28"/>
                <w:szCs w:val="28"/>
              </w:rPr>
            </w:pPr>
            <w:r>
              <w:rPr>
                <w:rFonts w:hint="eastAsia"/>
                <w:snapToGrid w:val="0"/>
                <w:kern w:val="0"/>
                <w:sz w:val="28"/>
                <w:szCs w:val="28"/>
              </w:rPr>
              <w:t>区住建委</w:t>
            </w:r>
          </w:p>
        </w:tc>
        <w:tc>
          <w:tcPr>
            <w:tcW w:w="2478" w:type="dxa"/>
            <w:tcBorders>
              <w:top w:val="single" w:color="auto" w:sz="4" w:space="0"/>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各相关街道（地区）</w:t>
            </w:r>
          </w:p>
        </w:tc>
      </w:tr>
      <w:tr>
        <w:tblPrEx>
          <w:tblCellMar>
            <w:top w:w="0" w:type="dxa"/>
            <w:left w:w="108" w:type="dxa"/>
            <w:bottom w:w="0" w:type="dxa"/>
            <w:right w:w="108" w:type="dxa"/>
          </w:tblCellMar>
        </w:tblPrEx>
        <w:trPr>
          <w:trHeight w:val="1083" w:hRule="atLeast"/>
          <w:jc w:val="center"/>
        </w:trPr>
        <w:tc>
          <w:tcPr>
            <w:tcW w:w="88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kern w:val="0"/>
                <w:sz w:val="28"/>
                <w:szCs w:val="28"/>
              </w:rPr>
            </w:pPr>
          </w:p>
        </w:tc>
        <w:tc>
          <w:tcPr>
            <w:tcW w:w="148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kern w:val="0"/>
                <w:sz w:val="28"/>
                <w:szCs w:val="28"/>
              </w:rPr>
            </w:pPr>
          </w:p>
        </w:tc>
        <w:tc>
          <w:tcPr>
            <w:tcW w:w="5227" w:type="dxa"/>
            <w:tcBorders>
              <w:top w:val="single" w:color="auto" w:sz="4" w:space="0"/>
              <w:left w:val="nil"/>
              <w:bottom w:val="single" w:color="auto" w:sz="4" w:space="0"/>
              <w:right w:val="single" w:color="auto" w:sz="4" w:space="0"/>
            </w:tcBorders>
            <w:vAlign w:val="center"/>
          </w:tcPr>
          <w:p>
            <w:pPr>
              <w:widowControl/>
              <w:snapToGrid w:val="0"/>
              <w:spacing w:line="360" w:lineRule="exact"/>
              <w:jc w:val="left"/>
              <w:rPr>
                <w:sz w:val="28"/>
                <w:szCs w:val="28"/>
              </w:rPr>
            </w:pPr>
            <w:r>
              <w:rPr>
                <w:rFonts w:hint="eastAsia"/>
                <w:kern w:val="0"/>
                <w:sz w:val="28"/>
                <w:szCs w:val="28"/>
              </w:rPr>
              <w:t>按要求公布建设用地土壤污染状况调查、风险评估、效果评估等报告评审通过情况。</w:t>
            </w:r>
          </w:p>
        </w:tc>
        <w:tc>
          <w:tcPr>
            <w:tcW w:w="1553" w:type="dxa"/>
            <w:tcBorders>
              <w:top w:val="single" w:color="auto" w:sz="4" w:space="0"/>
              <w:left w:val="nil"/>
              <w:bottom w:val="single" w:color="auto" w:sz="4" w:space="0"/>
              <w:right w:val="single" w:color="auto" w:sz="4" w:space="0"/>
            </w:tcBorders>
            <w:vAlign w:val="center"/>
          </w:tcPr>
          <w:p>
            <w:pPr>
              <w:widowControl/>
              <w:snapToGrid w:val="0"/>
              <w:spacing w:line="360" w:lineRule="exact"/>
              <w:ind w:left="-160" w:leftChars="-50" w:right="-160" w:rightChars="-50"/>
              <w:jc w:val="center"/>
              <w:rPr>
                <w:rFonts w:hAnsi="宋体" w:cs="仿宋_GB2312"/>
                <w:snapToGrid w:val="0"/>
                <w:kern w:val="0"/>
                <w:sz w:val="28"/>
                <w:szCs w:val="28"/>
              </w:rPr>
            </w:pPr>
            <w:r>
              <w:rPr>
                <w:rFonts w:hint="eastAsia" w:hAnsi="宋体" w:cs="仿宋_GB2312"/>
                <w:snapToGrid w:val="0"/>
                <w:kern w:val="0"/>
                <w:sz w:val="28"/>
                <w:szCs w:val="28"/>
              </w:rPr>
              <w:t>年底前</w:t>
            </w:r>
          </w:p>
        </w:tc>
        <w:tc>
          <w:tcPr>
            <w:tcW w:w="2546" w:type="dxa"/>
            <w:tcBorders>
              <w:top w:val="single" w:color="auto" w:sz="4" w:space="0"/>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区生态环境局</w:t>
            </w:r>
          </w:p>
          <w:p>
            <w:pPr>
              <w:widowControl/>
              <w:spacing w:line="360" w:lineRule="exact"/>
              <w:jc w:val="center"/>
              <w:rPr>
                <w:snapToGrid w:val="0"/>
                <w:kern w:val="0"/>
                <w:sz w:val="28"/>
                <w:szCs w:val="28"/>
              </w:rPr>
            </w:pPr>
            <w:r>
              <w:rPr>
                <w:snapToGrid w:val="0"/>
                <w:kern w:val="0"/>
                <w:sz w:val="28"/>
                <w:szCs w:val="28"/>
              </w:rPr>
              <w:t>东城规自分局</w:t>
            </w:r>
          </w:p>
        </w:tc>
        <w:tc>
          <w:tcPr>
            <w:tcW w:w="2478" w:type="dxa"/>
            <w:tcBorders>
              <w:top w:val="single" w:color="auto" w:sz="4" w:space="0"/>
              <w:left w:val="nil"/>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区住建委</w:t>
            </w:r>
          </w:p>
        </w:tc>
      </w:tr>
      <w:tr>
        <w:tblPrEx>
          <w:tblCellMar>
            <w:top w:w="0" w:type="dxa"/>
            <w:left w:w="108" w:type="dxa"/>
            <w:bottom w:w="0" w:type="dxa"/>
            <w:right w:w="108" w:type="dxa"/>
          </w:tblCellMar>
        </w:tblPrEx>
        <w:trPr>
          <w:trHeight w:val="1800" w:hRule="atLeast"/>
          <w:jc w:val="center"/>
        </w:trPr>
        <w:tc>
          <w:tcPr>
            <w:tcW w:w="88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13</w:t>
            </w:r>
          </w:p>
        </w:tc>
        <w:tc>
          <w:tcPr>
            <w:tcW w:w="148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bCs/>
                <w:sz w:val="28"/>
                <w:szCs w:val="28"/>
              </w:rPr>
              <w:t>提升人员管理能力水平</w:t>
            </w:r>
          </w:p>
        </w:tc>
        <w:tc>
          <w:tcPr>
            <w:tcW w:w="5227" w:type="dxa"/>
            <w:tcBorders>
              <w:top w:val="single" w:color="auto" w:sz="4" w:space="0"/>
              <w:left w:val="nil"/>
              <w:bottom w:val="single" w:color="auto" w:sz="4" w:space="0"/>
              <w:right w:val="single" w:color="auto" w:sz="4" w:space="0"/>
            </w:tcBorders>
            <w:vAlign w:val="center"/>
          </w:tcPr>
          <w:p>
            <w:pPr>
              <w:widowControl/>
              <w:snapToGrid w:val="0"/>
              <w:spacing w:line="360" w:lineRule="exact"/>
              <w:jc w:val="left"/>
              <w:rPr>
                <w:snapToGrid w:val="0"/>
                <w:kern w:val="0"/>
                <w:sz w:val="28"/>
                <w:szCs w:val="28"/>
              </w:rPr>
            </w:pPr>
            <w:r>
              <w:rPr>
                <w:rFonts w:hint="eastAsia"/>
                <w:kern w:val="0"/>
                <w:sz w:val="28"/>
                <w:szCs w:val="28"/>
              </w:rPr>
              <w:t>加强培训指导，逐步提升党政领导干部、基层管理人员、企业职工的业务能力和专业技术水平，强化辖区内群众的土壤生态环境保护意识。</w:t>
            </w:r>
          </w:p>
        </w:tc>
        <w:tc>
          <w:tcPr>
            <w:tcW w:w="1553" w:type="dxa"/>
            <w:tcBorders>
              <w:top w:val="single" w:color="auto" w:sz="4" w:space="0"/>
              <w:left w:val="nil"/>
              <w:bottom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rFonts w:hint="eastAsia" w:hAnsi="宋体" w:cs="仿宋_GB2312"/>
                <w:snapToGrid w:val="0"/>
                <w:kern w:val="0"/>
                <w:sz w:val="28"/>
                <w:szCs w:val="28"/>
              </w:rPr>
              <w:t>年底前</w:t>
            </w:r>
          </w:p>
        </w:tc>
        <w:tc>
          <w:tcPr>
            <w:tcW w:w="2546" w:type="dxa"/>
            <w:tcBorders>
              <w:top w:val="single" w:color="auto" w:sz="4" w:space="0"/>
              <w:left w:val="nil"/>
              <w:bottom w:val="single" w:color="auto" w:sz="4" w:space="0"/>
              <w:right w:val="single" w:color="auto" w:sz="4" w:space="0"/>
            </w:tcBorders>
            <w:vAlign w:val="center"/>
          </w:tcPr>
          <w:p>
            <w:pPr>
              <w:widowControl/>
              <w:snapToGrid w:val="0"/>
              <w:spacing w:line="360" w:lineRule="exact"/>
              <w:jc w:val="center"/>
              <w:rPr>
                <w:snapToGrid w:val="0"/>
                <w:kern w:val="0"/>
                <w:sz w:val="28"/>
                <w:szCs w:val="28"/>
              </w:rPr>
            </w:pPr>
            <w:r>
              <w:rPr>
                <w:snapToGrid w:val="0"/>
                <w:kern w:val="0"/>
                <w:sz w:val="28"/>
                <w:szCs w:val="28"/>
              </w:rPr>
              <w:t>区</w:t>
            </w:r>
            <w:r>
              <w:rPr>
                <w:rFonts w:hint="eastAsia"/>
                <w:snapToGrid w:val="0"/>
                <w:kern w:val="0"/>
                <w:sz w:val="28"/>
                <w:szCs w:val="28"/>
              </w:rPr>
              <w:t>生态环境</w:t>
            </w:r>
            <w:r>
              <w:rPr>
                <w:snapToGrid w:val="0"/>
                <w:kern w:val="0"/>
                <w:sz w:val="28"/>
                <w:szCs w:val="28"/>
              </w:rPr>
              <w:t>局</w:t>
            </w:r>
          </w:p>
        </w:tc>
        <w:tc>
          <w:tcPr>
            <w:tcW w:w="247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Ansi="宋体" w:cs="仿宋_GB2312"/>
                <w:snapToGrid w:val="0"/>
                <w:kern w:val="0"/>
                <w:sz w:val="28"/>
                <w:szCs w:val="28"/>
              </w:rPr>
            </w:pPr>
            <w:r>
              <w:rPr>
                <w:rFonts w:hint="eastAsia" w:hAnsi="宋体" w:cs="仿宋_GB2312"/>
                <w:snapToGrid w:val="0"/>
                <w:kern w:val="0"/>
                <w:sz w:val="28"/>
                <w:szCs w:val="28"/>
              </w:rPr>
              <w:t>区园林绿化局</w:t>
            </w:r>
          </w:p>
          <w:p>
            <w:pPr>
              <w:widowControl/>
              <w:spacing w:line="360" w:lineRule="exact"/>
              <w:jc w:val="center"/>
              <w:rPr>
                <w:rFonts w:hAnsi="宋体" w:cs="仿宋_GB2312"/>
                <w:snapToGrid w:val="0"/>
                <w:kern w:val="0"/>
                <w:sz w:val="28"/>
                <w:szCs w:val="28"/>
              </w:rPr>
            </w:pPr>
            <w:r>
              <w:rPr>
                <w:rFonts w:hint="eastAsia" w:hAnsi="宋体" w:cs="仿宋_GB2312"/>
                <w:snapToGrid w:val="0"/>
                <w:kern w:val="0"/>
                <w:sz w:val="28"/>
                <w:szCs w:val="28"/>
              </w:rPr>
              <w:t>东城规自分局</w:t>
            </w:r>
          </w:p>
          <w:p>
            <w:pPr>
              <w:widowControl/>
              <w:snapToGrid w:val="0"/>
              <w:spacing w:line="360" w:lineRule="exact"/>
              <w:ind w:left="-160" w:leftChars="-50" w:right="-160" w:rightChars="-50"/>
              <w:jc w:val="center"/>
              <w:rPr>
                <w:snapToGrid w:val="0"/>
                <w:kern w:val="0"/>
                <w:sz w:val="28"/>
                <w:szCs w:val="28"/>
              </w:rPr>
            </w:pPr>
            <w:r>
              <w:rPr>
                <w:rFonts w:hint="eastAsia"/>
                <w:snapToGrid w:val="0"/>
                <w:kern w:val="0"/>
                <w:sz w:val="28"/>
                <w:szCs w:val="28"/>
              </w:rPr>
              <w:t>各街道（地区）</w:t>
            </w:r>
          </w:p>
        </w:tc>
      </w:tr>
      <w:tr>
        <w:tblPrEx>
          <w:tblCellMar>
            <w:top w:w="0" w:type="dxa"/>
            <w:left w:w="108" w:type="dxa"/>
            <w:bottom w:w="0" w:type="dxa"/>
            <w:right w:w="108" w:type="dxa"/>
          </w:tblCellMar>
        </w:tblPrEx>
        <w:trPr>
          <w:trHeight w:val="3336" w:hRule="atLeast"/>
          <w:jc w:val="center"/>
        </w:trPr>
        <w:tc>
          <w:tcPr>
            <w:tcW w:w="88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14</w:t>
            </w:r>
          </w:p>
        </w:tc>
        <w:tc>
          <w:tcPr>
            <w:tcW w:w="148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严格</w:t>
            </w:r>
          </w:p>
          <w:p>
            <w:pPr>
              <w:widowControl/>
              <w:spacing w:line="360" w:lineRule="exact"/>
              <w:jc w:val="center"/>
              <w:rPr>
                <w:snapToGrid w:val="0"/>
                <w:kern w:val="0"/>
                <w:sz w:val="28"/>
                <w:szCs w:val="28"/>
              </w:rPr>
            </w:pPr>
            <w:r>
              <w:rPr>
                <w:snapToGrid w:val="0"/>
                <w:kern w:val="0"/>
                <w:sz w:val="28"/>
                <w:szCs w:val="28"/>
              </w:rPr>
              <w:t>考核问责</w:t>
            </w:r>
          </w:p>
        </w:tc>
        <w:tc>
          <w:tcPr>
            <w:tcW w:w="52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snapToGrid w:val="0"/>
                <w:kern w:val="0"/>
                <w:sz w:val="28"/>
                <w:szCs w:val="28"/>
              </w:rPr>
            </w:pPr>
            <w:r>
              <w:rPr>
                <w:snapToGrid w:val="0"/>
                <w:kern w:val="0"/>
                <w:sz w:val="28"/>
                <w:szCs w:val="28"/>
              </w:rPr>
              <w:t>将</w:t>
            </w:r>
            <w:r>
              <w:rPr>
                <w:rFonts w:hint="eastAsia"/>
                <w:snapToGrid w:val="0"/>
                <w:kern w:val="0"/>
                <w:sz w:val="28"/>
                <w:szCs w:val="28"/>
              </w:rPr>
              <w:t>东城区2021年土壤污染防治措施各项重点</w:t>
            </w:r>
            <w:r>
              <w:rPr>
                <w:snapToGrid w:val="0"/>
                <w:kern w:val="0"/>
                <w:sz w:val="28"/>
                <w:szCs w:val="28"/>
              </w:rPr>
              <w:t>工作纳入政府绩效考核内容，考核结果作为对领导班子和领导干部综合考核评价的重要依据。</w:t>
            </w:r>
          </w:p>
          <w:p>
            <w:pPr>
              <w:widowControl/>
              <w:spacing w:line="360" w:lineRule="exact"/>
              <w:rPr>
                <w:snapToGrid w:val="0"/>
                <w:kern w:val="0"/>
                <w:sz w:val="28"/>
                <w:szCs w:val="28"/>
              </w:rPr>
            </w:pPr>
            <w:r>
              <w:rPr>
                <w:snapToGrid w:val="0"/>
                <w:kern w:val="0"/>
                <w:sz w:val="28"/>
                <w:szCs w:val="28"/>
              </w:rPr>
              <w:t>对重点任务完成情况和存在突出问题的街道及部门开展专项督查。及时向纪检监察机关移送相关问题线索，对不担当、不作为、失职失责等问题严肃问责。</w:t>
            </w:r>
          </w:p>
        </w:tc>
        <w:tc>
          <w:tcPr>
            <w:tcW w:w="15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年底前</w:t>
            </w:r>
          </w:p>
        </w:tc>
        <w:tc>
          <w:tcPr>
            <w:tcW w:w="254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snapToGrid w:val="0"/>
                <w:kern w:val="0"/>
                <w:sz w:val="28"/>
                <w:szCs w:val="28"/>
              </w:rPr>
              <w:t>区</w:t>
            </w:r>
            <w:r>
              <w:rPr>
                <w:rFonts w:hint="eastAsia"/>
                <w:snapToGrid w:val="0"/>
                <w:kern w:val="0"/>
                <w:sz w:val="28"/>
                <w:szCs w:val="28"/>
              </w:rPr>
              <w:t>生态环境</w:t>
            </w:r>
            <w:r>
              <w:rPr>
                <w:snapToGrid w:val="0"/>
                <w:kern w:val="0"/>
                <w:sz w:val="28"/>
                <w:szCs w:val="28"/>
              </w:rPr>
              <w:t>局</w:t>
            </w:r>
          </w:p>
          <w:p>
            <w:pPr>
              <w:widowControl/>
              <w:spacing w:line="360" w:lineRule="exact"/>
              <w:jc w:val="center"/>
              <w:rPr>
                <w:snapToGrid w:val="0"/>
                <w:kern w:val="0"/>
                <w:sz w:val="28"/>
                <w:szCs w:val="28"/>
              </w:rPr>
            </w:pPr>
            <w:r>
              <w:rPr>
                <w:snapToGrid w:val="0"/>
                <w:kern w:val="0"/>
                <w:sz w:val="28"/>
                <w:szCs w:val="28"/>
              </w:rPr>
              <w:t>区政府办</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napToGrid w:val="0"/>
                <w:kern w:val="0"/>
                <w:sz w:val="28"/>
                <w:szCs w:val="28"/>
              </w:rPr>
            </w:pPr>
            <w:r>
              <w:rPr>
                <w:rFonts w:hint="eastAsia"/>
                <w:snapToGrid w:val="0"/>
                <w:kern w:val="0"/>
                <w:sz w:val="28"/>
                <w:szCs w:val="28"/>
              </w:rPr>
              <w:t>东城规自分局</w:t>
            </w:r>
          </w:p>
          <w:p>
            <w:pPr>
              <w:widowControl/>
              <w:spacing w:line="360" w:lineRule="exact"/>
              <w:jc w:val="center"/>
              <w:rPr>
                <w:snapToGrid w:val="0"/>
                <w:kern w:val="0"/>
                <w:sz w:val="28"/>
                <w:szCs w:val="28"/>
              </w:rPr>
            </w:pPr>
            <w:r>
              <w:rPr>
                <w:snapToGrid w:val="0"/>
                <w:kern w:val="0"/>
                <w:sz w:val="28"/>
                <w:szCs w:val="28"/>
              </w:rPr>
              <w:t>区园林绿化局</w:t>
            </w:r>
          </w:p>
          <w:p>
            <w:pPr>
              <w:widowControl/>
              <w:spacing w:line="360" w:lineRule="exact"/>
              <w:jc w:val="center"/>
              <w:rPr>
                <w:snapToGrid w:val="0"/>
                <w:kern w:val="0"/>
                <w:sz w:val="28"/>
                <w:szCs w:val="28"/>
              </w:rPr>
            </w:pPr>
            <w:r>
              <w:rPr>
                <w:snapToGrid w:val="0"/>
                <w:kern w:val="0"/>
                <w:sz w:val="28"/>
                <w:szCs w:val="28"/>
              </w:rPr>
              <w:t>区住建委</w:t>
            </w:r>
          </w:p>
          <w:p>
            <w:pPr>
              <w:widowControl/>
              <w:spacing w:line="360" w:lineRule="exact"/>
              <w:jc w:val="center"/>
              <w:rPr>
                <w:snapToGrid w:val="0"/>
                <w:kern w:val="0"/>
                <w:sz w:val="28"/>
                <w:szCs w:val="28"/>
              </w:rPr>
            </w:pPr>
            <w:r>
              <w:rPr>
                <w:snapToGrid w:val="0"/>
                <w:kern w:val="0"/>
                <w:sz w:val="28"/>
                <w:szCs w:val="28"/>
              </w:rPr>
              <w:t>区城管委</w:t>
            </w:r>
          </w:p>
          <w:p>
            <w:pPr>
              <w:widowControl/>
              <w:spacing w:line="360" w:lineRule="exact"/>
              <w:jc w:val="center"/>
              <w:rPr>
                <w:snapToGrid w:val="0"/>
                <w:kern w:val="0"/>
                <w:sz w:val="28"/>
                <w:szCs w:val="28"/>
              </w:rPr>
            </w:pPr>
            <w:r>
              <w:rPr>
                <w:snapToGrid w:val="0"/>
                <w:kern w:val="0"/>
                <w:sz w:val="28"/>
                <w:szCs w:val="28"/>
              </w:rPr>
              <w:t>东城公安分局</w:t>
            </w:r>
          </w:p>
          <w:p>
            <w:pPr>
              <w:widowControl/>
              <w:spacing w:line="360" w:lineRule="exact"/>
              <w:jc w:val="center"/>
              <w:rPr>
                <w:snapToGrid w:val="0"/>
                <w:kern w:val="0"/>
                <w:sz w:val="28"/>
                <w:szCs w:val="28"/>
                <w:highlight w:val="yellow"/>
              </w:rPr>
            </w:pPr>
            <w:r>
              <w:rPr>
                <w:rFonts w:hint="eastAsia"/>
                <w:snapToGrid w:val="0"/>
                <w:kern w:val="0"/>
                <w:sz w:val="28"/>
                <w:szCs w:val="28"/>
              </w:rPr>
              <w:t>各街道（地区）</w:t>
            </w:r>
          </w:p>
        </w:tc>
      </w:tr>
    </w:tbl>
    <w:p>
      <w:pPr>
        <w:spacing w:line="20" w:lineRule="exact"/>
        <w:rPr>
          <w:rFonts w:ascii="黑体" w:hAnsi="黑体" w:eastAsia="黑体"/>
          <w:spacing w:val="-4"/>
          <w:szCs w:val="32"/>
        </w:rPr>
      </w:pPr>
    </w:p>
    <w:sectPr>
      <w:footerReference r:id="rId5" w:type="default"/>
      <w:pgSz w:w="16838" w:h="11906" w:orient="landscape"/>
      <w:pgMar w:top="1758" w:right="1134" w:bottom="1758" w:left="1134"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t>2</w: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E3F"/>
    <w:rsid w:val="00003FD6"/>
    <w:rsid w:val="00013085"/>
    <w:rsid w:val="000139AB"/>
    <w:rsid w:val="000223B4"/>
    <w:rsid w:val="000401CB"/>
    <w:rsid w:val="00053654"/>
    <w:rsid w:val="00054E4D"/>
    <w:rsid w:val="0005764C"/>
    <w:rsid w:val="00066E68"/>
    <w:rsid w:val="0007458D"/>
    <w:rsid w:val="000849E1"/>
    <w:rsid w:val="000A1A96"/>
    <w:rsid w:val="001236A1"/>
    <w:rsid w:val="00136619"/>
    <w:rsid w:val="00163249"/>
    <w:rsid w:val="001D46AD"/>
    <w:rsid w:val="002E48C0"/>
    <w:rsid w:val="002F5123"/>
    <w:rsid w:val="00301993"/>
    <w:rsid w:val="0031034E"/>
    <w:rsid w:val="00333DDC"/>
    <w:rsid w:val="003915B8"/>
    <w:rsid w:val="00393E12"/>
    <w:rsid w:val="003F1F06"/>
    <w:rsid w:val="003F633F"/>
    <w:rsid w:val="00446F81"/>
    <w:rsid w:val="0045462C"/>
    <w:rsid w:val="004824B1"/>
    <w:rsid w:val="004F2588"/>
    <w:rsid w:val="00522A32"/>
    <w:rsid w:val="00532842"/>
    <w:rsid w:val="00570522"/>
    <w:rsid w:val="005B3475"/>
    <w:rsid w:val="005D244D"/>
    <w:rsid w:val="005D668A"/>
    <w:rsid w:val="006204DC"/>
    <w:rsid w:val="00632B92"/>
    <w:rsid w:val="0063583C"/>
    <w:rsid w:val="00650018"/>
    <w:rsid w:val="0068054E"/>
    <w:rsid w:val="00686EF8"/>
    <w:rsid w:val="00693BBC"/>
    <w:rsid w:val="006B0351"/>
    <w:rsid w:val="007650FD"/>
    <w:rsid w:val="00771B87"/>
    <w:rsid w:val="00822873"/>
    <w:rsid w:val="00845FBA"/>
    <w:rsid w:val="00860493"/>
    <w:rsid w:val="008B073D"/>
    <w:rsid w:val="008E3629"/>
    <w:rsid w:val="00911268"/>
    <w:rsid w:val="00914BBF"/>
    <w:rsid w:val="0095556E"/>
    <w:rsid w:val="009C2400"/>
    <w:rsid w:val="009E0E3F"/>
    <w:rsid w:val="009E481E"/>
    <w:rsid w:val="009F451E"/>
    <w:rsid w:val="00A17D71"/>
    <w:rsid w:val="00A25780"/>
    <w:rsid w:val="00A406D8"/>
    <w:rsid w:val="00A82AD1"/>
    <w:rsid w:val="00A9405F"/>
    <w:rsid w:val="00A973E7"/>
    <w:rsid w:val="00AE10F6"/>
    <w:rsid w:val="00AE6BA2"/>
    <w:rsid w:val="00B14531"/>
    <w:rsid w:val="00B471AA"/>
    <w:rsid w:val="00C10679"/>
    <w:rsid w:val="00C469D5"/>
    <w:rsid w:val="00C72977"/>
    <w:rsid w:val="00C83F88"/>
    <w:rsid w:val="00C870B5"/>
    <w:rsid w:val="00CA5F5B"/>
    <w:rsid w:val="00CE085D"/>
    <w:rsid w:val="00CE3B18"/>
    <w:rsid w:val="00D168F4"/>
    <w:rsid w:val="00D20ED0"/>
    <w:rsid w:val="00D61D84"/>
    <w:rsid w:val="00D724A1"/>
    <w:rsid w:val="00DE4C69"/>
    <w:rsid w:val="00DE69AF"/>
    <w:rsid w:val="00DF01E1"/>
    <w:rsid w:val="00DF2A7E"/>
    <w:rsid w:val="00EA06B1"/>
    <w:rsid w:val="00EA07F5"/>
    <w:rsid w:val="00EE020D"/>
    <w:rsid w:val="00F04135"/>
    <w:rsid w:val="00F17511"/>
    <w:rsid w:val="00F21BE2"/>
    <w:rsid w:val="00F437DC"/>
    <w:rsid w:val="00F55451"/>
    <w:rsid w:val="00FA1F14"/>
    <w:rsid w:val="00FA4423"/>
    <w:rsid w:val="00FA6B9E"/>
    <w:rsid w:val="00FE5C20"/>
    <w:rsid w:val="020142D5"/>
    <w:rsid w:val="04602B3A"/>
    <w:rsid w:val="05F77758"/>
    <w:rsid w:val="0A1153BC"/>
    <w:rsid w:val="0AB01615"/>
    <w:rsid w:val="0ADC4704"/>
    <w:rsid w:val="0B1D7A4B"/>
    <w:rsid w:val="0DD95772"/>
    <w:rsid w:val="0FD22F01"/>
    <w:rsid w:val="104F5D4E"/>
    <w:rsid w:val="111365DF"/>
    <w:rsid w:val="11165B17"/>
    <w:rsid w:val="114C276E"/>
    <w:rsid w:val="11DF775E"/>
    <w:rsid w:val="197233CD"/>
    <w:rsid w:val="1DE17414"/>
    <w:rsid w:val="217A33F8"/>
    <w:rsid w:val="22520EDD"/>
    <w:rsid w:val="228E32C0"/>
    <w:rsid w:val="243D7784"/>
    <w:rsid w:val="247E5FEF"/>
    <w:rsid w:val="271E783C"/>
    <w:rsid w:val="276B40B8"/>
    <w:rsid w:val="29533F58"/>
    <w:rsid w:val="2CCF1C91"/>
    <w:rsid w:val="2D4245FB"/>
    <w:rsid w:val="2D7711A5"/>
    <w:rsid w:val="3CAA4196"/>
    <w:rsid w:val="3CDE0E0E"/>
    <w:rsid w:val="3CF33332"/>
    <w:rsid w:val="3D641E9D"/>
    <w:rsid w:val="3E1D07F4"/>
    <w:rsid w:val="4256258F"/>
    <w:rsid w:val="42C82E1D"/>
    <w:rsid w:val="43B471AD"/>
    <w:rsid w:val="469D41BC"/>
    <w:rsid w:val="47E330FE"/>
    <w:rsid w:val="48850709"/>
    <w:rsid w:val="49B764FC"/>
    <w:rsid w:val="49EE4885"/>
    <w:rsid w:val="4C2D6F06"/>
    <w:rsid w:val="4E6C3038"/>
    <w:rsid w:val="522378D0"/>
    <w:rsid w:val="52360AFC"/>
    <w:rsid w:val="537D468A"/>
    <w:rsid w:val="54BE7214"/>
    <w:rsid w:val="57BD42FE"/>
    <w:rsid w:val="5A1631D9"/>
    <w:rsid w:val="5E413634"/>
    <w:rsid w:val="62383234"/>
    <w:rsid w:val="65AA4DDA"/>
    <w:rsid w:val="67BD3540"/>
    <w:rsid w:val="68095BBE"/>
    <w:rsid w:val="68FF4E51"/>
    <w:rsid w:val="69CF7AA8"/>
    <w:rsid w:val="69EE6CD8"/>
    <w:rsid w:val="6EC74667"/>
    <w:rsid w:val="77245A86"/>
    <w:rsid w:val="791041C1"/>
    <w:rsid w:val="792912A3"/>
    <w:rsid w:val="7B6A32B4"/>
    <w:rsid w:val="7CF00A68"/>
    <w:rsid w:val="7F911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_GB2312" w:hAnsi="Calibri" w:eastAsia="仿宋_GB2312" w:cs="黑体"/>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nhideWhenUsed/>
    <w:qFormat/>
    <w:uiPriority w:val="0"/>
  </w:style>
  <w:style w:type="paragraph" w:customStyle="1" w:styleId="8">
    <w:name w:val="列出段落1"/>
    <w:basedOn w:val="1"/>
    <w:qFormat/>
    <w:uiPriority w:val="34"/>
    <w:pPr>
      <w:ind w:firstLine="420" w:firstLineChars="200"/>
    </w:pPr>
  </w:style>
  <w:style w:type="character" w:customStyle="1" w:styleId="9">
    <w:name w:val="页眉 Char"/>
    <w:basedOn w:val="6"/>
    <w:link w:val="3"/>
    <w:qFormat/>
    <w:uiPriority w:val="99"/>
    <w:rPr>
      <w:rFonts w:ascii="仿宋_GB2312" w:eastAsia="仿宋_GB2312"/>
      <w:sz w:val="18"/>
      <w:szCs w:val="18"/>
    </w:rPr>
  </w:style>
  <w:style w:type="character" w:customStyle="1" w:styleId="10">
    <w:name w:val="页脚 Char"/>
    <w:basedOn w:val="6"/>
    <w:link w:val="2"/>
    <w:qFormat/>
    <w:uiPriority w:val="99"/>
    <w:rPr>
      <w:rFonts w:ascii="仿宋_GB2312" w:eastAsia="仿宋_GB231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1851</Words>
  <Characters>10555</Characters>
  <Lines>87</Lines>
  <Paragraphs>24</Paragraphs>
  <TotalTime>190</TotalTime>
  <ScaleCrop>false</ScaleCrop>
  <LinksUpToDate>false</LinksUpToDate>
  <CharactersWithSpaces>12382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2021-03-16T08:30:00Z</dcterms:created>
  <dc:creator>微软用户</dc:creator>
  <cp:lastModifiedBy>张蓉</cp:lastModifiedBy>
  <cp:lastPrinted>2021-03-04T01:45:00Z</cp:lastPrinted>
  <dcterms:modified xsi:type="dcterms:W3CDTF">2021-03-17T06:30:47Z</dcterms:modified>
  <dc:title>关于审议《东城区深入打好污染防治攻坚战2021年行动计划》的请示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813AE0F7BEB945FB9A88DCB1271ADBD5</vt:lpwstr>
  </property>
</Properties>
</file>