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hAnsiTheme="minorEastAsia"/>
          <w:sz w:val="36"/>
          <w:szCs w:val="36"/>
          <w:lang w:val="en-US" w:eastAsia="zh-CN"/>
        </w:rPr>
      </w:pPr>
      <w:bookmarkStart w:id="0" w:name="_GoBack"/>
      <w:r>
        <w:rPr>
          <w:rFonts w:hint="eastAsia" w:ascii="方正小标宋简体" w:eastAsia="方正小标宋简体" w:hAnsiTheme="minorEastAsia"/>
          <w:sz w:val="36"/>
          <w:szCs w:val="36"/>
          <w:lang w:val="en-US" w:eastAsia="zh-CN"/>
        </w:rPr>
        <w:t>《北京市东城区人民政府关于东城区社区调整的通知》</w:t>
      </w:r>
    </w:p>
    <w:p>
      <w:pPr>
        <w:spacing w:line="540" w:lineRule="exact"/>
        <w:jc w:val="center"/>
        <w:rPr>
          <w:rFonts w:hint="eastAsia" w:ascii="方正小标宋简体" w:eastAsia="方正小标宋简体" w:hAnsiTheme="minorEastAsia"/>
          <w:sz w:val="36"/>
          <w:szCs w:val="36"/>
        </w:rPr>
      </w:pPr>
      <w:r>
        <w:rPr>
          <w:rFonts w:hint="eastAsia" w:ascii="方正小标宋简体" w:eastAsia="方正小标宋简体" w:hAnsiTheme="minorEastAsia"/>
          <w:sz w:val="36"/>
          <w:szCs w:val="36"/>
        </w:rPr>
        <w:t>的起草说明</w:t>
      </w:r>
    </w:p>
    <w:bookmarkEnd w:id="0"/>
    <w:p>
      <w:pPr>
        <w:spacing w:line="540" w:lineRule="exact"/>
        <w:jc w:val="center"/>
        <w:rPr>
          <w:rFonts w:asciiTheme="minorEastAsia" w:hAnsiTheme="minorEastAsia" w:eastAsiaTheme="minorEastAsia"/>
          <w:b/>
          <w:sz w:val="36"/>
          <w:szCs w:val="36"/>
        </w:rPr>
      </w:pP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快推进“五个东城”建设、全力打造国际一流的和谐宜居之都首善之区，着力推进社区治理体系和治理能力现代化，提高社区精细化管理和精准化服务，根据《中华人民共和国城市居民委员会组织法》和《中共北京市委办公厅 北京市人民政府办公厅关于全面加强城乡社区居民委员会建设工作的意见》（京办发〔2011〕26号），拟对东城区社区规模作出调整，起草了</w:t>
      </w:r>
      <w:r>
        <w:rPr>
          <w:rFonts w:hint="eastAsia" w:ascii="仿宋_GB2312" w:hAnsi="微软雅黑" w:eastAsia="仿宋_GB2312" w:cs="仿宋_GB2312"/>
          <w:color w:val="000000"/>
          <w:kern w:val="0"/>
          <w:sz w:val="30"/>
          <w:szCs w:val="30"/>
          <w:lang w:val="en-US" w:eastAsia="zh-CN" w:bidi="ar"/>
        </w:rPr>
        <w:t>《北京市东城区人民政府关于东城区社区调整的通</w:t>
      </w:r>
      <w:r>
        <w:rPr>
          <w:rFonts w:hint="eastAsia" w:ascii="仿宋_GB2312" w:hAnsi="仿宋_GB2312" w:eastAsia="仿宋_GB2312" w:cs="仿宋_GB2312"/>
          <w:sz w:val="32"/>
          <w:szCs w:val="32"/>
          <w:lang w:val="en-US" w:eastAsia="zh-CN"/>
        </w:rPr>
        <w:t>知》。</w:t>
      </w:r>
      <w:r>
        <w:rPr>
          <w:rFonts w:hint="eastAsia" w:ascii="仿宋_GB2312" w:hAnsi="仿宋_GB2312" w:eastAsia="仿宋_GB2312" w:cs="仿宋_GB2312"/>
          <w:sz w:val="32"/>
          <w:szCs w:val="32"/>
          <w:lang w:eastAsia="zh-CN"/>
        </w:rPr>
        <w:t>现将起草情况说明如下：</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一、背景、必要性及可行性</w:t>
      </w:r>
    </w:p>
    <w:p>
      <w:pPr>
        <w:widowControl w:val="0"/>
        <w:spacing w:line="560" w:lineRule="exact"/>
        <w:ind w:firstLine="640" w:firstLineChars="200"/>
        <w:jc w:val="both"/>
        <w:rPr>
          <w:rFonts w:ascii="仿宋_GB2312" w:eastAsia="仿宋_GB2312" w:cs="Times New Roman"/>
          <w:sz w:val="32"/>
          <w:szCs w:val="32"/>
        </w:rPr>
      </w:pPr>
      <w:r>
        <w:rPr>
          <w:rFonts w:hint="eastAsia" w:ascii="仿宋_GB2312" w:hAnsi="仿宋_GB2312" w:eastAsia="仿宋_GB2312" w:cs="仿宋_GB2312"/>
          <w:color w:val="000000"/>
          <w:sz w:val="32"/>
          <w:szCs w:val="32"/>
        </w:rPr>
        <w:t>近年来，随着我区疏解整治促提升工作的开展和城市建设的不断发展，社区资源分布、街巷肌理、人口数量发生了变化，出现了发展不均衡的现象，本着有效配置社区资源，便于服务管理、便于居民自治的原</w:t>
      </w:r>
      <w:r>
        <w:rPr>
          <w:rFonts w:hint="eastAsia" w:ascii="仿宋_GB2312" w:hAnsi="仿宋_GB2312" w:eastAsia="仿宋_GB2312" w:cs="仿宋_GB2312"/>
          <w:color w:val="000000" w:themeColor="text1"/>
          <w:sz w:val="32"/>
          <w:szCs w:val="32"/>
          <w14:textFill>
            <w14:solidFill>
              <w14:schemeClr w14:val="tx1"/>
            </w14:solidFill>
          </w14:textFill>
        </w:rPr>
        <w:t>则，根据</w:t>
      </w:r>
      <w:r>
        <w:rPr>
          <w:rFonts w:hint="eastAsia" w:ascii="仿宋_GB2312" w:hAnsi="仿宋_GB2312" w:eastAsia="仿宋_GB2312" w:cs="仿宋_GB2312"/>
          <w:color w:val="000000" w:themeColor="text1"/>
          <w:spacing w:val="-6"/>
          <w:sz w:val="32"/>
          <w:szCs w:val="32"/>
          <w14:textFill>
            <w14:solidFill>
              <w14:schemeClr w14:val="tx1"/>
            </w14:solidFill>
          </w14:textFill>
        </w:rPr>
        <w:t>《中华人民共和国城市居民委员会组织法》和《中共北京市委办公厅 北京市人民政府办公厅关于全面加强城乡社区居民委员会建设工作的意见》（京办发〔2011〕26号）等政策法律法规，</w:t>
      </w:r>
      <w:r>
        <w:rPr>
          <w:rFonts w:hint="eastAsia" w:ascii="仿宋_GB2312" w:hAnsi="仿宋_GB2312" w:eastAsia="仿宋_GB2312" w:cs="仿宋_GB2312"/>
          <w:color w:val="000000" w:themeColor="text1"/>
          <w:sz w:val="32"/>
          <w:szCs w:val="32"/>
          <w14:textFill>
            <w14:solidFill>
              <w14:schemeClr w14:val="tx1"/>
            </w14:solidFill>
          </w14:textFill>
        </w:rPr>
        <w:t>综合考虑地域面积适中、社区成员单位分布等要素”，拟对8个街道的44</w:t>
      </w:r>
      <w:r>
        <w:rPr>
          <w:rFonts w:hint="eastAsia" w:ascii="仿宋_GB2312" w:hAnsi="仿宋_GB2312" w:eastAsia="仿宋_GB2312" w:cs="仿宋_GB2312"/>
          <w:color w:val="000000"/>
          <w:sz w:val="32"/>
          <w:szCs w:val="32"/>
        </w:rPr>
        <w:t>个社区规模进行调整。调整后，有利于形成相对独立又相互联系的社区文化，有效提升精细化管理和服务水平，进一步加强</w:t>
      </w:r>
      <w:r>
        <w:rPr>
          <w:rFonts w:hint="eastAsia" w:ascii="仿宋_GB2312" w:eastAsia="仿宋_GB2312" w:cs="Times New Roman"/>
          <w:sz w:val="32"/>
          <w:szCs w:val="32"/>
        </w:rPr>
        <w:t>社区居委会建设，夯实2021年社区“两委”换届选举工作的基础。</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二、依据的法律、法规、规章和相关政策</w:t>
      </w:r>
    </w:p>
    <w:p>
      <w:pPr>
        <w:spacing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根据《中华人民共和国城市居民委员会组织法》、《北京市实施〈中华人民共和国城市居民委员会组织法〉办法》、《中共北京市委办公厅 北京市人民政府办公厅印发〈关于全面加强城乡社区居民委员会建设工作的意见〉的通知》（京办发〔2011〕26号）、《中共东城区委办公室  东城区人民政府办公室印发〈东城区关于加强和改进社区居民委员会建设工作的实施意见〉的通知》（东办发〔 2012 〕 4 号）。</w:t>
      </w:r>
    </w:p>
    <w:p>
      <w:pPr>
        <w:spacing w:line="56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文件的主要内容</w:t>
      </w:r>
    </w:p>
    <w:p>
      <w:pPr>
        <w:widowControl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我区结合地域面积相对较小的实际，在广泛听取街道意见建议的基础上，研究提出了社区规模调整原则和标准，按照“社区民主自治、社区服务精准、社区治理优化、社区文化认同”的总体要求，以社区管辖户数（社区内住宅套数）为基本标准，适度调整社区规模，即：对5000户以上“超大型社区”进行拆分；对少于1500户且具备条件的“小型社区”进行整合；对具备条件的超过3000户以上居住分散且管理负荷过重的社区结合实际予以调整。共有和平里、东华门、东四、北新桥、崇外、体育馆路、天坛、永外8个街道提出了社区规模调整意向，调整范围涉及42个社区，另有2个社区仅涉及名称变更。调整后，</w:t>
      </w:r>
      <w:r>
        <w:rPr>
          <w:rFonts w:hint="eastAsia" w:ascii="仿宋_GB2312" w:hAnsi="仿宋_GB2312" w:eastAsia="仿宋_GB2312" w:cs="仿宋_GB2312"/>
          <w:sz w:val="32"/>
          <w:szCs w:val="32"/>
        </w:rPr>
        <w:t>全区社区数量由原来的177个调整为168个，其中，1500户以下的社区16个，1500户至3000户的社区125个，3000户以上的社区27个。</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（一）5000户以上的1个社区，即和平里街道民旺社区，在本次调整范围内，社区管辖户数由5110户调整为4987户。</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（二）1500户以下的31个社区，其中16个在本次调整范围内，15个社区因是大院型社区、独立小区型社区或者由于管辖范围大、地理位置特殊等原因，为保持相对稳定，暂不作调整。</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（三）1500户至5000户的145个社区，街道从提升社区管理服务效能出发，对其中25个社区提出了调整意向。</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（四）天坛街道南门社区、东里社区仅涉及名称变更。</w:t>
      </w:r>
    </w:p>
    <w:p>
      <w:pPr>
        <w:spacing w:line="560" w:lineRule="exact"/>
        <w:ind w:firstLine="640" w:firstLineChars="200"/>
        <w:jc w:val="both"/>
        <w:rPr>
          <w:rFonts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r>
        <w:rPr>
          <w:rFonts w:hint="eastAsia" w:ascii="仿宋_GB2312" w:eastAsia="仿宋_GB2312" w:cs="Times New Roman"/>
          <w:sz w:val="32"/>
          <w:szCs w:val="32"/>
        </w:rPr>
        <w:t xml:space="preserve">                      </w:t>
      </w: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ind w:firstLine="640" w:firstLineChars="200"/>
        <w:jc w:val="both"/>
        <w:rPr>
          <w:rFonts w:hint="eastAsia" w:ascii="仿宋_GB2312" w:eastAsia="仿宋_GB2312" w:cs="Times New Roman"/>
          <w:sz w:val="32"/>
          <w:szCs w:val="32"/>
        </w:rPr>
      </w:pPr>
    </w:p>
    <w:p>
      <w:pPr>
        <w:spacing w:line="560" w:lineRule="exact"/>
        <w:jc w:val="center"/>
        <w:rPr>
          <w:rFonts w:hint="eastAsia" w:ascii="方正小标宋简体" w:eastAsia="方正小标宋简体" w:hAnsiTheme="minorEastAsia"/>
          <w:sz w:val="36"/>
          <w:szCs w:val="36"/>
          <w:lang w:val="en-US" w:eastAsia="zh-CN"/>
        </w:rPr>
      </w:pPr>
      <w:r>
        <w:rPr>
          <w:rFonts w:hint="eastAsia" w:ascii="方正小标宋简体" w:eastAsia="方正小标宋简体" w:hAnsiTheme="minorEastAsia"/>
          <w:sz w:val="36"/>
          <w:szCs w:val="36"/>
          <w:lang w:val="en-US" w:eastAsia="zh-CN"/>
        </w:rPr>
        <w:t>《北京市东城区人民政府关于东城区社区调整的通知》</w:t>
      </w:r>
    </w:p>
    <w:p>
      <w:pPr>
        <w:spacing w:line="560" w:lineRule="exact"/>
        <w:jc w:val="center"/>
        <w:rPr>
          <w:rFonts w:hint="eastAsia" w:ascii="仿宋_GB2312" w:eastAsia="仿宋_GB2312" w:cs="Times New Roman"/>
          <w:sz w:val="32"/>
          <w:szCs w:val="32"/>
        </w:rPr>
      </w:pPr>
      <w:r>
        <w:rPr>
          <w:rFonts w:hint="eastAsia" w:ascii="方正小标宋简体" w:eastAsia="方正小标宋简体" w:hAnsiTheme="minorEastAsia"/>
          <w:sz w:val="36"/>
          <w:szCs w:val="36"/>
          <w:lang w:val="en-US" w:eastAsia="zh-CN"/>
        </w:rPr>
        <w:t>的制定依据</w:t>
      </w:r>
    </w:p>
    <w:tbl>
      <w:tblPr>
        <w:tblStyle w:val="4"/>
        <w:tblpPr w:leftFromText="180" w:rightFromText="180" w:vertAnchor="page" w:horzAnchor="page" w:tblpX="1477" w:tblpY="4688"/>
        <w:tblOverlap w:val="never"/>
        <w:tblW w:w="940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999999"/>
        <w:tblLayout w:type="fixed"/>
        <w:tblCellMar>
          <w:top w:w="0" w:type="dxa"/>
          <w:left w:w="0" w:type="dxa"/>
          <w:bottom w:w="0" w:type="dxa"/>
          <w:right w:w="0" w:type="dxa"/>
        </w:tblCellMar>
      </w:tblPr>
      <w:tblGrid>
        <w:gridCol w:w="910"/>
        <w:gridCol w:w="3129"/>
        <w:gridCol w:w="2482"/>
        <w:gridCol w:w="28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999999"/>
          <w:tblCellMar>
            <w:top w:w="0" w:type="dxa"/>
            <w:left w:w="0" w:type="dxa"/>
            <w:bottom w:w="0" w:type="dxa"/>
            <w:right w:w="0" w:type="dxa"/>
          </w:tblCellMar>
        </w:tblPrEx>
        <w:tc>
          <w:tcPr>
            <w:tcW w:w="910"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b/>
                <w:i w:val="0"/>
                <w:color w:val="auto"/>
                <w:kern w:val="0"/>
                <w:sz w:val="28"/>
                <w:szCs w:val="28"/>
                <w:lang w:val="en-US" w:eastAsia="zh-CN" w:bidi="ar"/>
              </w:rPr>
              <w:t>序号</w:t>
            </w:r>
          </w:p>
        </w:tc>
        <w:tc>
          <w:tcPr>
            <w:tcW w:w="312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b/>
                <w:i w:val="0"/>
                <w:color w:val="auto"/>
                <w:kern w:val="0"/>
                <w:sz w:val="28"/>
                <w:szCs w:val="28"/>
                <w:lang w:val="en-US" w:eastAsia="zh-CN" w:bidi="ar"/>
              </w:rPr>
              <w:t>名称</w:t>
            </w:r>
          </w:p>
        </w:tc>
        <w:tc>
          <w:tcPr>
            <w:tcW w:w="248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b/>
                <w:i w:val="0"/>
                <w:color w:val="auto"/>
                <w:kern w:val="0"/>
                <w:sz w:val="28"/>
                <w:szCs w:val="28"/>
                <w:lang w:val="en-US" w:eastAsia="zh-CN" w:bidi="ar"/>
              </w:rPr>
              <w:t>制定机关</w:t>
            </w:r>
          </w:p>
        </w:tc>
        <w:tc>
          <w:tcPr>
            <w:tcW w:w="2884"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b/>
                <w:i w:val="0"/>
                <w:color w:val="auto"/>
                <w:kern w:val="0"/>
                <w:sz w:val="28"/>
                <w:szCs w:val="28"/>
                <w:lang w:val="en-US" w:eastAsia="zh-CN" w:bidi="ar"/>
              </w:rPr>
              <w:t>公布日期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999999"/>
          <w:tblCellMar>
            <w:top w:w="0" w:type="dxa"/>
            <w:left w:w="0" w:type="dxa"/>
            <w:bottom w:w="0" w:type="dxa"/>
            <w:right w:w="0" w:type="dxa"/>
          </w:tblCellMar>
        </w:tblPrEx>
        <w:trPr>
          <w:trHeight w:val="1143" w:hRule="atLeast"/>
        </w:trPr>
        <w:tc>
          <w:tcPr>
            <w:tcW w:w="910"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i w:val="0"/>
                <w:color w:val="auto"/>
                <w:kern w:val="0"/>
                <w:sz w:val="28"/>
                <w:szCs w:val="28"/>
                <w:lang w:val="en-US" w:eastAsia="zh-CN" w:bidi="ar"/>
              </w:rPr>
              <w:t>1</w:t>
            </w:r>
          </w:p>
        </w:tc>
        <w:tc>
          <w:tcPr>
            <w:tcW w:w="312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i w:val="0"/>
                <w:color w:val="auto"/>
                <w:kern w:val="0"/>
                <w:sz w:val="28"/>
                <w:szCs w:val="28"/>
                <w:lang w:val="en-US" w:eastAsia="zh-CN" w:bidi="ar"/>
              </w:rPr>
              <w:t>《</w:t>
            </w:r>
            <w:r>
              <w:rPr>
                <w:rFonts w:hint="eastAsia" w:ascii="仿宋_GB2312" w:hAnsi="仿宋_GB2312" w:eastAsia="仿宋_GB2312" w:cs="仿宋_GB2312"/>
                <w:i w:val="0"/>
                <w:color w:val="auto"/>
                <w:kern w:val="0"/>
                <w:sz w:val="28"/>
                <w:szCs w:val="28"/>
                <w:lang w:val="en-US" w:eastAsia="zh-Hans" w:bidi="ar"/>
              </w:rPr>
              <w:t>中华人民共和国城市居民委员会组织法</w:t>
            </w:r>
            <w:r>
              <w:rPr>
                <w:rFonts w:hint="eastAsia" w:ascii="仿宋_GB2312" w:hAnsi="仿宋_GB2312" w:eastAsia="仿宋_GB2312" w:cs="仿宋_GB2312"/>
                <w:i w:val="0"/>
                <w:color w:val="auto"/>
                <w:kern w:val="0"/>
                <w:sz w:val="28"/>
                <w:szCs w:val="28"/>
                <w:lang w:val="en-US" w:eastAsia="zh-CN" w:bidi="ar"/>
              </w:rPr>
              <w:t>》</w:t>
            </w:r>
          </w:p>
        </w:tc>
        <w:tc>
          <w:tcPr>
            <w:tcW w:w="248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i w:val="0"/>
                <w:color w:val="auto"/>
                <w:kern w:val="0"/>
                <w:sz w:val="28"/>
                <w:szCs w:val="28"/>
                <w:lang w:val="en-US" w:eastAsia="zh-CN" w:bidi="ar"/>
              </w:rPr>
              <w:t>全国人民代表大会常务委员会</w:t>
            </w:r>
          </w:p>
        </w:tc>
        <w:tc>
          <w:tcPr>
            <w:tcW w:w="2884"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i w:val="0"/>
                <w:color w:val="auto"/>
                <w:kern w:val="0"/>
                <w:sz w:val="28"/>
                <w:szCs w:val="28"/>
                <w:lang w:val="en-US" w:eastAsia="zh-CN" w:bidi="ar"/>
              </w:rPr>
              <w:t>1989年12月26日通过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999999"/>
          <w:tblCellMar>
            <w:top w:w="0" w:type="dxa"/>
            <w:left w:w="0" w:type="dxa"/>
            <w:bottom w:w="0" w:type="dxa"/>
            <w:right w:w="0" w:type="dxa"/>
          </w:tblCellMar>
        </w:tblPrEx>
        <w:trPr>
          <w:trHeight w:val="1066" w:hRule="atLeast"/>
        </w:trPr>
        <w:tc>
          <w:tcPr>
            <w:tcW w:w="910"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i w:val="0"/>
                <w:color w:val="auto"/>
                <w:kern w:val="0"/>
                <w:sz w:val="28"/>
                <w:szCs w:val="28"/>
                <w:lang w:val="en-US" w:eastAsia="zh-CN" w:bidi="ar"/>
              </w:rPr>
              <w:t>2</w:t>
            </w:r>
          </w:p>
        </w:tc>
        <w:tc>
          <w:tcPr>
            <w:tcW w:w="312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i w:val="0"/>
                <w:color w:val="auto"/>
                <w:kern w:val="0"/>
                <w:sz w:val="28"/>
                <w:szCs w:val="28"/>
                <w:lang w:val="en-US" w:eastAsia="zh-Hans" w:bidi="ar"/>
              </w:rPr>
              <w:t>《北京市实施〈中华人民共和国城市居民委员会组织法〉办法》</w:t>
            </w:r>
          </w:p>
        </w:tc>
        <w:tc>
          <w:tcPr>
            <w:tcW w:w="248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i w:val="0"/>
                <w:color w:val="auto"/>
                <w:kern w:val="0"/>
                <w:sz w:val="28"/>
                <w:szCs w:val="28"/>
                <w:lang w:val="en-US" w:eastAsia="zh-CN" w:bidi="ar"/>
              </w:rPr>
              <w:t>北京市人民代表大会常务委员会</w:t>
            </w:r>
          </w:p>
        </w:tc>
        <w:tc>
          <w:tcPr>
            <w:tcW w:w="2884"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8"/>
                <w:szCs w:val="28"/>
              </w:rPr>
            </w:pPr>
            <w:r>
              <w:rPr>
                <w:rFonts w:hint="eastAsia" w:ascii="仿宋_GB2312" w:hAnsi="仿宋_GB2312" w:eastAsia="仿宋_GB2312" w:cs="仿宋_GB2312"/>
                <w:i w:val="0"/>
                <w:color w:val="auto"/>
                <w:kern w:val="0"/>
                <w:sz w:val="28"/>
                <w:szCs w:val="28"/>
                <w:lang w:val="en-US" w:eastAsia="zh-CN" w:bidi="ar"/>
              </w:rPr>
              <w:t>1991年12月21日通过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999999"/>
          <w:tblCellMar>
            <w:top w:w="0" w:type="dxa"/>
            <w:left w:w="0" w:type="dxa"/>
            <w:bottom w:w="0" w:type="dxa"/>
            <w:right w:w="0" w:type="dxa"/>
          </w:tblCellMar>
        </w:tblPrEx>
        <w:trPr>
          <w:trHeight w:val="1066" w:hRule="atLeast"/>
        </w:trPr>
        <w:tc>
          <w:tcPr>
            <w:tcW w:w="910"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kern w:val="0"/>
                <w:sz w:val="28"/>
                <w:szCs w:val="28"/>
                <w:lang w:val="en-US" w:eastAsia="zh-CN" w:bidi="ar"/>
              </w:rPr>
            </w:pPr>
            <w:r>
              <w:rPr>
                <w:rFonts w:hint="eastAsia" w:ascii="仿宋_GB2312" w:hAnsi="仿宋_GB2312" w:eastAsia="仿宋_GB2312" w:cs="仿宋_GB2312"/>
                <w:i w:val="0"/>
                <w:color w:val="auto"/>
                <w:kern w:val="0"/>
                <w:sz w:val="28"/>
                <w:szCs w:val="28"/>
                <w:lang w:val="en-US" w:eastAsia="zh-CN" w:bidi="ar"/>
              </w:rPr>
              <w:t>3</w:t>
            </w:r>
          </w:p>
        </w:tc>
        <w:tc>
          <w:tcPr>
            <w:tcW w:w="312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kern w:val="0"/>
                <w:sz w:val="28"/>
                <w:szCs w:val="28"/>
                <w:lang w:val="en-US" w:eastAsia="zh-CN" w:bidi="ar"/>
              </w:rPr>
            </w:pPr>
            <w:r>
              <w:rPr>
                <w:rFonts w:hint="eastAsia" w:ascii="仿宋_GB2312" w:hAnsi="仿宋_GB2312" w:eastAsia="仿宋_GB2312" w:cs="仿宋_GB2312"/>
                <w:i w:val="0"/>
                <w:color w:val="auto"/>
                <w:kern w:val="0"/>
                <w:sz w:val="28"/>
                <w:szCs w:val="28"/>
                <w:lang w:val="en-US" w:eastAsia="zh-Hans" w:bidi="ar"/>
              </w:rPr>
              <w:t>《中共北京市委办公厅 北京市人民政府办公厅印发〈关于全面加强城乡社区居民委员会建设工作的意见〉的通知》</w:t>
            </w:r>
          </w:p>
        </w:tc>
        <w:tc>
          <w:tcPr>
            <w:tcW w:w="248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kern w:val="0"/>
                <w:sz w:val="28"/>
                <w:szCs w:val="28"/>
                <w:lang w:val="en-US" w:eastAsia="zh-CN" w:bidi="ar"/>
              </w:rPr>
            </w:pPr>
            <w:r>
              <w:rPr>
                <w:rFonts w:hint="eastAsia" w:ascii="仿宋_GB2312" w:hAnsi="仿宋_GB2312" w:eastAsia="仿宋_GB2312" w:cs="仿宋_GB2312"/>
                <w:i w:val="0"/>
                <w:color w:val="auto"/>
                <w:kern w:val="0"/>
                <w:sz w:val="28"/>
                <w:szCs w:val="28"/>
                <w:lang w:val="en-US" w:eastAsia="zh-CN" w:bidi="ar"/>
              </w:rPr>
              <w:t>中共北京市委办公厅  北京市人民政府办公厅</w:t>
            </w:r>
          </w:p>
        </w:tc>
        <w:tc>
          <w:tcPr>
            <w:tcW w:w="2884"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仿宋_GB2312" w:hAnsi="仿宋_GB2312" w:eastAsia="仿宋_GB2312" w:cs="仿宋_GB2312"/>
                <w:i w:val="0"/>
                <w:color w:val="auto"/>
                <w:kern w:val="0"/>
                <w:sz w:val="28"/>
                <w:szCs w:val="28"/>
                <w:lang w:val="en-US" w:eastAsia="zh-CN" w:bidi="ar"/>
              </w:rPr>
            </w:pPr>
            <w:r>
              <w:rPr>
                <w:rFonts w:hint="eastAsia" w:ascii="仿宋_GB2312" w:hAnsi="仿宋_GB2312" w:eastAsia="仿宋_GB2312" w:cs="仿宋_GB2312"/>
                <w:i w:val="0"/>
                <w:color w:val="auto"/>
                <w:kern w:val="0"/>
                <w:sz w:val="28"/>
                <w:szCs w:val="28"/>
                <w:lang w:val="en-US" w:eastAsia="zh-CN" w:bidi="ar"/>
              </w:rPr>
              <w:t>2011年8月25日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999999"/>
          <w:tblCellMar>
            <w:top w:w="0" w:type="dxa"/>
            <w:left w:w="0" w:type="dxa"/>
            <w:bottom w:w="0" w:type="dxa"/>
            <w:right w:w="0" w:type="dxa"/>
          </w:tblCellMar>
        </w:tblPrEx>
        <w:trPr>
          <w:trHeight w:val="1066" w:hRule="atLeast"/>
        </w:trPr>
        <w:tc>
          <w:tcPr>
            <w:tcW w:w="910"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kern w:val="0"/>
                <w:sz w:val="28"/>
                <w:szCs w:val="28"/>
                <w:lang w:val="en-US" w:eastAsia="zh-CN" w:bidi="ar"/>
              </w:rPr>
            </w:pPr>
            <w:r>
              <w:rPr>
                <w:rFonts w:hint="eastAsia" w:ascii="仿宋_GB2312" w:hAnsi="仿宋_GB2312" w:eastAsia="仿宋_GB2312" w:cs="仿宋_GB2312"/>
                <w:i w:val="0"/>
                <w:color w:val="auto"/>
                <w:kern w:val="0"/>
                <w:sz w:val="28"/>
                <w:szCs w:val="28"/>
                <w:lang w:val="en-US" w:eastAsia="zh-CN" w:bidi="ar"/>
              </w:rPr>
              <w:t>4</w:t>
            </w:r>
          </w:p>
        </w:tc>
        <w:tc>
          <w:tcPr>
            <w:tcW w:w="3129"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kern w:val="0"/>
                <w:sz w:val="28"/>
                <w:szCs w:val="28"/>
                <w:lang w:val="en-US" w:eastAsia="zh-CN" w:bidi="ar"/>
              </w:rPr>
            </w:pPr>
            <w:r>
              <w:rPr>
                <w:rFonts w:hint="eastAsia" w:ascii="仿宋_GB2312" w:hAnsi="仿宋_GB2312" w:eastAsia="仿宋_GB2312" w:cs="仿宋_GB2312"/>
                <w:i w:val="0"/>
                <w:color w:val="auto"/>
                <w:kern w:val="0"/>
                <w:sz w:val="28"/>
                <w:szCs w:val="28"/>
                <w:lang w:val="en-US" w:eastAsia="zh-Hans" w:bidi="ar"/>
              </w:rPr>
              <w:t>《中共东城区委办公室  东城区人民政府办公室印发〈东城区关于加强和改进社区居民委员会建设工作的实施意见〉的通知》</w:t>
            </w:r>
          </w:p>
        </w:tc>
        <w:tc>
          <w:tcPr>
            <w:tcW w:w="2482"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olor w:val="auto"/>
                <w:kern w:val="0"/>
                <w:sz w:val="28"/>
                <w:szCs w:val="28"/>
                <w:lang w:val="en-US" w:eastAsia="zh-CN" w:bidi="ar"/>
              </w:rPr>
            </w:pPr>
            <w:r>
              <w:rPr>
                <w:rFonts w:hint="eastAsia" w:ascii="仿宋_GB2312" w:hAnsi="仿宋_GB2312" w:eastAsia="仿宋_GB2312" w:cs="仿宋_GB2312"/>
                <w:i w:val="0"/>
                <w:color w:val="auto"/>
                <w:kern w:val="0"/>
                <w:sz w:val="28"/>
                <w:szCs w:val="28"/>
                <w:lang w:val="en-US" w:eastAsia="zh-CN" w:bidi="ar"/>
              </w:rPr>
              <w:t>中共东城区委办公室  东城区人民政府办公室</w:t>
            </w:r>
          </w:p>
        </w:tc>
        <w:tc>
          <w:tcPr>
            <w:tcW w:w="2884" w:type="dxa"/>
            <w:tcBorders>
              <w:tl2br w:val="nil"/>
              <w:tr2bl w:val="nil"/>
            </w:tcBorders>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仿宋_GB2312" w:hAnsi="仿宋_GB2312" w:eastAsia="仿宋_GB2312" w:cs="仿宋_GB2312"/>
                <w:i w:val="0"/>
                <w:color w:val="auto"/>
                <w:kern w:val="0"/>
                <w:sz w:val="28"/>
                <w:szCs w:val="28"/>
                <w:lang w:val="en-US" w:eastAsia="zh-CN" w:bidi="ar"/>
              </w:rPr>
            </w:pPr>
            <w:r>
              <w:rPr>
                <w:rFonts w:hint="eastAsia" w:ascii="仿宋_GB2312" w:hAnsi="仿宋_GB2312" w:eastAsia="仿宋_GB2312" w:cs="仿宋_GB2312"/>
                <w:i w:val="0"/>
                <w:color w:val="auto"/>
                <w:kern w:val="0"/>
                <w:sz w:val="28"/>
                <w:szCs w:val="28"/>
                <w:lang w:val="en-US" w:eastAsia="zh-CN" w:bidi="ar"/>
              </w:rPr>
              <w:t>2012年3月19日</w:t>
            </w:r>
          </w:p>
        </w:tc>
      </w:tr>
    </w:tbl>
    <w:p>
      <w:pPr>
        <w:spacing w:line="560" w:lineRule="exact"/>
        <w:jc w:val="both"/>
        <w:rPr>
          <w:rFonts w:hint="eastAsia" w:ascii="仿宋_GB2312" w:eastAsia="仿宋_GB2312" w:cs="Times New Roman"/>
          <w:sz w:val="32"/>
          <w:szCs w:val="32"/>
        </w:rPr>
      </w:pPr>
    </w:p>
    <w:sectPr>
      <w:pgSz w:w="11906" w:h="16838"/>
      <w:pgMar w:top="2098" w:right="1474" w:bottom="1985" w:left="1588" w:header="709" w:footer="709" w:gutter="0"/>
      <w:pgBorders>
        <w:top w:val="none" w:sz="0" w:space="0"/>
        <w:left w:val="none" w:sz="0" w:space="0"/>
        <w:bottom w:val="none" w:sz="0" w:space="0"/>
        <w:right w:val="none" w:sz="0" w:space="0"/>
      </w:pgBorders>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F3C38"/>
    <w:rsid w:val="000576A0"/>
    <w:rsid w:val="0022186F"/>
    <w:rsid w:val="005B4F7B"/>
    <w:rsid w:val="0063581D"/>
    <w:rsid w:val="007F1431"/>
    <w:rsid w:val="0092518F"/>
    <w:rsid w:val="00A63B8C"/>
    <w:rsid w:val="00B36BEF"/>
    <w:rsid w:val="00BB7527"/>
    <w:rsid w:val="00C62DAF"/>
    <w:rsid w:val="00DD7F21"/>
    <w:rsid w:val="00F04D00"/>
    <w:rsid w:val="00F316B9"/>
    <w:rsid w:val="00F34972"/>
    <w:rsid w:val="09565E75"/>
    <w:rsid w:val="09D00FCA"/>
    <w:rsid w:val="0A105B58"/>
    <w:rsid w:val="0BED48E1"/>
    <w:rsid w:val="0ED7716F"/>
    <w:rsid w:val="0FCA6042"/>
    <w:rsid w:val="16602877"/>
    <w:rsid w:val="1A9818A2"/>
    <w:rsid w:val="21ED7B92"/>
    <w:rsid w:val="22A417DE"/>
    <w:rsid w:val="22EA6152"/>
    <w:rsid w:val="23186829"/>
    <w:rsid w:val="25BF3C38"/>
    <w:rsid w:val="27E70E73"/>
    <w:rsid w:val="316B6879"/>
    <w:rsid w:val="34333781"/>
    <w:rsid w:val="34DB7AF5"/>
    <w:rsid w:val="368F2EAD"/>
    <w:rsid w:val="3B6F4684"/>
    <w:rsid w:val="3DC27DB8"/>
    <w:rsid w:val="41B6157C"/>
    <w:rsid w:val="45563AA7"/>
    <w:rsid w:val="48FC6230"/>
    <w:rsid w:val="4EDF4BCF"/>
    <w:rsid w:val="5015091D"/>
    <w:rsid w:val="546619E4"/>
    <w:rsid w:val="60FB3E51"/>
    <w:rsid w:val="6173297F"/>
    <w:rsid w:val="64356C9C"/>
    <w:rsid w:val="6A3C524B"/>
    <w:rsid w:val="6F4A7A1D"/>
    <w:rsid w:val="71954F48"/>
    <w:rsid w:val="71C40882"/>
    <w:rsid w:val="749411F3"/>
    <w:rsid w:val="7A883BA5"/>
    <w:rsid w:val="7F36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40" w:lineRule="exact"/>
      <w:jc w:val="center"/>
    </w:pPr>
    <w:rPr>
      <w:rFonts w:eastAsia="华文中宋"/>
      <w:sz w:val="4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
    <w:name w:val="正文 A"/>
    <w:qFormat/>
    <w:uiPriority w:val="0"/>
    <w:pPr>
      <w:widowControl w:val="0"/>
      <w:jc w:val="both"/>
    </w:pPr>
    <w:rPr>
      <w:rFonts w:ascii="Times New Roman" w:hAnsi="Times New Roman" w:eastAsia="Calibri" w:cs="Calibri"/>
      <w:kern w:val="2"/>
      <w:sz w:val="21"/>
      <w:szCs w:val="21"/>
      <w:lang w:val="en-US" w:eastAsia="zh-CN" w:bidi="ar-SA"/>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180</Words>
  <Characters>1027</Characters>
  <Lines>8</Lines>
  <Paragraphs>2</Paragraphs>
  <TotalTime>0</TotalTime>
  <ScaleCrop>false</ScaleCrop>
  <LinksUpToDate>false</LinksUpToDate>
  <CharactersWithSpaces>1205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2020-06-12T08:12:00Z</dcterms:created>
  <dc:creator>郭铭</dc:creator>
  <cp:lastModifiedBy>HONEY.XIAO</cp:lastModifiedBy>
  <dcterms:modified xsi:type="dcterms:W3CDTF">2021-12-24T03:10:00Z</dcterms:modified>
  <dc:title>关于《东城区关于培育发展社区社会组织的实施意见》 《东城区社区社会组织备案管理暂行办法》《东城区社区社会组织星级评定暂行办法》的起草说明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EFBE216C64AC478CBDBECD62801A716D</vt:lpwstr>
  </property>
</Properties>
</file>