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716"/>
        </w:tabs>
        <w:adjustRightInd w:val="0"/>
        <w:snapToGrid w:val="0"/>
        <w:rPr>
          <w:rFonts w:hint="eastAsia" w:ascii="仿宋_GB2312" w:hAnsi="宋体" w:eastAsia="仿宋_GB2312"/>
          <w:kern w:val="0"/>
          <w:sz w:val="32"/>
          <w:szCs w:val="32"/>
        </w:rPr>
      </w:pPr>
      <w:r>
        <w:rPr>
          <w:rFonts w:hint="eastAsia" w:ascii="黑体" w:hAnsi="黑体" w:eastAsia="黑体" w:cs="黑体"/>
          <w:kern w:val="0"/>
          <w:sz w:val="32"/>
          <w:szCs w:val="32"/>
        </w:rPr>
        <w:t>附件3</w:t>
      </w:r>
      <w:r>
        <w:rPr>
          <w:rFonts w:hint="eastAsia" w:ascii="仿宋_GB2312" w:hAnsi="宋体" w:eastAsia="仿宋_GB2312" w:cs="仿宋_GB2312"/>
          <w:kern w:val="0"/>
          <w:sz w:val="32"/>
          <w:szCs w:val="32"/>
        </w:rPr>
        <w:tab/>
      </w:r>
    </w:p>
    <w:p>
      <w:pPr>
        <w:widowControl/>
        <w:adjustRightInd w:val="0"/>
        <w:snapToGrid w:val="0"/>
        <w:jc w:val="center"/>
        <w:rPr>
          <w:rFonts w:ascii="方正小标宋简体" w:hAnsi="宋体" w:eastAsia="方正小标宋简体"/>
          <w:kern w:val="0"/>
          <w:sz w:val="44"/>
          <w:szCs w:val="44"/>
        </w:rPr>
      </w:pPr>
      <w:r>
        <w:rPr>
          <w:rFonts w:hint="eastAsia" w:ascii="方正小标宋简体" w:hAnsi="宋体" w:eastAsia="方正小标宋简体" w:cs="方正小标宋简体"/>
          <w:kern w:val="0"/>
          <w:sz w:val="44"/>
          <w:szCs w:val="44"/>
        </w:rPr>
        <w:t>东城区人民政府决定废止的行政规范性文件目录（共16件）</w:t>
      </w:r>
    </w:p>
    <w:p>
      <w:pPr>
        <w:widowControl/>
        <w:adjustRightInd w:val="0"/>
        <w:snapToGrid w:val="0"/>
        <w:jc w:val="center"/>
        <w:rPr>
          <w:rFonts w:ascii="方正小标宋简体" w:hAnsi="宋体" w:eastAsia="方正小标宋简体"/>
          <w:kern w:val="0"/>
          <w:sz w:val="44"/>
          <w:szCs w:val="44"/>
        </w:rPr>
      </w:pPr>
    </w:p>
    <w:tbl>
      <w:tblPr>
        <w:tblStyle w:val="8"/>
        <w:tblW w:w="0" w:type="auto"/>
        <w:jc w:val="center"/>
        <w:tblLayout w:type="fixed"/>
        <w:tblCellMar>
          <w:top w:w="0" w:type="dxa"/>
          <w:left w:w="108" w:type="dxa"/>
          <w:bottom w:w="0" w:type="dxa"/>
          <w:right w:w="108" w:type="dxa"/>
        </w:tblCellMar>
      </w:tblPr>
      <w:tblGrid>
        <w:gridCol w:w="866"/>
        <w:gridCol w:w="1620"/>
        <w:gridCol w:w="1995"/>
        <w:gridCol w:w="7365"/>
        <w:gridCol w:w="3070"/>
      </w:tblGrid>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kern w:val="0"/>
                <w:sz w:val="28"/>
                <w:szCs w:val="28"/>
              </w:rPr>
            </w:pPr>
            <w:r>
              <w:rPr>
                <w:rFonts w:hint="eastAsia" w:ascii="宋体" w:hAnsi="宋体" w:cs="宋体"/>
                <w:b/>
                <w:bCs/>
                <w:kern w:val="0"/>
                <w:sz w:val="28"/>
                <w:szCs w:val="28"/>
              </w:rPr>
              <w:t>序号</w:t>
            </w:r>
          </w:p>
        </w:tc>
        <w:tc>
          <w:tcPr>
            <w:tcW w:w="162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kern w:val="0"/>
                <w:sz w:val="28"/>
                <w:szCs w:val="28"/>
              </w:rPr>
            </w:pPr>
            <w:r>
              <w:rPr>
                <w:rFonts w:hint="eastAsia" w:ascii="宋体" w:hAnsi="宋体" w:cs="宋体"/>
                <w:b/>
                <w:bCs/>
                <w:kern w:val="0"/>
                <w:sz w:val="28"/>
                <w:szCs w:val="28"/>
              </w:rPr>
              <w:t>制定日期</w:t>
            </w:r>
          </w:p>
        </w:tc>
        <w:tc>
          <w:tcPr>
            <w:tcW w:w="199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kern w:val="0"/>
                <w:sz w:val="28"/>
                <w:szCs w:val="28"/>
              </w:rPr>
            </w:pPr>
            <w:r>
              <w:rPr>
                <w:rFonts w:hint="eastAsia" w:ascii="宋体" w:hAnsi="宋体" w:cs="宋体"/>
                <w:b/>
                <w:bCs/>
                <w:kern w:val="0"/>
                <w:sz w:val="28"/>
                <w:szCs w:val="28"/>
              </w:rPr>
              <w:t>责任单位</w:t>
            </w:r>
          </w:p>
        </w:tc>
        <w:tc>
          <w:tcPr>
            <w:tcW w:w="736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kern w:val="0"/>
                <w:sz w:val="28"/>
                <w:szCs w:val="28"/>
              </w:rPr>
            </w:pPr>
            <w:r>
              <w:rPr>
                <w:rFonts w:hint="eastAsia" w:ascii="宋体" w:hAnsi="宋体" w:cs="宋体"/>
                <w:b/>
                <w:bCs/>
                <w:kern w:val="0"/>
                <w:sz w:val="28"/>
                <w:szCs w:val="28"/>
              </w:rPr>
              <w:t>文  件  标  题</w:t>
            </w:r>
          </w:p>
        </w:tc>
        <w:tc>
          <w:tcPr>
            <w:tcW w:w="307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kern w:val="0"/>
                <w:sz w:val="28"/>
                <w:szCs w:val="28"/>
              </w:rPr>
            </w:pPr>
            <w:r>
              <w:rPr>
                <w:rFonts w:hint="eastAsia" w:ascii="宋体" w:hAnsi="宋体" w:cs="宋体"/>
                <w:b/>
                <w:bCs/>
                <w:kern w:val="0"/>
                <w:sz w:val="28"/>
                <w:szCs w:val="28"/>
              </w:rPr>
              <w:t>文号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kern w:val="0"/>
                <w:sz w:val="28"/>
                <w:szCs w:val="28"/>
              </w:rPr>
            </w:pPr>
            <w:r>
              <w:rPr>
                <w:rFonts w:hint="eastAsia" w:ascii="仿宋_GB2312" w:hAnsi="仿宋_GB2312" w:eastAsia="仿宋_GB2312" w:cs="仿宋_GB2312"/>
                <w:kern w:val="0"/>
                <w:sz w:val="28"/>
                <w:szCs w:val="28"/>
              </w:rPr>
              <w:t>1</w:t>
            </w:r>
          </w:p>
        </w:tc>
        <w:tc>
          <w:tcPr>
            <w:tcW w:w="162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2011/8/29</w:t>
            </w:r>
          </w:p>
        </w:tc>
        <w:tc>
          <w:tcPr>
            <w:tcW w:w="199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区体育局</w:t>
            </w:r>
          </w:p>
        </w:tc>
        <w:tc>
          <w:tcPr>
            <w:tcW w:w="736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北京市东城区人民政府办公室关于印发《东城区学校（单位）体育文化设施向社会开放管理办法》的通知</w:t>
            </w:r>
          </w:p>
        </w:tc>
        <w:tc>
          <w:tcPr>
            <w:tcW w:w="307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东政办发〔2011〕18号</w:t>
            </w:r>
          </w:p>
        </w:tc>
      </w:tr>
      <w:tr>
        <w:tblPrEx>
          <w:tblCellMar>
            <w:top w:w="0" w:type="dxa"/>
            <w:left w:w="108" w:type="dxa"/>
            <w:bottom w:w="0" w:type="dxa"/>
            <w:right w:w="108" w:type="dxa"/>
          </w:tblCellMar>
        </w:tblPrEx>
        <w:trPr>
          <w:trHeight w:val="726" w:hRule="exac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kern w:val="0"/>
                <w:sz w:val="24"/>
              </w:rPr>
            </w:pPr>
            <w:r>
              <w:rPr>
                <w:rFonts w:hint="eastAsia" w:ascii="仿宋_GB2312" w:hAnsi="仿宋_GB2312" w:eastAsia="仿宋_GB2312" w:cs="仿宋_GB2312"/>
                <w:kern w:val="0"/>
                <w:sz w:val="28"/>
                <w:szCs w:val="28"/>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2012/6/27</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区城管委</w:t>
            </w:r>
          </w:p>
        </w:tc>
        <w:tc>
          <w:tcPr>
            <w:tcW w:w="73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北京市东城区人民政府关于印发《推进再生资源回收体系建设实施意见》的通知</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东政发〔2012〕20号</w:t>
            </w:r>
          </w:p>
        </w:tc>
      </w:tr>
      <w:tr>
        <w:tblPrEx>
          <w:tblCellMar>
            <w:top w:w="0" w:type="dxa"/>
            <w:left w:w="108" w:type="dxa"/>
            <w:bottom w:w="0" w:type="dxa"/>
            <w:right w:w="108" w:type="dxa"/>
          </w:tblCellMar>
        </w:tblPrEx>
        <w:trPr>
          <w:trHeight w:val="720" w:hRule="exac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kern w:val="0"/>
                <w:sz w:val="24"/>
              </w:rPr>
            </w:pPr>
            <w:r>
              <w:rPr>
                <w:rFonts w:hint="eastAsia" w:ascii="仿宋_GB2312" w:hAnsi="仿宋_GB2312" w:eastAsia="仿宋_GB2312" w:cs="仿宋_GB2312"/>
                <w:kern w:val="0"/>
                <w:sz w:val="28"/>
                <w:szCs w:val="28"/>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2013/1/25</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区退役军人事务局</w:t>
            </w:r>
          </w:p>
        </w:tc>
        <w:tc>
          <w:tcPr>
            <w:tcW w:w="73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北京市东城区人民政府关于进一步加强义务兵优待安置工作有关问题的通知</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东政发〔2013〕3号</w:t>
            </w:r>
          </w:p>
        </w:tc>
      </w:tr>
      <w:tr>
        <w:tblPrEx>
          <w:tblCellMar>
            <w:top w:w="0" w:type="dxa"/>
            <w:left w:w="108" w:type="dxa"/>
            <w:bottom w:w="0" w:type="dxa"/>
            <w:right w:w="108" w:type="dxa"/>
          </w:tblCellMar>
        </w:tblPrEx>
        <w:trPr>
          <w:trHeight w:val="720" w:hRule="exac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2014/7/5</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市规自委东城分局</w:t>
            </w:r>
          </w:p>
        </w:tc>
        <w:tc>
          <w:tcPr>
            <w:tcW w:w="73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北京市东城区人民政府关于印发《东城区旧城平房翻改建标准程序和实施细则（试行）》的通知</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东政发〔2014〕27号</w:t>
            </w:r>
          </w:p>
        </w:tc>
      </w:tr>
      <w:tr>
        <w:tblPrEx>
          <w:tblCellMar>
            <w:top w:w="0" w:type="dxa"/>
            <w:left w:w="108" w:type="dxa"/>
            <w:bottom w:w="0" w:type="dxa"/>
            <w:right w:w="108" w:type="dxa"/>
          </w:tblCellMar>
        </w:tblPrEx>
        <w:trPr>
          <w:trHeight w:val="806" w:hRule="exac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kern w:val="0"/>
                <w:sz w:val="24"/>
              </w:rPr>
            </w:pPr>
            <w:r>
              <w:rPr>
                <w:rFonts w:hint="eastAsia" w:ascii="仿宋_GB2312" w:hAnsi="仿宋_GB2312" w:eastAsia="仿宋_GB2312" w:cs="仿宋_GB2312"/>
                <w:kern w:val="0"/>
                <w:sz w:val="28"/>
                <w:szCs w:val="28"/>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2015/12/1</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区组织部</w:t>
            </w:r>
          </w:p>
        </w:tc>
        <w:tc>
          <w:tcPr>
            <w:tcW w:w="73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北京市东城区人民政府关于印发《东城区人才创新创业引导基金管理办法》的通知</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东政发〔2015〕37号</w:t>
            </w:r>
          </w:p>
        </w:tc>
      </w:tr>
      <w:tr>
        <w:tblPrEx>
          <w:tblCellMar>
            <w:top w:w="0" w:type="dxa"/>
            <w:left w:w="108" w:type="dxa"/>
            <w:bottom w:w="0" w:type="dxa"/>
            <w:right w:w="108" w:type="dxa"/>
          </w:tblCellMar>
        </w:tblPrEx>
        <w:trPr>
          <w:trHeight w:val="806" w:hRule="exac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2018/12/27</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区发改委</w:t>
            </w:r>
          </w:p>
        </w:tc>
        <w:tc>
          <w:tcPr>
            <w:tcW w:w="73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北京市东城区人民政府关于印发《东城区支持金融业发展的若干意见》的通知</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东政发〔2018〕51号</w:t>
            </w:r>
          </w:p>
        </w:tc>
      </w:tr>
      <w:tr>
        <w:tblPrEx>
          <w:tblCellMar>
            <w:top w:w="0" w:type="dxa"/>
            <w:left w:w="108" w:type="dxa"/>
            <w:bottom w:w="0" w:type="dxa"/>
            <w:right w:w="108" w:type="dxa"/>
          </w:tblCellMar>
        </w:tblPrEx>
        <w:trPr>
          <w:trHeight w:val="720" w:hRule="exac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2019/11/22</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区人社局</w:t>
            </w:r>
          </w:p>
        </w:tc>
        <w:tc>
          <w:tcPr>
            <w:tcW w:w="73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北京市东城区人民政府关于印发《关于做好东城区当前和今后一个时期促进就业工作的实施方案》的通知 </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东政发〔2019〕15号</w:t>
            </w:r>
          </w:p>
        </w:tc>
      </w:tr>
      <w:tr>
        <w:tblPrEx>
          <w:tblCellMar>
            <w:top w:w="0" w:type="dxa"/>
            <w:left w:w="108" w:type="dxa"/>
            <w:bottom w:w="0" w:type="dxa"/>
            <w:right w:w="108" w:type="dxa"/>
          </w:tblCellMar>
        </w:tblPrEx>
        <w:trPr>
          <w:trHeight w:val="783" w:hRule="exac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2021/2/19</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区应急管理局</w:t>
            </w:r>
          </w:p>
        </w:tc>
        <w:tc>
          <w:tcPr>
            <w:tcW w:w="73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东城区第一次全国自然灾害综合风险普查总体方案</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东政办发〔2021〕1号</w:t>
            </w:r>
          </w:p>
        </w:tc>
      </w:tr>
      <w:tr>
        <w:tblPrEx>
          <w:tblCellMar>
            <w:top w:w="0" w:type="dxa"/>
            <w:left w:w="108" w:type="dxa"/>
            <w:bottom w:w="0" w:type="dxa"/>
            <w:right w:w="108" w:type="dxa"/>
          </w:tblCellMar>
        </w:tblPrEx>
        <w:trPr>
          <w:trHeight w:val="1136" w:hRule="exac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2021/11/21</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区文旅局</w:t>
            </w:r>
          </w:p>
        </w:tc>
        <w:tc>
          <w:tcPr>
            <w:tcW w:w="73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北京市东城区人民政府关于印发《北京市东城区国家公共文化服务体系示范区创新发展三年行动计划（2021-2023年）》的通知</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东政发〔2021〕11号</w:t>
            </w:r>
          </w:p>
        </w:tc>
      </w:tr>
      <w:tr>
        <w:tblPrEx>
          <w:tblCellMar>
            <w:top w:w="0" w:type="dxa"/>
            <w:left w:w="108" w:type="dxa"/>
            <w:bottom w:w="0" w:type="dxa"/>
            <w:right w:w="108" w:type="dxa"/>
          </w:tblCellMar>
        </w:tblPrEx>
        <w:trPr>
          <w:trHeight w:val="636" w:hRule="exac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kern w:val="0"/>
                <w:sz w:val="28"/>
                <w:szCs w:val="28"/>
              </w:rPr>
            </w:pPr>
            <w:r>
              <w:rPr>
                <w:rFonts w:hint="eastAsia" w:ascii="宋体" w:hAnsi="宋体" w:cs="宋体"/>
                <w:b/>
                <w:bCs/>
                <w:kern w:val="0"/>
                <w:sz w:val="28"/>
                <w:szCs w:val="28"/>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kern w:val="0"/>
                <w:sz w:val="28"/>
                <w:szCs w:val="28"/>
              </w:rPr>
            </w:pPr>
            <w:r>
              <w:rPr>
                <w:rFonts w:hint="eastAsia" w:ascii="宋体" w:hAnsi="宋体" w:cs="宋体"/>
                <w:b/>
                <w:bCs/>
                <w:kern w:val="0"/>
                <w:sz w:val="28"/>
                <w:szCs w:val="28"/>
              </w:rPr>
              <w:t>制定日期</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kern w:val="0"/>
                <w:sz w:val="28"/>
                <w:szCs w:val="28"/>
              </w:rPr>
            </w:pPr>
            <w:r>
              <w:rPr>
                <w:rFonts w:hint="eastAsia" w:ascii="宋体" w:hAnsi="宋体" w:cs="宋体"/>
                <w:b/>
                <w:bCs/>
                <w:kern w:val="0"/>
                <w:sz w:val="28"/>
                <w:szCs w:val="28"/>
              </w:rPr>
              <w:t>责任单位</w:t>
            </w:r>
          </w:p>
        </w:tc>
        <w:tc>
          <w:tcPr>
            <w:tcW w:w="73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kern w:val="0"/>
                <w:sz w:val="28"/>
                <w:szCs w:val="28"/>
              </w:rPr>
            </w:pPr>
            <w:r>
              <w:rPr>
                <w:rFonts w:hint="eastAsia" w:ascii="宋体" w:hAnsi="宋体" w:cs="宋体"/>
                <w:b/>
                <w:bCs/>
                <w:kern w:val="0"/>
                <w:sz w:val="28"/>
                <w:szCs w:val="28"/>
              </w:rPr>
              <w:t>文  件  标  题</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宋体" w:hAnsi="宋体" w:cs="宋体"/>
                <w:b/>
                <w:bCs/>
                <w:kern w:val="0"/>
                <w:sz w:val="28"/>
                <w:szCs w:val="28"/>
              </w:rPr>
            </w:pPr>
            <w:r>
              <w:rPr>
                <w:rFonts w:hint="eastAsia" w:ascii="宋体" w:hAnsi="宋体" w:cs="宋体"/>
                <w:b/>
                <w:bCs/>
                <w:kern w:val="0"/>
                <w:sz w:val="28"/>
                <w:szCs w:val="28"/>
              </w:rPr>
              <w:t>文号</w:t>
            </w:r>
          </w:p>
        </w:tc>
      </w:tr>
      <w:tr>
        <w:tblPrEx>
          <w:tblCellMar>
            <w:top w:w="0" w:type="dxa"/>
            <w:left w:w="108" w:type="dxa"/>
            <w:bottom w:w="0" w:type="dxa"/>
            <w:right w:w="108" w:type="dxa"/>
          </w:tblCellMar>
        </w:tblPrEx>
        <w:trPr>
          <w:trHeight w:val="810" w:hRule="exac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宋体" w:hAnsi="宋体" w:cs="宋体"/>
                <w:kern w:val="0"/>
                <w:sz w:val="28"/>
                <w:szCs w:val="28"/>
              </w:rPr>
              <w:t>10</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2022/4/2</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区生态环境局</w:t>
            </w:r>
          </w:p>
        </w:tc>
        <w:tc>
          <w:tcPr>
            <w:tcW w:w="73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北京市东城区人民政府办公室关于印发《东城区深入打好污染防治攻坚战2022年行动计划》的通知</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东政办发〔2022〕2号</w:t>
            </w:r>
          </w:p>
        </w:tc>
      </w:tr>
      <w:tr>
        <w:tblPrEx>
          <w:tblCellMar>
            <w:top w:w="0" w:type="dxa"/>
            <w:left w:w="108" w:type="dxa"/>
            <w:bottom w:w="0" w:type="dxa"/>
            <w:right w:w="108" w:type="dxa"/>
          </w:tblCellMar>
        </w:tblPrEx>
        <w:trPr>
          <w:trHeight w:val="1075" w:hRule="exac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4"/>
              </w:rPr>
            </w:pPr>
            <w:r>
              <w:rPr>
                <w:rFonts w:hint="eastAsia" w:ascii="仿宋_GB2312" w:hAnsi="仿宋_GB2312" w:eastAsia="仿宋_GB2312" w:cs="仿宋_GB2312"/>
                <w:kern w:val="0"/>
                <w:sz w:val="28"/>
                <w:szCs w:val="28"/>
              </w:rPr>
              <w:t>11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2022/4/27</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区教委</w:t>
            </w:r>
          </w:p>
        </w:tc>
        <w:tc>
          <w:tcPr>
            <w:tcW w:w="73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北京市东城区人民政府办公室转发区教委关于《东城区2022年非本市户籍适龄儿童少年入学审核实施细则》的通知</w:t>
            </w:r>
          </w:p>
          <w:p>
            <w:pPr>
              <w:widowControl/>
              <w:adjustRightInd w:val="0"/>
              <w:snapToGrid w:val="0"/>
              <w:jc w:val="left"/>
              <w:rPr>
                <w:rFonts w:hint="eastAsia" w:ascii="仿宋_GB2312" w:hAnsi="仿宋_GB2312" w:eastAsia="仿宋_GB2312" w:cs="仿宋_GB2312"/>
                <w:kern w:val="0"/>
                <w:sz w:val="28"/>
                <w:szCs w:val="28"/>
              </w:rPr>
            </w:pPr>
          </w:p>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东政办发〔2022〕3号</w:t>
            </w:r>
          </w:p>
        </w:tc>
      </w:tr>
      <w:tr>
        <w:tblPrEx>
          <w:tblCellMar>
            <w:top w:w="0" w:type="dxa"/>
            <w:left w:w="108" w:type="dxa"/>
            <w:bottom w:w="0" w:type="dxa"/>
            <w:right w:w="108" w:type="dxa"/>
          </w:tblCellMar>
        </w:tblPrEx>
        <w:trPr>
          <w:trHeight w:val="1136" w:hRule="exac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2022/4/27</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区教委</w:t>
            </w:r>
          </w:p>
        </w:tc>
        <w:tc>
          <w:tcPr>
            <w:tcW w:w="73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rPr>
              <w:t>北京市东城区人民政府办公室转发区教委关于《东城区2022年本市户籍无房家庭承租人适龄子女入学审核实施细则》的通知</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东政办发〔2022〕4号</w:t>
            </w:r>
          </w:p>
        </w:tc>
      </w:tr>
      <w:tr>
        <w:tblPrEx>
          <w:tblCellMar>
            <w:top w:w="0" w:type="dxa"/>
            <w:left w:w="108" w:type="dxa"/>
            <w:bottom w:w="0" w:type="dxa"/>
            <w:right w:w="108" w:type="dxa"/>
          </w:tblCellMar>
        </w:tblPrEx>
        <w:trPr>
          <w:trHeight w:val="1086" w:hRule="exac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4"/>
              </w:rPr>
            </w:pPr>
            <w:r>
              <w:rPr>
                <w:rFonts w:hint="eastAsia" w:ascii="仿宋_GB2312" w:hAnsi="仿宋_GB2312" w:eastAsia="仿宋_GB2312" w:cs="仿宋_GB2312"/>
                <w:kern w:val="0"/>
                <w:sz w:val="28"/>
                <w:szCs w:val="28"/>
              </w:rPr>
              <w:t>13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2022/6/14</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区发改委</w:t>
            </w:r>
          </w:p>
        </w:tc>
        <w:tc>
          <w:tcPr>
            <w:tcW w:w="73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北京市东城区人民政府关于印发《北京市东城区关于落实〈北京市统筹疫情防控和稳定经济增长的实施方案〉的实施细则》的通知》</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东政发〔2022〕8号</w:t>
            </w:r>
          </w:p>
        </w:tc>
      </w:tr>
      <w:tr>
        <w:tblPrEx>
          <w:tblCellMar>
            <w:top w:w="0" w:type="dxa"/>
            <w:left w:w="108" w:type="dxa"/>
            <w:bottom w:w="0" w:type="dxa"/>
            <w:right w:w="108" w:type="dxa"/>
          </w:tblCellMar>
        </w:tblPrEx>
        <w:trPr>
          <w:trHeight w:val="1086" w:hRule="exac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4"/>
              </w:rPr>
            </w:pPr>
            <w:r>
              <w:rPr>
                <w:rFonts w:hint="eastAsia" w:ascii="仿宋_GB2312" w:hAnsi="仿宋_GB2312" w:eastAsia="仿宋_GB2312" w:cs="仿宋_GB2312"/>
                <w:kern w:val="0"/>
                <w:sz w:val="28"/>
                <w:szCs w:val="28"/>
              </w:rPr>
              <w:t>14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2023/4/26</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区教委</w:t>
            </w:r>
          </w:p>
        </w:tc>
        <w:tc>
          <w:tcPr>
            <w:tcW w:w="73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北京市东城区人民政府办公室转发区教委关于《东城区2023年本市户籍无房家庭承租人适龄子女入学审核实施细则》的通知</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东政办发〔2023〕5号</w:t>
            </w:r>
          </w:p>
        </w:tc>
      </w:tr>
      <w:tr>
        <w:tblPrEx>
          <w:tblCellMar>
            <w:top w:w="0" w:type="dxa"/>
            <w:left w:w="108" w:type="dxa"/>
            <w:bottom w:w="0" w:type="dxa"/>
            <w:right w:w="108" w:type="dxa"/>
          </w:tblCellMar>
        </w:tblPrEx>
        <w:trPr>
          <w:trHeight w:val="1046" w:hRule="exac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kern w:val="0"/>
                <w:sz w:val="24"/>
              </w:rPr>
            </w:pPr>
            <w:r>
              <w:rPr>
                <w:rFonts w:hint="eastAsia" w:ascii="仿宋_GB2312" w:hAnsi="仿宋_GB2312" w:eastAsia="仿宋_GB2312" w:cs="仿宋_GB2312"/>
                <w:kern w:val="0"/>
                <w:sz w:val="28"/>
                <w:szCs w:val="28"/>
              </w:rPr>
              <w:t>15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2023/4/26</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区教委</w:t>
            </w:r>
          </w:p>
        </w:tc>
        <w:tc>
          <w:tcPr>
            <w:tcW w:w="73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北京市东城区人民政府办公室转发区教委关于《东城区2023年非本市户籍适龄儿童少年入学审核实施细则》的通知</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东政办发〔2023〕6号</w:t>
            </w:r>
          </w:p>
        </w:tc>
      </w:tr>
      <w:tr>
        <w:tblPrEx>
          <w:tblCellMar>
            <w:top w:w="0" w:type="dxa"/>
            <w:left w:w="108" w:type="dxa"/>
            <w:bottom w:w="0" w:type="dxa"/>
            <w:right w:w="108" w:type="dxa"/>
          </w:tblCellMar>
        </w:tblPrEx>
        <w:trPr>
          <w:trHeight w:val="1046" w:hRule="exact"/>
          <w:jc w:val="center"/>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2023/10/10</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中关村东城园管委会</w:t>
            </w:r>
          </w:p>
        </w:tc>
        <w:tc>
          <w:tcPr>
            <w:tcW w:w="73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北京市东城区人民政府关于印发《北京市东城区关于促进中关村东城园高质量发展的若干措施（试行）》的通知</w:t>
            </w:r>
          </w:p>
        </w:tc>
        <w:tc>
          <w:tcPr>
            <w:tcW w:w="30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东政发〔2023〕6号</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GFkYTkwNjZjODA3YTU3OGUyNDFjZDZiMjMyMWMifQ=="/>
  </w:docVars>
  <w:rsids>
    <w:rsidRoot w:val="00000000"/>
    <w:rsid w:val="017B65FA"/>
    <w:rsid w:val="01BE5ED5"/>
    <w:rsid w:val="0BAA15ED"/>
    <w:rsid w:val="0E1C2936"/>
    <w:rsid w:val="11280219"/>
    <w:rsid w:val="12FF664C"/>
    <w:rsid w:val="140569FD"/>
    <w:rsid w:val="1BAF5A37"/>
    <w:rsid w:val="343145BF"/>
    <w:rsid w:val="3F17428F"/>
    <w:rsid w:val="426042E3"/>
    <w:rsid w:val="49B31E09"/>
    <w:rsid w:val="4AA509ED"/>
    <w:rsid w:val="4D541496"/>
    <w:rsid w:val="55B27DD9"/>
    <w:rsid w:val="58EE26DB"/>
    <w:rsid w:val="6DBE449A"/>
    <w:rsid w:val="71FF6EA4"/>
    <w:rsid w:val="729C5C2A"/>
    <w:rsid w:val="72D03C09"/>
    <w:rsid w:val="7AD86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黑体" w:asciiTheme="minorAscii" w:hAnsiTheme="minorAscii" w:cstheme="minorBidi"/>
      <w:kern w:val="44"/>
      <w:sz w:val="32"/>
    </w:rPr>
  </w:style>
  <w:style w:type="paragraph" w:styleId="3">
    <w:name w:val="heading 2"/>
    <w:next w:val="1"/>
    <w:link w:val="10"/>
    <w:semiHidden/>
    <w:unhideWhenUsed/>
    <w:qFormat/>
    <w:uiPriority w:val="0"/>
    <w:pPr>
      <w:widowControl/>
      <w:bidi w:val="0"/>
      <w:adjustRightInd w:val="0"/>
      <w:spacing w:line="560" w:lineRule="exact"/>
      <w:ind w:left="0" w:firstLine="1134" w:firstLineChars="0"/>
      <w:jc w:val="left"/>
      <w:outlineLvl w:val="1"/>
    </w:pPr>
    <w:rPr>
      <w:rFonts w:ascii="Arial" w:hAnsi="Arial" w:eastAsia="仿宋_GB2312" w:cstheme="minorBidi"/>
      <w:sz w:val="30"/>
    </w:rPr>
  </w:style>
  <w:style w:type="paragraph" w:styleId="4">
    <w:name w:val="heading 3"/>
    <w:basedOn w:val="1"/>
    <w:next w:val="1"/>
    <w:link w:val="11"/>
    <w:autoRedefine/>
    <w:semiHidden/>
    <w:unhideWhenUsed/>
    <w:qFormat/>
    <w:uiPriority w:val="0"/>
    <w:pPr>
      <w:keepNext/>
      <w:keepLines/>
      <w:widowControl/>
      <w:spacing w:before="260" w:after="260" w:line="416" w:lineRule="auto"/>
      <w:jc w:val="left"/>
      <w:outlineLvl w:val="2"/>
    </w:pPr>
    <w:rPr>
      <w:rFonts w:ascii="Calibri" w:hAnsi="Calibri" w:eastAsia="黑体" w:cs="Times New Roman"/>
      <w:b/>
      <w:bCs/>
      <w:sz w:val="32"/>
      <w:szCs w:val="32"/>
    </w:rPr>
  </w:style>
  <w:style w:type="character" w:default="1" w:styleId="9">
    <w:name w:val="Default Paragraph Font"/>
    <w:semiHidden/>
    <w:unhideWhenUsed/>
    <w:uiPriority w:val="1"/>
  </w:style>
  <w:style w:type="table" w:default="1" w:styleId="8">
    <w:name w:val="Normal Table"/>
    <w:semiHidden/>
    <w:uiPriority w:val="0"/>
    <w:tblPr>
      <w:tblCellMar>
        <w:top w:w="0" w:type="dxa"/>
        <w:left w:w="108" w:type="dxa"/>
        <w:bottom w:w="0" w:type="dxa"/>
        <w:right w:w="108" w:type="dxa"/>
      </w:tblCellMar>
    </w:tblPr>
  </w:style>
  <w:style w:type="paragraph" w:styleId="5">
    <w:name w:val="toc 1"/>
    <w:basedOn w:val="1"/>
    <w:next w:val="1"/>
    <w:autoRedefine/>
    <w:uiPriority w:val="0"/>
    <w:rPr>
      <w:rFonts w:ascii="仿宋_GB2312" w:hAnsi="仿宋_GB2312" w:eastAsia="仿宋_GB2312" w:cs="仿宋_GB2312"/>
      <w:sz w:val="32"/>
      <w:szCs w:val="32"/>
    </w:rPr>
  </w:style>
  <w:style w:type="paragraph" w:styleId="6">
    <w:name w:val="toc 2"/>
    <w:basedOn w:val="1"/>
    <w:next w:val="1"/>
    <w:uiPriority w:val="0"/>
    <w:pPr>
      <w:spacing w:line="560" w:lineRule="exact"/>
      <w:ind w:left="0" w:leftChars="0"/>
    </w:pPr>
    <w:rPr>
      <w:rFonts w:ascii="Times New Roman" w:hAnsi="Times New Roman" w:eastAsia="宋体" w:cs="Times New Roman"/>
      <w:sz w:val="21"/>
    </w:rPr>
  </w:style>
  <w:style w:type="paragraph" w:styleId="7">
    <w:name w:val="Title"/>
    <w:next w:val="1"/>
    <w:qFormat/>
    <w:uiPriority w:val="0"/>
    <w:pPr>
      <w:spacing w:beforeLines="0" w:beforeAutospacing="0" w:afterLines="0" w:afterAutospacing="0" w:line="560" w:lineRule="exact"/>
      <w:jc w:val="left"/>
      <w:outlineLvl w:val="0"/>
    </w:pPr>
    <w:rPr>
      <w:rFonts w:ascii="Arial" w:hAnsi="Arial" w:eastAsia="宋体" w:cstheme="minorBidi"/>
      <w:b/>
      <w:sz w:val="32"/>
    </w:rPr>
  </w:style>
  <w:style w:type="character" w:customStyle="1" w:styleId="10">
    <w:name w:val="标题 2 Char"/>
    <w:link w:val="3"/>
    <w:uiPriority w:val="0"/>
    <w:rPr>
      <w:rFonts w:ascii="Arial" w:hAnsi="Arial" w:eastAsia="仿宋_GB2312"/>
      <w:kern w:val="2"/>
      <w:sz w:val="30"/>
      <w:szCs w:val="24"/>
    </w:rPr>
  </w:style>
  <w:style w:type="character" w:customStyle="1" w:styleId="11">
    <w:name w:val="标题 3 Char"/>
    <w:basedOn w:val="9"/>
    <w:link w:val="4"/>
    <w:autoRedefine/>
    <w:qFormat/>
    <w:uiPriority w:val="0"/>
    <w:rPr>
      <w:rFonts w:ascii="Calibri" w:hAnsi="Calibri" w:eastAsia="黑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2024-06-24T11:19:00Z</dcterms:created>
  <dc:creator>wangq</dc:creator>
  <cp:lastModifiedBy>李元隆</cp:lastModifiedBy>
  <dcterms:modified xsi:type="dcterms:W3CDTF">2025-02-21T07:58:55Z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032A492F74FE4E0D8B16657AE6144134_12</vt:lpwstr>
  </property>
</Properties>
</file>