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spacing w:val="-4"/>
          <w:sz w:val="32"/>
          <w:szCs w:val="32"/>
        </w:rPr>
      </w:pPr>
      <w:r>
        <w:rPr>
          <w:rFonts w:hint="eastAsia" w:ascii="黑体" w:eastAsia="黑体"/>
          <w:spacing w:val="-4"/>
          <w:sz w:val="32"/>
          <w:szCs w:val="32"/>
        </w:rPr>
        <w:t>附件1</w:t>
      </w:r>
    </w:p>
    <w:p>
      <w:pPr>
        <w:spacing w:line="420" w:lineRule="exact"/>
        <w:ind w:firstLine="624" w:firstLineChars="200"/>
        <w:rPr>
          <w:rFonts w:eastAsia="仿宋_GB2312"/>
          <w:spacing w:val="-4"/>
          <w:sz w:val="32"/>
          <w:szCs w:val="32"/>
        </w:rPr>
      </w:pPr>
    </w:p>
    <w:p>
      <w:pPr>
        <w:jc w:val="center"/>
        <w:rPr>
          <w:rFonts w:ascii="方正小标宋简体" w:eastAsia="方正小标宋简体"/>
          <w:sz w:val="44"/>
          <w:szCs w:val="44"/>
        </w:rPr>
      </w:pPr>
      <w:r>
        <w:rPr>
          <w:rFonts w:hint="eastAsia" w:ascii="方正小标宋简体" w:eastAsia="方正小标宋简体" w:cs="方正小标宋简体"/>
          <w:sz w:val="44"/>
          <w:szCs w:val="44"/>
        </w:rPr>
        <w:t>东城区人民政府决定保留的行政规范性文件目录（共45件）</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755"/>
        <w:gridCol w:w="1845"/>
        <w:gridCol w:w="7032"/>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91" w:type="dxa"/>
            <w:noWrap w:val="0"/>
            <w:vAlign w:val="center"/>
          </w:tcPr>
          <w:p>
            <w:pPr>
              <w:widowControl/>
              <w:adjustRightInd w:val="0"/>
              <w:snapToGrid w:val="0"/>
              <w:jc w:val="center"/>
              <w:rPr>
                <w:rFonts w:hint="eastAsia" w:ascii="宋体" w:hAnsi="宋体" w:cs="宋体"/>
                <w:b/>
                <w:bCs/>
                <w:kern w:val="0"/>
                <w:sz w:val="28"/>
                <w:szCs w:val="28"/>
              </w:rPr>
            </w:pPr>
            <w:r>
              <w:rPr>
                <w:rFonts w:hint="eastAsia" w:ascii="宋体" w:hAnsi="宋体" w:cs="宋体"/>
                <w:b/>
                <w:bCs/>
                <w:kern w:val="0"/>
                <w:sz w:val="28"/>
                <w:szCs w:val="28"/>
              </w:rPr>
              <w:t>序号</w:t>
            </w:r>
          </w:p>
        </w:tc>
        <w:tc>
          <w:tcPr>
            <w:tcW w:w="1755" w:type="dxa"/>
            <w:noWrap w:val="0"/>
            <w:vAlign w:val="center"/>
          </w:tcPr>
          <w:p>
            <w:pPr>
              <w:widowControl/>
              <w:adjustRightInd w:val="0"/>
              <w:snapToGrid w:val="0"/>
              <w:jc w:val="center"/>
              <w:rPr>
                <w:rFonts w:hint="eastAsia" w:ascii="宋体" w:hAnsi="宋体" w:cs="宋体"/>
                <w:b/>
                <w:bCs/>
                <w:kern w:val="0"/>
                <w:sz w:val="28"/>
                <w:szCs w:val="28"/>
              </w:rPr>
            </w:pPr>
            <w:r>
              <w:rPr>
                <w:rFonts w:hint="eastAsia" w:ascii="宋体" w:hAnsi="宋体" w:cs="宋体"/>
                <w:b/>
                <w:bCs/>
                <w:kern w:val="0"/>
                <w:sz w:val="28"/>
                <w:szCs w:val="28"/>
              </w:rPr>
              <w:t>制定日期</w:t>
            </w:r>
          </w:p>
        </w:tc>
        <w:tc>
          <w:tcPr>
            <w:tcW w:w="1845" w:type="dxa"/>
            <w:noWrap w:val="0"/>
            <w:vAlign w:val="center"/>
          </w:tcPr>
          <w:p>
            <w:pPr>
              <w:widowControl/>
              <w:adjustRightInd w:val="0"/>
              <w:snapToGrid w:val="0"/>
              <w:jc w:val="center"/>
              <w:rPr>
                <w:rFonts w:hint="eastAsia" w:ascii="宋体" w:hAnsi="宋体" w:cs="宋体"/>
                <w:b/>
                <w:bCs/>
                <w:kern w:val="0"/>
                <w:sz w:val="28"/>
                <w:szCs w:val="28"/>
              </w:rPr>
            </w:pPr>
            <w:r>
              <w:rPr>
                <w:rFonts w:hint="eastAsia" w:ascii="宋体" w:hAnsi="宋体" w:cs="宋体"/>
                <w:b/>
                <w:bCs/>
                <w:kern w:val="0"/>
                <w:sz w:val="28"/>
                <w:szCs w:val="28"/>
              </w:rPr>
              <w:t>责任单位</w:t>
            </w:r>
          </w:p>
        </w:tc>
        <w:tc>
          <w:tcPr>
            <w:tcW w:w="7032" w:type="dxa"/>
            <w:noWrap w:val="0"/>
            <w:vAlign w:val="center"/>
          </w:tcPr>
          <w:p>
            <w:pPr>
              <w:widowControl/>
              <w:adjustRightInd w:val="0"/>
              <w:snapToGrid w:val="0"/>
              <w:jc w:val="center"/>
              <w:rPr>
                <w:rFonts w:hint="eastAsia" w:ascii="宋体" w:hAnsi="宋体" w:cs="宋体"/>
              </w:rPr>
            </w:pPr>
            <w:r>
              <w:rPr>
                <w:rFonts w:hint="eastAsia" w:ascii="宋体" w:hAnsi="宋体" w:cs="宋体"/>
                <w:b/>
                <w:bCs/>
                <w:kern w:val="0"/>
                <w:sz w:val="28"/>
                <w:szCs w:val="28"/>
              </w:rPr>
              <w:t>文  件  标  题</w:t>
            </w:r>
          </w:p>
        </w:tc>
        <w:tc>
          <w:tcPr>
            <w:tcW w:w="3052" w:type="dxa"/>
            <w:noWrap w:val="0"/>
            <w:vAlign w:val="center"/>
          </w:tcPr>
          <w:p>
            <w:pPr>
              <w:widowControl/>
              <w:adjustRightInd w:val="0"/>
              <w:snapToGrid w:val="0"/>
              <w:jc w:val="center"/>
              <w:rPr>
                <w:rFonts w:hint="eastAsia" w:ascii="宋体" w:hAnsi="宋体" w:cs="宋体"/>
                <w:b/>
                <w:bCs/>
                <w:kern w:val="0"/>
                <w:sz w:val="28"/>
                <w:szCs w:val="28"/>
              </w:rPr>
            </w:pPr>
            <w:r>
              <w:rPr>
                <w:rFonts w:hint="eastAsia" w:ascii="宋体" w:hAnsi="宋体" w:cs="宋体"/>
                <w:b/>
                <w:bCs/>
                <w:kern w:val="0"/>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91"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2013/12/25</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区生态环境局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"http://zfxxgk.beijing.gov.cn/11A000/zfwj23/2014-04/30/content_444359.shtml" \o "http://zfxxgk.beijing.gov.cn/11A000/zfwj23/2014-04/30/content_444359.shtml"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北京市东城区人民政府关于印发《东城区声环境区划实施细则》的通知</w:t>
            </w:r>
            <w:r>
              <w:rPr>
                <w:rFonts w:hint="eastAsia" w:ascii="仿宋_GB2312" w:hAnsi="仿宋_GB2312" w:eastAsia="仿宋_GB2312" w:cs="仿宋_GB2312"/>
                <w:kern w:val="0"/>
                <w:sz w:val="28"/>
                <w:szCs w:val="28"/>
              </w:rPr>
              <w:fldChar w:fldCharType="end"/>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东政发〔2013〕50号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891"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2014/3/14</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区发改委</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"http://zfxxgk.beijing.gov.cn/11A000/zfwj23/2014-04/29/content_463146.shtml" \o "http://zfxxgk.beijing.gov.cn/11A000/zfwj23/2014-04/29/content_463146.shtml"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北京市东城区人民政府关于印发《东城区支持鼓励节约能源暂行办法》的通知</w:t>
            </w:r>
            <w:r>
              <w:rPr>
                <w:rFonts w:hint="eastAsia" w:ascii="仿宋_GB2312" w:hAnsi="仿宋_GB2312" w:eastAsia="仿宋_GB2312" w:cs="仿宋_GB2312"/>
                <w:kern w:val="0"/>
                <w:sz w:val="28"/>
                <w:szCs w:val="28"/>
              </w:rPr>
              <w:fldChar w:fldCharType="end"/>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东政发〔2014〕7号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jc w:val="center"/>
        </w:trPr>
        <w:tc>
          <w:tcPr>
            <w:tcW w:w="891"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1755"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2016/5/11</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市规自委东城分局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北京市东城区人民政府关于印发《东城区棚户区改造前期工作及拟改造土地使用权一次性招标工作实施细则》的通知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东政发〔2016〕25号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91" w:type="dxa"/>
            <w:noWrap w:val="0"/>
            <w:vAlign w:val="center"/>
          </w:tcPr>
          <w:p>
            <w:pPr>
              <w:widowControl/>
              <w:adjustRightInd w:val="0"/>
              <w:snapToGrid w:val="0"/>
              <w:jc w:val="center"/>
              <w:rPr>
                <w:rFonts w:hint="eastAsia" w:ascii="仿宋_GB2312" w:hAnsi="宋体" w:eastAsia="仿宋_GB2312"/>
                <w:b/>
                <w:bCs/>
                <w:kern w:val="0"/>
                <w:sz w:val="28"/>
                <w:szCs w:val="28"/>
              </w:rPr>
            </w:pPr>
            <w:r>
              <w:rPr>
                <w:rFonts w:hint="eastAsia" w:ascii="仿宋_GB2312" w:hAnsi="仿宋_GB2312" w:eastAsia="仿宋_GB2312" w:cs="仿宋_GB2312"/>
                <w:kern w:val="0"/>
                <w:sz w:val="28"/>
                <w:szCs w:val="28"/>
              </w:rPr>
              <w:t>4</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2018/10/14</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区房管局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北京市东城区人民政府办公室关于印发《东城区拆迁滞留项目现场管理办法》的通知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东政办发〔2018〕28号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2018/12/3</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中关村东城园管委会</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北京市东城区人民政府关于印发《中关村东城园构建高精尖产业用地管理办法》的通知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东政发〔2018〕45号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exact"/>
          <w:jc w:val="center"/>
        </w:trPr>
        <w:tc>
          <w:tcPr>
            <w:tcW w:w="891"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2018/12/17</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市规自委东城分局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北京市东城区人民政府办公室关于印发《东城区落实北京市工程建设项目审批制度改革试点工作实施意见》的通知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91"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2019/4/23</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区文促中心</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北京市东城区人民政府关于印发《东城区“文菁计划”实施办法》的通知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891"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2019/5/24</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区商务局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北京市东城区人民政府关于印发《东城区落实&lt;全面推进北京市服务业扩大开放综合试点工作方案&gt;实施方案》的通知 </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东政发〔2019〕10号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91"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2019/6/14</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区卫健委</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北京市东城区人民政府办公室关于印发《东城区医耗联动综合改革实施方案》的通知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东政办发〔2019〕12号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宋体" w:hAnsi="宋体" w:cs="宋体"/>
                <w:b/>
                <w:bCs/>
                <w:kern w:val="0"/>
                <w:sz w:val="28"/>
                <w:szCs w:val="28"/>
              </w:rPr>
              <w:t>序号</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宋体" w:hAnsi="宋体" w:cs="宋体"/>
                <w:b/>
                <w:bCs/>
                <w:kern w:val="0"/>
                <w:sz w:val="28"/>
                <w:szCs w:val="28"/>
              </w:rPr>
              <w:t>制定日期</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宋体" w:hAnsi="宋体" w:cs="宋体"/>
                <w:b/>
                <w:bCs/>
                <w:kern w:val="0"/>
                <w:sz w:val="28"/>
                <w:szCs w:val="28"/>
              </w:rPr>
              <w:t>责任单位</w:t>
            </w:r>
          </w:p>
        </w:tc>
        <w:tc>
          <w:tcPr>
            <w:tcW w:w="703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宋体" w:hAnsi="宋体" w:cs="宋体"/>
                <w:b/>
                <w:bCs/>
                <w:kern w:val="0"/>
                <w:sz w:val="28"/>
                <w:szCs w:val="28"/>
              </w:rPr>
              <w:t>文  件  标  题</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宋体" w:hAnsi="宋体" w:cs="宋体"/>
                <w:b/>
                <w:bCs/>
                <w:kern w:val="0"/>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2020/1/13</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区应急管理局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北京市东城区人民政府办公室印发《关于推进城市安全发展的实施方案》的通知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2020/6/11</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区市场监管局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北京市东城区人民政府关于公布清理现行妨碍统一市场和公平竞争政策措施结果的通知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2020/7/7</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区发改委</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北京市东城区人民政府关于废止《东城区产业指导目录（2018年版）》的通知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2020/10/4</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区司法局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北京市东城区人民政府关于公布行政规范性文件清理结果的通知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2020/12/23</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区社工部</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北京市东城区人民政府关于东城区社区调整的通知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2020/12/24</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区发改委</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北京市东城区人民政府办公室关于印发《东城区关于鼓励企业上市挂牌融资的若干措施》（修订版）的通知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2021/3/17</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区文旅局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北京市东城区人民政府办公室转发区文化和旅游局关于《北京市东城区公共文化设施社会化运营指导意见（试行）》的通知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2021/4/26</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区司法局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北京市东城区人民政府关于印发《东城区重大行政决策程序实施细则》的通知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2021/5/27</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区城管委</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北京市东城区人民政府关于东城区区管河湖管理范围划定的公告</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2021/6/4</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区编办</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北京市东城区人民政府办公室关于落实取消和下放一批行政执法职权工作的通知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2021/9/11</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区政府研究室</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北京市东城区人民政府办公室关于印发《北京市东城区人民政府重大行政决策论证专家库管理办法》的通知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2021/9/30</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区司法局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北京市东城区人民政府办公室关于印发《东城区公职律师管理规定（试行）》的通知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891"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宋体" w:hAnsi="宋体" w:cs="宋体"/>
                <w:b/>
                <w:bCs/>
                <w:kern w:val="0"/>
                <w:sz w:val="28"/>
                <w:szCs w:val="28"/>
              </w:rPr>
              <w:t>序号</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宋体" w:hAnsi="宋体" w:cs="宋体"/>
                <w:b/>
                <w:bCs/>
                <w:kern w:val="0"/>
                <w:sz w:val="28"/>
                <w:szCs w:val="28"/>
              </w:rPr>
              <w:t>制定日期</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宋体" w:hAnsi="宋体" w:cs="宋体"/>
                <w:b/>
                <w:bCs/>
                <w:kern w:val="0"/>
                <w:sz w:val="28"/>
                <w:szCs w:val="28"/>
              </w:rPr>
              <w:t>责任单位</w:t>
            </w:r>
          </w:p>
        </w:tc>
        <w:tc>
          <w:tcPr>
            <w:tcW w:w="703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宋体" w:hAnsi="宋体" w:cs="宋体"/>
                <w:b/>
                <w:bCs/>
                <w:kern w:val="0"/>
                <w:sz w:val="28"/>
                <w:szCs w:val="28"/>
              </w:rPr>
              <w:t>文  件  标  题</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宋体" w:hAnsi="宋体" w:cs="宋体"/>
                <w:b/>
                <w:bCs/>
                <w:kern w:val="0"/>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891"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2021/9/30</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区司法局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北京市东城区人民政府办公室关于印发《东城区公司律师管理规定（试行）》的通知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2021/11/18</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区经信局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北京市东城区人民政府关于印发《东城区促进科技和信息产业发展的若干意见》的通知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2021/12/9</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区卫健委</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北京市东城区人民政府办公室关于印发《东城区关于改革完善医疗卫生行业综合监管制度的实施方案》的通知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25</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2022/2/1</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区应急管理局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北京市东城区人民政府关于印发《东城区突发事件总体应急预案（2022年修订）》的通知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26</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2022/2/16</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区发改委</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北京市东城区人民政府北京市地方金融监督管理局关于印发《关于支持建设基础设施领域不动产投资信托基金(REITs)集聚区的若干措施》的通知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27</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2022/3/30</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区发改委</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北京市东城区人民政府关于印发《东城区2022年营商环境改革创新工作实施方案》的通知</w:t>
            </w:r>
          </w:p>
          <w:p>
            <w:pPr>
              <w:widowControl/>
              <w:adjustRightInd w:val="0"/>
              <w:snapToGrid w:val="0"/>
              <w:jc w:val="left"/>
              <w:rPr>
                <w:rFonts w:hint="eastAsia"/>
              </w:rPr>
            </w:pPr>
          </w:p>
          <w:p>
            <w:pPr>
              <w:widowControl/>
              <w:adjustRightInd w:val="0"/>
              <w:snapToGrid w:val="0"/>
              <w:jc w:val="left"/>
              <w:rPr>
                <w:rFonts w:hint="eastAsia" w:ascii="仿宋_GB2312" w:hAnsi="仿宋_GB2312" w:eastAsia="仿宋_GB2312" w:cs="仿宋_GB2312"/>
                <w:kern w:val="0"/>
                <w:sz w:val="28"/>
                <w:szCs w:val="28"/>
              </w:rPr>
            </w:pP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28</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2022/4/4</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区生态环境局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北京市东城区人民政府关于印发《东城区“十四五”时期生态环境保护规划》的通知</w:t>
            </w:r>
          </w:p>
          <w:p>
            <w:pPr>
              <w:widowControl/>
              <w:adjustRightInd w:val="0"/>
              <w:snapToGrid w:val="0"/>
              <w:jc w:val="left"/>
              <w:rPr>
                <w:rFonts w:hint="eastAsia" w:ascii="仿宋_GB2312" w:hAnsi="仿宋_GB2312" w:eastAsia="仿宋_GB2312" w:cs="仿宋_GB2312"/>
                <w:color w:val="0000FF"/>
                <w:kern w:val="0"/>
                <w:sz w:val="28"/>
                <w:szCs w:val="28"/>
              </w:rPr>
            </w:pPr>
          </w:p>
          <w:p>
            <w:pPr>
              <w:widowControl/>
              <w:adjustRightInd w:val="0"/>
              <w:snapToGrid w:val="0"/>
              <w:jc w:val="left"/>
              <w:rPr>
                <w:rFonts w:hint="eastAsia" w:ascii="仿宋_GB2312" w:hAnsi="仿宋_GB2312" w:eastAsia="仿宋_GB2312" w:cs="仿宋_GB2312"/>
                <w:color w:val="0000FF"/>
                <w:kern w:val="0"/>
                <w:sz w:val="28"/>
                <w:szCs w:val="28"/>
              </w:rPr>
            </w:pP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29</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2022/5/17</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区发改委</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北京市东城区人民政府办公室关于印发《北京市东城区关于落实继续加大中小微企业帮扶力度加快困难企业恢复发展的若干措施实施细则》的通知</w:t>
            </w:r>
          </w:p>
          <w:p>
            <w:pPr>
              <w:widowControl/>
              <w:adjustRightInd w:val="0"/>
              <w:snapToGrid w:val="0"/>
              <w:jc w:val="left"/>
              <w:rPr>
                <w:rFonts w:hint="eastAsia" w:ascii="仿宋_GB2312" w:hAnsi="仿宋_GB2312" w:eastAsia="仿宋_GB2312" w:cs="仿宋_GB2312"/>
                <w:color w:val="0000FF"/>
                <w:kern w:val="0"/>
                <w:sz w:val="28"/>
                <w:szCs w:val="28"/>
              </w:rPr>
            </w:pPr>
          </w:p>
          <w:p>
            <w:pPr>
              <w:widowControl/>
              <w:adjustRightInd w:val="0"/>
              <w:snapToGrid w:val="0"/>
              <w:jc w:val="left"/>
              <w:rPr>
                <w:rFonts w:hint="eastAsia" w:ascii="仿宋_GB2312" w:hAnsi="仿宋_GB2312" w:eastAsia="仿宋_GB2312" w:cs="仿宋_GB2312"/>
                <w:color w:val="0000FF"/>
                <w:kern w:val="0"/>
                <w:sz w:val="28"/>
                <w:szCs w:val="28"/>
              </w:rPr>
            </w:pP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2022/6/17</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区司法局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北京市东城区人民政府关于公布行政规范性文件清理结果的通知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891"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31</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2022/6/20</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区经信局</w:t>
            </w:r>
          </w:p>
        </w:tc>
        <w:tc>
          <w:tcPr>
            <w:tcW w:w="7032" w:type="dxa"/>
            <w:noWrap w:val="0"/>
            <w:vAlign w:val="center"/>
          </w:tcPr>
          <w:p>
            <w:pPr>
              <w:widowControl/>
              <w:wordWrap w:val="0"/>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北京市东城区人民政府办公室关于印发《东城区推进数字经济标杆城市建设行动方案（2022-2024年）》的通知</w:t>
            </w:r>
          </w:p>
          <w:p>
            <w:pPr>
              <w:widowControl/>
              <w:wordWrap w:val="0"/>
              <w:adjustRightInd w:val="0"/>
              <w:snapToGrid w:val="0"/>
              <w:jc w:val="left"/>
              <w:rPr>
                <w:rFonts w:hint="eastAsia" w:ascii="仿宋_GB2312" w:hAnsi="仿宋_GB2312" w:eastAsia="仿宋_GB2312" w:cs="仿宋_GB2312"/>
                <w:kern w:val="0"/>
                <w:sz w:val="28"/>
                <w:szCs w:val="28"/>
              </w:rPr>
            </w:pPr>
          </w:p>
          <w:p>
            <w:pPr>
              <w:widowControl/>
              <w:wordWrap w:val="0"/>
              <w:adjustRightInd w:val="0"/>
              <w:snapToGrid w:val="0"/>
              <w:jc w:val="left"/>
              <w:rPr>
                <w:rFonts w:hint="eastAsia" w:ascii="仿宋_GB2312" w:hAnsi="仿宋_GB2312" w:eastAsia="仿宋_GB2312" w:cs="仿宋_GB2312"/>
                <w:color w:val="0000FF"/>
                <w:kern w:val="0"/>
                <w:sz w:val="28"/>
                <w:szCs w:val="28"/>
              </w:rPr>
            </w:pP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91"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2022/7/28</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区房管局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北京市东城区人民政府办公室关于印发《东城区自建房安全专项整治工作方案》的通知</w:t>
            </w:r>
          </w:p>
          <w:p>
            <w:pPr>
              <w:widowControl/>
              <w:adjustRightInd w:val="0"/>
              <w:snapToGrid w:val="0"/>
              <w:jc w:val="left"/>
              <w:rPr>
                <w:rFonts w:hint="eastAsia" w:ascii="仿宋_GB2312" w:hAnsi="仿宋_GB2312" w:eastAsia="仿宋_GB2312" w:cs="仿宋_GB2312"/>
                <w:color w:val="0000FF"/>
                <w:kern w:val="0"/>
                <w:sz w:val="28"/>
                <w:szCs w:val="28"/>
              </w:rPr>
            </w:pPr>
          </w:p>
          <w:p>
            <w:pPr>
              <w:widowControl/>
              <w:adjustRightInd w:val="0"/>
              <w:snapToGrid w:val="0"/>
              <w:jc w:val="left"/>
              <w:rPr>
                <w:rFonts w:hint="eastAsia" w:ascii="仿宋_GB2312" w:hAnsi="仿宋_GB2312" w:eastAsia="仿宋_GB2312" w:cs="仿宋_GB2312"/>
                <w:color w:val="0000FF"/>
                <w:kern w:val="0"/>
                <w:sz w:val="28"/>
                <w:szCs w:val="28"/>
              </w:rPr>
            </w:pP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891"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宋体" w:hAnsi="宋体" w:cs="宋体"/>
                <w:b/>
                <w:bCs/>
                <w:kern w:val="0"/>
                <w:sz w:val="28"/>
                <w:szCs w:val="28"/>
              </w:rPr>
              <w:t>序号</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宋体" w:hAnsi="宋体" w:cs="宋体"/>
                <w:b/>
                <w:bCs/>
                <w:kern w:val="0"/>
                <w:sz w:val="28"/>
                <w:szCs w:val="28"/>
              </w:rPr>
              <w:t>制定日期</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宋体" w:hAnsi="宋体" w:cs="宋体"/>
                <w:b/>
                <w:bCs/>
                <w:kern w:val="0"/>
                <w:sz w:val="28"/>
                <w:szCs w:val="28"/>
              </w:rPr>
              <w:t>责任单位</w:t>
            </w:r>
          </w:p>
        </w:tc>
        <w:tc>
          <w:tcPr>
            <w:tcW w:w="7032" w:type="dxa"/>
            <w:noWrap w:val="0"/>
            <w:vAlign w:val="center"/>
          </w:tcPr>
          <w:p>
            <w:pPr>
              <w:widowControl/>
              <w:adjustRightInd w:val="0"/>
              <w:snapToGrid w:val="0"/>
              <w:jc w:val="center"/>
              <w:rPr>
                <w:rFonts w:hint="eastAsia" w:ascii="仿宋_GB2312" w:hAnsi="仿宋_GB2312" w:eastAsia="仿宋_GB2312" w:cs="仿宋_GB2312"/>
                <w:color w:val="0000FF"/>
                <w:kern w:val="0"/>
                <w:sz w:val="28"/>
                <w:szCs w:val="28"/>
              </w:rPr>
            </w:pPr>
            <w:r>
              <w:rPr>
                <w:rFonts w:hint="eastAsia" w:ascii="宋体" w:hAnsi="宋体" w:cs="宋体"/>
                <w:b/>
                <w:bCs/>
                <w:kern w:val="0"/>
                <w:sz w:val="28"/>
                <w:szCs w:val="28"/>
              </w:rPr>
              <w:t>文  件  标  题</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宋体" w:hAnsi="宋体" w:cs="宋体"/>
                <w:b/>
                <w:bCs/>
                <w:kern w:val="0"/>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891" w:type="dxa"/>
            <w:noWrap w:val="0"/>
            <w:vAlign w:val="center"/>
          </w:tcPr>
          <w:p>
            <w:pPr>
              <w:widowControl/>
              <w:adjustRightInd w:val="0"/>
              <w:snapToGrid w:val="0"/>
              <w:jc w:val="center"/>
              <w:rPr>
                <w:rFonts w:hint="eastAsia" w:ascii="宋体" w:hAnsi="宋体" w:cs="宋体"/>
                <w:b/>
                <w:bCs/>
                <w:kern w:val="0"/>
                <w:sz w:val="28"/>
                <w:szCs w:val="28"/>
              </w:rPr>
            </w:pPr>
            <w:r>
              <w:rPr>
                <w:rFonts w:hint="eastAsia" w:ascii="仿宋_GB2312" w:hAnsi="仿宋_GB2312" w:eastAsia="仿宋_GB2312" w:cs="仿宋_GB2312"/>
                <w:kern w:val="0"/>
                <w:sz w:val="28"/>
                <w:szCs w:val="28"/>
              </w:rPr>
              <w:t>33</w:t>
            </w:r>
          </w:p>
        </w:tc>
        <w:tc>
          <w:tcPr>
            <w:tcW w:w="1755" w:type="dxa"/>
            <w:noWrap w:val="0"/>
            <w:vAlign w:val="center"/>
          </w:tcPr>
          <w:p>
            <w:pPr>
              <w:widowControl/>
              <w:adjustRightInd w:val="0"/>
              <w:snapToGrid w:val="0"/>
              <w:jc w:val="center"/>
              <w:rPr>
                <w:rFonts w:hint="eastAsia" w:ascii="宋体" w:hAnsi="宋体" w:cs="宋体"/>
                <w:b/>
                <w:bCs/>
                <w:kern w:val="0"/>
                <w:sz w:val="28"/>
                <w:szCs w:val="28"/>
              </w:rPr>
            </w:pPr>
            <w:r>
              <w:rPr>
                <w:rFonts w:hint="eastAsia" w:ascii="仿宋_GB2312" w:hAnsi="仿宋_GB2312" w:eastAsia="仿宋_GB2312" w:cs="仿宋_GB2312"/>
                <w:kern w:val="0"/>
                <w:sz w:val="28"/>
                <w:szCs w:val="28"/>
              </w:rPr>
              <w:t>2022/8/10</w:t>
            </w:r>
          </w:p>
        </w:tc>
        <w:tc>
          <w:tcPr>
            <w:tcW w:w="1845" w:type="dxa"/>
            <w:noWrap w:val="0"/>
            <w:vAlign w:val="center"/>
          </w:tcPr>
          <w:p>
            <w:pPr>
              <w:widowControl/>
              <w:adjustRightInd w:val="0"/>
              <w:snapToGrid w:val="0"/>
              <w:jc w:val="center"/>
              <w:rPr>
                <w:rFonts w:hint="eastAsia" w:ascii="宋体" w:hAnsi="宋体" w:cs="宋体"/>
                <w:b/>
                <w:bCs/>
                <w:kern w:val="0"/>
                <w:sz w:val="28"/>
                <w:szCs w:val="28"/>
              </w:rPr>
            </w:pPr>
            <w:r>
              <w:rPr>
                <w:rFonts w:hint="eastAsia" w:ascii="仿宋_GB2312" w:hAnsi="仿宋_GB2312" w:eastAsia="仿宋_GB2312" w:cs="仿宋_GB2312"/>
                <w:kern w:val="0"/>
                <w:sz w:val="28"/>
                <w:szCs w:val="28"/>
              </w:rPr>
              <w:t>市规自委东城分局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北京市东城区人民政府办公室关于印发《东城区平房（院落）保护性修缮和恢复性修建试点项目工作细则（试行）》的通知</w:t>
            </w:r>
          </w:p>
          <w:p>
            <w:pPr>
              <w:widowControl/>
              <w:adjustRightInd w:val="0"/>
              <w:snapToGrid w:val="0"/>
              <w:jc w:val="left"/>
              <w:rPr>
                <w:rFonts w:hint="eastAsia" w:ascii="仿宋_GB2312" w:hAnsi="仿宋_GB2312" w:eastAsia="仿宋_GB2312" w:cs="仿宋_GB2312"/>
                <w:color w:val="0000FF"/>
                <w:kern w:val="0"/>
                <w:sz w:val="28"/>
                <w:szCs w:val="28"/>
              </w:rPr>
            </w:pPr>
          </w:p>
          <w:p>
            <w:pPr>
              <w:widowControl/>
              <w:adjustRightInd w:val="0"/>
              <w:snapToGrid w:val="0"/>
              <w:jc w:val="left"/>
              <w:rPr>
                <w:rFonts w:hint="eastAsia" w:ascii="宋体" w:hAnsi="宋体" w:cs="宋体"/>
                <w:b/>
                <w:bCs/>
                <w:kern w:val="0"/>
                <w:sz w:val="28"/>
                <w:szCs w:val="28"/>
              </w:rPr>
            </w:pPr>
          </w:p>
        </w:tc>
        <w:tc>
          <w:tcPr>
            <w:tcW w:w="3052" w:type="dxa"/>
            <w:noWrap w:val="0"/>
            <w:vAlign w:val="center"/>
          </w:tcPr>
          <w:p>
            <w:pPr>
              <w:widowControl/>
              <w:adjustRightInd w:val="0"/>
              <w:snapToGrid w:val="0"/>
              <w:jc w:val="center"/>
              <w:rPr>
                <w:rFonts w:hint="eastAsia" w:ascii="宋体" w:hAnsi="宋体" w:cs="宋体"/>
                <w:b/>
                <w:bCs/>
                <w:kern w:val="0"/>
                <w:sz w:val="28"/>
                <w:szCs w:val="28"/>
              </w:rPr>
            </w:pPr>
            <w:r>
              <w:rPr>
                <w:rFonts w:hint="eastAsia" w:ascii="仿宋_GB2312" w:hAnsi="仿宋_GB2312" w:eastAsia="仿宋_GB2312" w:cs="仿宋_GB2312"/>
                <w:kern w:val="0"/>
                <w:sz w:val="28"/>
                <w:szCs w:val="28"/>
              </w:rPr>
              <w:t>东政办发〔2022〕10号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34</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2022/9/10</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区市场监管局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北京市东城区人民政府关于东城区禁止设立食品生产加工作坊的决定</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35</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2022/10/18</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区科协</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北京市东城区人民政府办公室关于印发《东城区全民科学素质行动规划纲要实施方案（2021—2025年）》的通知</w:t>
            </w:r>
          </w:p>
          <w:p>
            <w:pPr>
              <w:widowControl/>
              <w:adjustRightInd w:val="0"/>
              <w:snapToGrid w:val="0"/>
              <w:jc w:val="left"/>
              <w:rPr>
                <w:rFonts w:hint="eastAsia" w:ascii="仿宋_GB2312" w:hAnsi="仿宋_GB2312" w:eastAsia="仿宋_GB2312" w:cs="仿宋_GB2312"/>
                <w:kern w:val="0"/>
                <w:sz w:val="28"/>
                <w:szCs w:val="28"/>
              </w:rPr>
            </w:pPr>
          </w:p>
          <w:p>
            <w:pPr>
              <w:widowControl/>
              <w:adjustRightInd w:val="0"/>
              <w:snapToGrid w:val="0"/>
              <w:jc w:val="left"/>
              <w:rPr>
                <w:rFonts w:hint="eastAsia" w:ascii="仿宋_GB2312" w:hAnsi="仿宋_GB2312" w:eastAsia="仿宋_GB2312" w:cs="仿宋_GB2312"/>
                <w:kern w:val="0"/>
                <w:sz w:val="28"/>
                <w:szCs w:val="28"/>
              </w:rPr>
            </w:pP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36</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2022/12/2</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区政务服务局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北京市东城区人民政府办公室关于印发《东城区全面实行行政许可事项清单管理工作实施意见》的通知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37</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2023/4/3</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区政务服务局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北京市东城区人民政府办公室关于印发《东城区实施“一业一证”改革行动方案》的通知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东政办发〔2023〕2号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38</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2023/4/18</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区发改委</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北京市东城区人民政府办公室关于印发《东城区全方位优化营商环境 打造文化创新融合改革示范区工作方案》的通知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39</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2023/4/28</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区生态环境局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北京市东城区人民政府办公室关于印发《东城区深入打好污染防治攻坚战2023年行动计划》的通知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2023/5/29</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区发改委</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北京市东城区人民政府关于印发《东城区碳达峰实施方案》的通知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41</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2023/6/15</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区统计局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北京市东城区人民政府关于开展第五次全国经济普查的通知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宋体" w:hAnsi="宋体" w:cs="宋体"/>
                <w:b/>
                <w:bCs/>
                <w:kern w:val="0"/>
                <w:sz w:val="28"/>
                <w:szCs w:val="28"/>
              </w:rPr>
              <w:t>序号</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宋体" w:hAnsi="宋体" w:cs="宋体"/>
                <w:b/>
                <w:bCs/>
                <w:kern w:val="0"/>
                <w:sz w:val="28"/>
                <w:szCs w:val="28"/>
              </w:rPr>
              <w:t>制定日期</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宋体" w:hAnsi="宋体" w:cs="宋体"/>
                <w:b/>
                <w:bCs/>
                <w:kern w:val="0"/>
                <w:sz w:val="28"/>
                <w:szCs w:val="28"/>
              </w:rPr>
              <w:t>责任单位</w:t>
            </w:r>
          </w:p>
        </w:tc>
        <w:tc>
          <w:tcPr>
            <w:tcW w:w="703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宋体" w:hAnsi="宋体" w:cs="宋体"/>
                <w:b/>
                <w:bCs/>
                <w:kern w:val="0"/>
                <w:sz w:val="28"/>
                <w:szCs w:val="28"/>
              </w:rPr>
              <w:t>文  件  标  题</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宋体" w:hAnsi="宋体" w:cs="宋体"/>
                <w:b/>
                <w:bCs/>
                <w:kern w:val="0"/>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891"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42</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2023/7/26</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区医保局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北京市东城区人民政府办公室关于印发《东城区推进医疗保障基金监管制度体系改革的实施方案》的通知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东政办发〔2023〕10号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43</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2023/12/9</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区生态环境局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北京市东城区人民政府关于印发《东城区空气重污染应急预案（2023年修订）》的通知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44</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2023/12/28</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区社工部</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北京市东城区人民政府关于东城区社区调整的通知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jc w:val="center"/>
        </w:trPr>
        <w:tc>
          <w:tcPr>
            <w:tcW w:w="891" w:type="dxa"/>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45</w:t>
            </w:r>
          </w:p>
        </w:tc>
        <w:tc>
          <w:tcPr>
            <w:tcW w:w="175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2023/12/29</w:t>
            </w:r>
          </w:p>
        </w:tc>
        <w:tc>
          <w:tcPr>
            <w:tcW w:w="1845"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区经信局</w:t>
            </w:r>
          </w:p>
        </w:tc>
        <w:tc>
          <w:tcPr>
            <w:tcW w:w="7032" w:type="dxa"/>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北京市东城区人民政府关于印发《北京市东城区智慧城市建设工作实施方案（2023-2025年）》的通知</w:t>
            </w:r>
          </w:p>
        </w:tc>
        <w:tc>
          <w:tcPr>
            <w:tcW w:w="3052" w:type="dxa"/>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东政发〔2023〕9号</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GFkYTkwNjZjODA3YTU3OGUyNDFjZDZiMjMyMWMifQ=="/>
  </w:docVars>
  <w:rsids>
    <w:rsidRoot w:val="00000000"/>
    <w:rsid w:val="017B65FA"/>
    <w:rsid w:val="01BE5ED5"/>
    <w:rsid w:val="0BAA15ED"/>
    <w:rsid w:val="0E1C2936"/>
    <w:rsid w:val="11280219"/>
    <w:rsid w:val="140569FD"/>
    <w:rsid w:val="1BAF5A37"/>
    <w:rsid w:val="343145BF"/>
    <w:rsid w:val="3F17428F"/>
    <w:rsid w:val="426042E3"/>
    <w:rsid w:val="49B31E09"/>
    <w:rsid w:val="4AA509ED"/>
    <w:rsid w:val="4D541496"/>
    <w:rsid w:val="55B27DD9"/>
    <w:rsid w:val="58EE26DB"/>
    <w:rsid w:val="6DBE449A"/>
    <w:rsid w:val="71FF6EA4"/>
    <w:rsid w:val="729C5C2A"/>
    <w:rsid w:val="72D03C09"/>
    <w:rsid w:val="7AD86CE2"/>
    <w:rsid w:val="7FD51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黑体" w:asciiTheme="minorAscii" w:hAnsiTheme="minorAscii" w:cstheme="minorBidi"/>
      <w:kern w:val="44"/>
      <w:sz w:val="32"/>
    </w:rPr>
  </w:style>
  <w:style w:type="paragraph" w:styleId="3">
    <w:name w:val="heading 2"/>
    <w:next w:val="1"/>
    <w:link w:val="13"/>
    <w:semiHidden/>
    <w:unhideWhenUsed/>
    <w:qFormat/>
    <w:uiPriority w:val="0"/>
    <w:pPr>
      <w:widowControl/>
      <w:bidi w:val="0"/>
      <w:adjustRightInd w:val="0"/>
      <w:spacing w:line="560" w:lineRule="exact"/>
      <w:ind w:left="0" w:firstLine="1134" w:firstLineChars="0"/>
      <w:jc w:val="left"/>
      <w:outlineLvl w:val="1"/>
    </w:pPr>
    <w:rPr>
      <w:rFonts w:ascii="Arial" w:hAnsi="Arial" w:eastAsia="仿宋_GB2312" w:cstheme="minorBidi"/>
      <w:sz w:val="30"/>
    </w:rPr>
  </w:style>
  <w:style w:type="paragraph" w:styleId="4">
    <w:name w:val="heading 3"/>
    <w:basedOn w:val="1"/>
    <w:next w:val="1"/>
    <w:link w:val="14"/>
    <w:semiHidden/>
    <w:unhideWhenUsed/>
    <w:qFormat/>
    <w:uiPriority w:val="0"/>
    <w:pPr>
      <w:keepNext/>
      <w:keepLines/>
      <w:widowControl/>
      <w:spacing w:before="260" w:after="260" w:line="416" w:lineRule="auto"/>
      <w:jc w:val="left"/>
      <w:outlineLvl w:val="2"/>
    </w:pPr>
    <w:rPr>
      <w:rFonts w:ascii="Calibri" w:hAnsi="Calibri" w:eastAsia="黑体" w:cs="Times New Roman"/>
      <w:b/>
      <w:bCs/>
      <w:sz w:val="32"/>
      <w:szCs w:val="32"/>
    </w:rPr>
  </w:style>
  <w:style w:type="character" w:default="1" w:styleId="11">
    <w:name w:val="Default Paragraph Font"/>
    <w:semiHidden/>
    <w:unhideWhenUsed/>
    <w:uiPriority w:val="1"/>
  </w:style>
  <w:style w:type="table" w:default="1" w:styleId="10">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0"/>
    <w:rPr>
      <w:rFonts w:ascii="仿宋_GB2312" w:hAnsi="仿宋_GB2312" w:eastAsia="仿宋_GB2312" w:cs="仿宋_GB2312"/>
      <w:sz w:val="32"/>
      <w:szCs w:val="32"/>
    </w:rPr>
  </w:style>
  <w:style w:type="paragraph" w:styleId="8">
    <w:name w:val="toc 2"/>
    <w:basedOn w:val="1"/>
    <w:next w:val="1"/>
    <w:uiPriority w:val="0"/>
    <w:pPr>
      <w:spacing w:line="560" w:lineRule="exact"/>
      <w:ind w:left="0" w:leftChars="0"/>
    </w:pPr>
    <w:rPr>
      <w:rFonts w:ascii="Times New Roman" w:hAnsi="Times New Roman" w:eastAsia="宋体" w:cs="Times New Roman"/>
      <w:sz w:val="21"/>
    </w:rPr>
  </w:style>
  <w:style w:type="paragraph" w:styleId="9">
    <w:name w:val="Title"/>
    <w:next w:val="1"/>
    <w:qFormat/>
    <w:uiPriority w:val="0"/>
    <w:pPr>
      <w:spacing w:beforeLines="0" w:beforeAutospacing="0" w:afterLines="0" w:afterAutospacing="0" w:line="560" w:lineRule="exact"/>
      <w:jc w:val="left"/>
      <w:outlineLvl w:val="0"/>
    </w:pPr>
    <w:rPr>
      <w:rFonts w:ascii="Arial" w:hAnsi="Arial" w:eastAsia="宋体" w:cstheme="minorBidi"/>
      <w:b/>
      <w:sz w:val="32"/>
    </w:rPr>
  </w:style>
  <w:style w:type="character" w:styleId="12">
    <w:name w:val="page number"/>
    <w:uiPriority w:val="0"/>
  </w:style>
  <w:style w:type="character" w:customStyle="1" w:styleId="13">
    <w:name w:val="标题 2 Char"/>
    <w:link w:val="3"/>
    <w:uiPriority w:val="0"/>
    <w:rPr>
      <w:rFonts w:ascii="Arial" w:hAnsi="Arial" w:eastAsia="仿宋_GB2312"/>
      <w:kern w:val="2"/>
      <w:sz w:val="30"/>
      <w:szCs w:val="24"/>
    </w:rPr>
  </w:style>
  <w:style w:type="character" w:customStyle="1" w:styleId="14">
    <w:name w:val="标题 3 Char"/>
    <w:basedOn w:val="11"/>
    <w:link w:val="4"/>
    <w:qFormat/>
    <w:uiPriority w:val="0"/>
    <w:rPr>
      <w:rFonts w:ascii="Calibri" w:hAnsi="Calibri" w:eastAsia="黑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2024-06-24T11:19:00Z</dcterms:created>
  <dc:creator>wangq</dc:creator>
  <cp:lastModifiedBy>李元隆</cp:lastModifiedBy>
  <dcterms:modified xsi:type="dcterms:W3CDTF">2025-02-21T07:57:11Z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032A492F74FE4E0D8B16657AE6144134_12</vt:lpwstr>
  </property>
</Properties>
</file>