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329" w:rightChars="633"/>
        <w:rPr>
          <w:rFonts w:ascii="黑体" w:eastAsia="黑体"/>
          <w:spacing w:val="-4"/>
          <w:sz w:val="32"/>
          <w:szCs w:val="32"/>
        </w:rPr>
      </w:pPr>
      <w:r>
        <w:rPr>
          <w:rFonts w:hint="eastAsia" w:ascii="黑体" w:eastAsia="黑体"/>
          <w:spacing w:val="-4"/>
          <w:sz w:val="32"/>
          <w:szCs w:val="32"/>
        </w:rPr>
        <w:t>附件1</w:t>
      </w:r>
    </w:p>
    <w:p>
      <w:pPr>
        <w:spacing w:before="156" w:beforeLines="50" w:after="312" w:afterLines="100" w:line="580" w:lineRule="exact"/>
        <w:jc w:val="center"/>
        <w:rPr>
          <w:rFonts w:eastAsia="方正小标宋简体"/>
          <w:sz w:val="44"/>
          <w:szCs w:val="44"/>
        </w:rPr>
      </w:pPr>
      <w:bookmarkStart w:id="0" w:name="_GoBack"/>
      <w:r>
        <w:rPr>
          <w:rFonts w:eastAsia="方正小标宋简体"/>
          <w:sz w:val="44"/>
          <w:szCs w:val="44"/>
        </w:rPr>
        <w:t>东城区政府挂牌督办重大火灾隐患销账</w:t>
      </w:r>
      <w:r>
        <w:rPr>
          <w:rFonts w:hint="eastAsia" w:eastAsia="方正小标宋简体"/>
          <w:sz w:val="44"/>
          <w:szCs w:val="44"/>
        </w:rPr>
        <w:t>登记表</w:t>
      </w:r>
      <w:bookmarkEnd w:id="0"/>
    </w:p>
    <w:tbl>
      <w:tblPr>
        <w:tblStyle w:val="4"/>
        <w:tblW w:w="13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696"/>
        <w:gridCol w:w="1417"/>
        <w:gridCol w:w="1276"/>
        <w:gridCol w:w="2126"/>
        <w:gridCol w:w="5387"/>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sz w:val="24"/>
              </w:rPr>
            </w:pPr>
            <w:r>
              <w:rPr>
                <w:rFonts w:hint="eastAsia" w:ascii="黑体" w:hAnsi="黑体" w:eastAsia="黑体"/>
                <w:sz w:val="24"/>
              </w:rPr>
              <w:t>序号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sz w:val="24"/>
              </w:rPr>
            </w:pPr>
            <w:r>
              <w:rPr>
                <w:rFonts w:hint="eastAsia" w:ascii="黑体" w:hAnsi="黑体" w:eastAsia="黑体"/>
                <w:sz w:val="24"/>
              </w:rPr>
              <w:t>重大隐患</w:t>
            </w:r>
          </w:p>
          <w:p>
            <w:pPr>
              <w:spacing w:line="400" w:lineRule="exact"/>
              <w:jc w:val="center"/>
              <w:rPr>
                <w:rFonts w:hint="eastAsia" w:ascii="黑体" w:hAnsi="黑体" w:eastAsia="黑体"/>
                <w:sz w:val="24"/>
              </w:rPr>
            </w:pPr>
            <w:r>
              <w:rPr>
                <w:rFonts w:hint="eastAsia" w:ascii="黑体" w:hAnsi="黑体" w:eastAsia="黑体"/>
                <w:sz w:val="24"/>
              </w:rPr>
              <w:t>单位（场所）名称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sz w:val="24"/>
              </w:rPr>
            </w:pPr>
            <w:r>
              <w:rPr>
                <w:rFonts w:hint="eastAsia" w:ascii="黑体" w:hAnsi="黑体" w:eastAsia="黑体"/>
                <w:sz w:val="24"/>
              </w:rPr>
              <w:t>单位地址</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sz w:val="24"/>
              </w:rPr>
            </w:pPr>
            <w:r>
              <w:rPr>
                <w:rFonts w:hint="eastAsia" w:ascii="黑体" w:hAnsi="黑体" w:eastAsia="黑体"/>
                <w:sz w:val="24"/>
              </w:rPr>
              <w:t>挂账级别</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sz w:val="24"/>
              </w:rPr>
            </w:pPr>
            <w:r>
              <w:rPr>
                <w:rFonts w:eastAsia="黑体"/>
                <w:color w:val="000000"/>
                <w:sz w:val="24"/>
              </w:rPr>
              <w:t>挂账发文及时间</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sz w:val="24"/>
              </w:rPr>
            </w:pPr>
            <w:r>
              <w:rPr>
                <w:rFonts w:hint="eastAsia" w:ascii="黑体" w:hAnsi="黑体" w:eastAsia="黑体"/>
                <w:sz w:val="24"/>
              </w:rPr>
              <w:t>隐患详情</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hint="eastAsia" w:ascii="黑体" w:hAnsi="黑体" w:eastAsia="黑体"/>
                <w:sz w:val="24"/>
              </w:rPr>
            </w:pPr>
            <w:r>
              <w:rPr>
                <w:rFonts w:eastAsia="黑体"/>
                <w:color w:val="000000"/>
                <w:sz w:val="24"/>
              </w:rPr>
              <w:t>是否整改完毕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7"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jc w:val="center"/>
              <w:textAlignment w:val="center"/>
              <w:rPr>
                <w:color w:val="000000"/>
                <w:sz w:val="24"/>
              </w:rPr>
            </w:pPr>
            <w:r>
              <w:rPr>
                <w:rFonts w:hint="eastAsia"/>
                <w:color w:val="000000"/>
                <w:sz w:val="24"/>
              </w:rPr>
              <w:t>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名敦道B区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东城区广渠家园17、19、20号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区级</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8"/>
              </w:rPr>
            </w:pPr>
            <w:r>
              <w:rPr>
                <w:rFonts w:hint="eastAsia" w:ascii="仿宋_GB2312" w:eastAsia="仿宋_GB2312"/>
                <w:sz w:val="24"/>
                <w:szCs w:val="28"/>
              </w:rPr>
              <w:t>东政办发〔2022〕11号</w:t>
            </w:r>
          </w:p>
          <w:p>
            <w:pPr>
              <w:jc w:val="center"/>
              <w:rPr>
                <w:rFonts w:hint="eastAsia" w:ascii="仿宋_GB2312" w:hAnsi="仿宋" w:eastAsia="仿宋_GB2312"/>
                <w:sz w:val="24"/>
              </w:rPr>
            </w:pPr>
            <w:r>
              <w:rPr>
                <w:rFonts w:hint="eastAsia" w:ascii="仿宋_GB2312" w:eastAsia="仿宋_GB2312"/>
                <w:sz w:val="24"/>
                <w:szCs w:val="28"/>
              </w:rPr>
              <w:t>2022.8.16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eastAsia="仿宋_GB2312"/>
                <w:spacing w:val="-6"/>
                <w:sz w:val="24"/>
              </w:rPr>
            </w:pPr>
            <w:r>
              <w:rPr>
                <w:rFonts w:hint="eastAsia" w:ascii="仿宋_GB2312" w:eastAsia="仿宋_GB2312"/>
                <w:spacing w:val="-6"/>
                <w:sz w:val="24"/>
              </w:rPr>
              <w:t>1.火灾自动报警系统联动主机设备瘫痪，无法正常联动工作；</w:t>
            </w:r>
          </w:p>
          <w:p>
            <w:pPr>
              <w:spacing w:line="360" w:lineRule="exact"/>
              <w:rPr>
                <w:rFonts w:ascii="仿宋_GB2312" w:eastAsia="仿宋_GB2312"/>
                <w:spacing w:val="-6"/>
                <w:sz w:val="24"/>
              </w:rPr>
            </w:pPr>
            <w:r>
              <w:rPr>
                <w:rFonts w:hint="eastAsia" w:ascii="仿宋_GB2312" w:eastAsia="仿宋_GB2312"/>
                <w:spacing w:val="-6"/>
                <w:sz w:val="24"/>
              </w:rPr>
              <w:t>2.防烟排烟系统风机、烟道、防火阀及电气控制柜损坏，无法正常使用；</w:t>
            </w:r>
          </w:p>
          <w:p>
            <w:pPr>
              <w:spacing w:line="360" w:lineRule="exact"/>
              <w:rPr>
                <w:rFonts w:ascii="仿宋_GB2312" w:eastAsia="仿宋_GB2312"/>
                <w:spacing w:val="-6"/>
                <w:sz w:val="24"/>
              </w:rPr>
            </w:pPr>
            <w:r>
              <w:rPr>
                <w:rFonts w:hint="eastAsia" w:ascii="仿宋_GB2312" w:eastAsia="仿宋_GB2312"/>
                <w:spacing w:val="-6"/>
                <w:sz w:val="24"/>
              </w:rPr>
              <w:t>3.地下室消火栓管道损坏，无法正常供水；</w:t>
            </w:r>
          </w:p>
          <w:p>
            <w:pPr>
              <w:spacing w:line="360" w:lineRule="exact"/>
              <w:rPr>
                <w:rFonts w:ascii="仿宋_GB2312" w:eastAsia="仿宋_GB2312"/>
                <w:spacing w:val="-6"/>
                <w:sz w:val="24"/>
              </w:rPr>
            </w:pPr>
            <w:r>
              <w:rPr>
                <w:rFonts w:hint="eastAsia" w:ascii="仿宋_GB2312" w:eastAsia="仿宋_GB2312"/>
                <w:spacing w:val="-6"/>
                <w:sz w:val="24"/>
              </w:rPr>
              <w:t>4.消防泵、喷淋泵及巡检、稳压泵控制柜内开关、接触器、控制线路及控制电路板老化损坏无法正常工作；</w:t>
            </w:r>
          </w:p>
          <w:p>
            <w:pPr>
              <w:spacing w:line="360" w:lineRule="exact"/>
              <w:rPr>
                <w:rFonts w:ascii="仿宋_GB2312" w:eastAsia="仿宋_GB2312"/>
                <w:spacing w:val="-6"/>
                <w:sz w:val="24"/>
              </w:rPr>
            </w:pPr>
            <w:r>
              <w:rPr>
                <w:rFonts w:hint="eastAsia" w:ascii="仿宋_GB2312" w:eastAsia="仿宋_GB2312"/>
                <w:spacing w:val="-6"/>
                <w:sz w:val="24"/>
              </w:rPr>
              <w:t>5.室内消火栓水带、卷盘、开关阀门损坏无法正常使用；</w:t>
            </w:r>
          </w:p>
          <w:p>
            <w:pPr>
              <w:spacing w:line="360" w:lineRule="exact"/>
              <w:rPr>
                <w:rFonts w:ascii="仿宋_GB2312" w:eastAsia="仿宋_GB2312"/>
                <w:spacing w:val="-6"/>
                <w:sz w:val="24"/>
              </w:rPr>
            </w:pPr>
            <w:r>
              <w:rPr>
                <w:rFonts w:hint="eastAsia" w:ascii="仿宋_GB2312" w:eastAsia="仿宋_GB2312"/>
                <w:spacing w:val="-6"/>
                <w:sz w:val="24"/>
              </w:rPr>
              <w:t>6.地下喷淋预作用系统损坏无法正常使用；</w:t>
            </w:r>
          </w:p>
          <w:p>
            <w:pPr>
              <w:spacing w:line="360" w:lineRule="exact"/>
              <w:rPr>
                <w:rFonts w:ascii="仿宋_GB2312" w:eastAsia="仿宋_GB2312"/>
                <w:spacing w:val="-6"/>
                <w:sz w:val="24"/>
              </w:rPr>
            </w:pPr>
            <w:r>
              <w:rPr>
                <w:rFonts w:hint="eastAsia" w:ascii="仿宋_GB2312" w:eastAsia="仿宋_GB2312"/>
                <w:spacing w:val="-6"/>
                <w:sz w:val="24"/>
              </w:rPr>
              <w:t>7.防火门、防火卷帘等防火分隔设施损坏的数量已大于该防火分区相应防火分隔设施总数的50%；</w:t>
            </w:r>
          </w:p>
          <w:p>
            <w:pPr>
              <w:jc w:val="left"/>
              <w:rPr>
                <w:rFonts w:ascii="仿宋_GB2312" w:eastAsia="仿宋_GB2312"/>
                <w:spacing w:val="-12"/>
                <w:sz w:val="24"/>
              </w:rPr>
            </w:pPr>
            <w:r>
              <w:rPr>
                <w:rFonts w:hint="eastAsia" w:ascii="仿宋_GB2312" w:eastAsia="仿宋_GB2312"/>
                <w:spacing w:val="-12"/>
                <w:sz w:val="24"/>
              </w:rPr>
              <w:t>8.消防广播和消防电话线路损坏无法正常工作。</w:t>
            </w:r>
          </w:p>
          <w:p>
            <w:pPr>
              <w:jc w:val="left"/>
              <w:rPr>
                <w:rFonts w:hint="eastAsia" w:ascii="仿宋_GB2312" w:hAnsi="仿宋" w:eastAsia="仿宋_GB2312"/>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sz w:val="24"/>
              </w:rPr>
            </w:pPr>
            <w:r>
              <w:rPr>
                <w:rFonts w:hint="eastAsia" w:ascii="仿宋_GB2312" w:hAnsi="仿宋" w:eastAsia="仿宋_GB2312"/>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jc w:val="center"/>
              <w:textAlignment w:val="center"/>
              <w:rPr>
                <w:rFonts w:hint="eastAsia"/>
                <w:color w:val="000000"/>
                <w:sz w:val="24"/>
              </w:rPr>
            </w:pPr>
            <w:r>
              <w:rPr>
                <w:rFonts w:hint="eastAsia"/>
                <w:color w:val="000000"/>
                <w:sz w:val="24"/>
              </w:rPr>
              <w:t>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北京恒基中心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东城区建国门内大街18号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区级</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8"/>
              </w:rPr>
            </w:pPr>
            <w:r>
              <w:rPr>
                <w:rFonts w:hint="eastAsia" w:ascii="仿宋_GB2312" w:eastAsia="仿宋_GB2312"/>
                <w:sz w:val="24"/>
                <w:szCs w:val="28"/>
              </w:rPr>
              <w:t>东政办发〔2022〕11号</w:t>
            </w:r>
          </w:p>
          <w:p>
            <w:pPr>
              <w:jc w:val="center"/>
              <w:rPr>
                <w:rFonts w:ascii="仿宋_GB2312" w:eastAsia="仿宋_GB2312"/>
                <w:sz w:val="24"/>
                <w:szCs w:val="28"/>
                <w:highlight w:val="yellow"/>
              </w:rPr>
            </w:pPr>
            <w:r>
              <w:rPr>
                <w:rFonts w:hint="eastAsia" w:ascii="仿宋_GB2312" w:eastAsia="仿宋_GB2312"/>
                <w:sz w:val="24"/>
                <w:szCs w:val="28"/>
              </w:rPr>
              <w:t>2022.8.16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 w:eastAsia="仿宋_GB2312"/>
                <w:sz w:val="24"/>
              </w:rPr>
            </w:pPr>
            <w:r>
              <w:rPr>
                <w:rFonts w:hint="eastAsia" w:ascii="仿宋_GB2312" w:hAnsi="仿宋" w:eastAsia="仿宋_GB2312"/>
                <w:sz w:val="24"/>
              </w:rPr>
              <w:t xml:space="preserve">1、防火卷帘损坏的数量大于该防火分区相应防火分隔设施总数的50%； </w:t>
            </w:r>
          </w:p>
          <w:p>
            <w:pPr>
              <w:jc w:val="left"/>
              <w:rPr>
                <w:rFonts w:hint="eastAsia" w:ascii="仿宋_GB2312" w:hAnsi="仿宋" w:eastAsia="仿宋_GB2312"/>
                <w:sz w:val="24"/>
              </w:rPr>
            </w:pPr>
            <w:r>
              <w:rPr>
                <w:rFonts w:hint="eastAsia" w:ascii="仿宋_GB2312" w:hAnsi="仿宋" w:eastAsia="仿宋_GB2312"/>
                <w:sz w:val="24"/>
              </w:rPr>
              <w:t>2、27层设备间未按国家工程建设消防技术标准设置火灾自动喷水灭火系统；</w:t>
            </w:r>
          </w:p>
          <w:p>
            <w:pPr>
              <w:jc w:val="left"/>
              <w:rPr>
                <w:rFonts w:hint="eastAsia" w:ascii="仿宋_GB2312" w:hAnsi="仿宋" w:eastAsia="仿宋_GB2312"/>
                <w:sz w:val="24"/>
              </w:rPr>
            </w:pPr>
            <w:r>
              <w:rPr>
                <w:rFonts w:hint="eastAsia" w:ascii="仿宋_GB2312" w:hAnsi="仿宋" w:eastAsia="仿宋_GB2312"/>
                <w:sz w:val="24"/>
              </w:rPr>
              <w:t>3、防烟、排烟设施无法正常运行；</w:t>
            </w:r>
          </w:p>
          <w:p>
            <w:pPr>
              <w:jc w:val="left"/>
              <w:rPr>
                <w:rFonts w:hint="eastAsia" w:ascii="仿宋_GB2312" w:hAnsi="仿宋" w:eastAsia="仿宋_GB2312"/>
                <w:sz w:val="24"/>
              </w:rPr>
            </w:pPr>
            <w:r>
              <w:rPr>
                <w:rFonts w:hint="eastAsia" w:ascii="仿宋_GB2312" w:hAnsi="仿宋" w:eastAsia="仿宋_GB2312"/>
                <w:sz w:val="24"/>
              </w:rPr>
              <w:t>4、消防控制室、防烟和排烟风机房的消防用电设备供电，未按国家工程建设消防技术标准的规定在其配电线路的最末一级配电箱处设置自动切换装置；</w:t>
            </w:r>
          </w:p>
          <w:p>
            <w:pPr>
              <w:spacing w:line="360" w:lineRule="exact"/>
              <w:rPr>
                <w:rFonts w:ascii="仿宋_GB2312" w:eastAsia="仿宋_GB2312"/>
                <w:spacing w:val="-6"/>
                <w:sz w:val="24"/>
              </w:rPr>
            </w:pPr>
            <w:r>
              <w:rPr>
                <w:rFonts w:hint="eastAsia" w:ascii="仿宋_GB2312" w:hAnsi="仿宋" w:eastAsia="仿宋_GB2312"/>
                <w:sz w:val="24"/>
              </w:rPr>
              <w:t>5、火灾自动报警系统无法正常运行。</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sz w:val="24"/>
              </w:rPr>
            </w:pPr>
            <w:r>
              <w:rPr>
                <w:rFonts w:hint="eastAsia" w:ascii="仿宋_GB2312" w:hAnsi="仿宋" w:eastAsia="仿宋_GB2312"/>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3"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jc w:val="center"/>
              <w:textAlignment w:val="center"/>
              <w:rPr>
                <w:rFonts w:hint="eastAsia"/>
                <w:color w:val="000000"/>
                <w:sz w:val="24"/>
              </w:rPr>
            </w:pPr>
            <w:r>
              <w:rPr>
                <w:rFonts w:hint="eastAsia"/>
                <w:color w:val="000000"/>
                <w:sz w:val="24"/>
              </w:rPr>
              <w:t>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北京天鸿宝地物业管理经营有限公司</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北京市东城区东花市北里西区6号楼、7号楼</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区级</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8"/>
              </w:rPr>
            </w:pPr>
            <w:r>
              <w:rPr>
                <w:rFonts w:hint="eastAsia" w:ascii="仿宋_GB2312" w:eastAsia="仿宋_GB2312"/>
                <w:sz w:val="24"/>
                <w:szCs w:val="28"/>
              </w:rPr>
              <w:t>东政办发〔2022〕11号</w:t>
            </w:r>
          </w:p>
          <w:p>
            <w:pPr>
              <w:jc w:val="center"/>
              <w:rPr>
                <w:rFonts w:ascii="仿宋_GB2312" w:eastAsia="仿宋_GB2312"/>
                <w:sz w:val="24"/>
                <w:szCs w:val="28"/>
                <w:highlight w:val="yellow"/>
              </w:rPr>
            </w:pPr>
            <w:r>
              <w:rPr>
                <w:rFonts w:hint="eastAsia" w:ascii="仿宋_GB2312" w:eastAsia="仿宋_GB2312"/>
                <w:sz w:val="24"/>
                <w:szCs w:val="28"/>
              </w:rPr>
              <w:t>2022.8.16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 w:eastAsia="仿宋_GB2312"/>
                <w:sz w:val="24"/>
              </w:rPr>
            </w:pPr>
            <w:r>
              <w:rPr>
                <w:rFonts w:hint="eastAsia" w:ascii="仿宋_GB2312" w:eastAsia="仿宋_GB2312"/>
                <w:spacing w:val="-6"/>
                <w:sz w:val="24"/>
              </w:rPr>
              <w:t>居民在公共疏散通道内打隔断墙，加装防盗门，或给防火门加装防盗锁，并在通道内设置厨房、卧室，占用、堵塞、封闭疏散通道。</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sz w:val="24"/>
              </w:rPr>
            </w:pPr>
            <w:r>
              <w:rPr>
                <w:rFonts w:hint="eastAsia" w:ascii="仿宋_GB2312" w:hAnsi="仿宋" w:eastAsia="仿宋_GB2312"/>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exact"/>
              <w:jc w:val="center"/>
              <w:textAlignment w:val="center"/>
              <w:rPr>
                <w:rFonts w:hint="eastAsia"/>
                <w:color w:val="000000"/>
                <w:sz w:val="24"/>
              </w:rPr>
            </w:pPr>
            <w:r>
              <w:rPr>
                <w:rFonts w:hint="eastAsia"/>
                <w:color w:val="000000"/>
                <w:sz w:val="24"/>
              </w:rPr>
              <w:t>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北京东方容和物业管理有限公司东四项目部（东四危改小区）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pacing w:val="-6"/>
                <w:sz w:val="24"/>
              </w:rPr>
            </w:pPr>
            <w:r>
              <w:rPr>
                <w:rFonts w:hint="eastAsia" w:ascii="仿宋_GB2312" w:eastAsia="仿宋_GB2312"/>
                <w:spacing w:val="-6"/>
                <w:sz w:val="24"/>
              </w:rPr>
              <w:t>东城区豆瓣胡同2号楼</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区级</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8"/>
              </w:rPr>
            </w:pPr>
            <w:r>
              <w:rPr>
                <w:rFonts w:hint="eastAsia" w:ascii="仿宋_GB2312" w:eastAsia="仿宋_GB2312"/>
                <w:sz w:val="24"/>
                <w:szCs w:val="28"/>
              </w:rPr>
              <w:t>东政办发〔2022〕11号</w:t>
            </w:r>
          </w:p>
          <w:p>
            <w:pPr>
              <w:jc w:val="center"/>
              <w:rPr>
                <w:rFonts w:ascii="仿宋_GB2312" w:eastAsia="仿宋_GB2312"/>
                <w:sz w:val="24"/>
                <w:szCs w:val="28"/>
                <w:highlight w:val="yellow"/>
              </w:rPr>
            </w:pPr>
            <w:r>
              <w:rPr>
                <w:rFonts w:hint="eastAsia" w:ascii="仿宋_GB2312" w:eastAsia="仿宋_GB2312"/>
                <w:sz w:val="24"/>
                <w:szCs w:val="28"/>
              </w:rPr>
              <w:t>2022.8.16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ascii="仿宋_GB2312" w:eastAsia="仿宋_GB2312"/>
                <w:spacing w:val="-8"/>
                <w:sz w:val="24"/>
              </w:rPr>
            </w:pPr>
            <w:r>
              <w:rPr>
                <w:rFonts w:hint="eastAsia" w:ascii="仿宋_GB2312" w:eastAsia="仿宋_GB2312"/>
                <w:spacing w:val="-8"/>
                <w:sz w:val="24"/>
              </w:rPr>
              <w:t>1.火灾自动报警系统瘫痪；</w:t>
            </w:r>
          </w:p>
          <w:p>
            <w:pPr>
              <w:jc w:val="left"/>
              <w:rPr>
                <w:rFonts w:ascii="仿宋_GB2312" w:eastAsia="仿宋_GB2312"/>
                <w:spacing w:val="-6"/>
                <w:sz w:val="24"/>
              </w:rPr>
            </w:pPr>
            <w:r>
              <w:rPr>
                <w:rFonts w:hint="eastAsia" w:ascii="仿宋_GB2312" w:eastAsia="仿宋_GB2312"/>
                <w:spacing w:val="-8"/>
                <w:sz w:val="24"/>
              </w:rPr>
              <w:t>2.自动喷水灭火系统、防排烟系统、消火栓系统不能联动控制，中控室无法远程启动。</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 w:eastAsia="仿宋_GB2312"/>
                <w:sz w:val="24"/>
              </w:rPr>
            </w:pPr>
            <w:r>
              <w:rPr>
                <w:rFonts w:hint="eastAsia" w:ascii="仿宋_GB2312" w:hAnsi="仿宋" w:eastAsia="仿宋_GB2312"/>
                <w:sz w:val="24"/>
              </w:rPr>
              <w:t>是</w:t>
            </w:r>
          </w:p>
        </w:tc>
      </w:tr>
    </w:tbl>
    <w:p>
      <w:pPr>
        <w:rPr>
          <w:rFonts w:hint="eastAsia" w:ascii="黑体" w:hAnsi="黑体" w:eastAsia="黑体"/>
        </w:rPr>
      </w:pPr>
    </w:p>
    <w:p>
      <w:pPr>
        <w:rPr>
          <w:rFonts w:hint="eastAsia" w:ascii="黑体" w:hAnsi="黑体" w:eastAsia="黑体"/>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3E422FDF"/>
    <w:rsid w:val="3E42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2024-12-20T08:50:00Z</dcterms:created>
  <dc:creator>名字不重要</dc:creator>
  <cp:lastModifiedBy>名字不重要</cp:lastModifiedBy>
  <dcterms:modified xsi:type="dcterms:W3CDTF">2024-12-20T08:50:40Z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4C98028CC1E8498F9619F275FFDACDF9_11</vt:lpwstr>
  </property>
</Properties>
</file>