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 w:line="560" w:lineRule="exact"/>
        <w:jc w:val="left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spacing w:before="312" w:beforeLines="100" w:after="312" w:afterLines="100" w:line="56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东城区水污染防治2023年行动计划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894"/>
        <w:gridCol w:w="6478"/>
        <w:gridCol w:w="1433"/>
        <w:gridCol w:w="1920"/>
        <w:gridCol w:w="15"/>
        <w:gridCol w:w="23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序号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重点任务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工作措施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完成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时限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 w:cs="黑体"/>
                <w:kern w:val="0"/>
                <w:sz w:val="28"/>
                <w:szCs w:val="28"/>
              </w:rPr>
              <w:t>牵头部门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 w:cs="黑体"/>
                <w:kern w:val="0"/>
                <w:sz w:val="28"/>
                <w:szCs w:val="28"/>
              </w:rPr>
              <w:t>协办单位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1399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一、水环境质量目标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4" w:hRule="atLeast"/>
          <w:jc w:val="center"/>
        </w:trPr>
        <w:tc>
          <w:tcPr>
            <w:tcW w:w="91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1</w:t>
            </w:r>
          </w:p>
        </w:tc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目标任务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全区水生态环境质量稳中向好。地表水市考断面南护城河东便门、筒子河文化宫、北护城河东直门桥达到Ⅲ类水质，龙潭东湖达到Ⅳ类水质。饮用水水源地水质保持稳定达标。地下水水质总体保持稳定。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区园林绿化局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区财政局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规自分局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8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加快实施</w:t>
            </w:r>
            <w:r>
              <w:rPr>
                <w:rFonts w:eastAsia="仿宋_GB2312"/>
                <w:sz w:val="28"/>
                <w:szCs w:val="28"/>
              </w:rPr>
              <w:t>玉河北段周边环境整治项目</w:t>
            </w:r>
            <w:r>
              <w:rPr>
                <w:rFonts w:hint="eastAsia" w:eastAsia="仿宋_GB2312"/>
                <w:sz w:val="28"/>
                <w:szCs w:val="28"/>
              </w:rPr>
              <w:t>，改善河道水质。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交道口街道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区发改委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区财政局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07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加快南馆公园湖水水质改善项目运行调试，年底前达到Ⅳ类目标水质。巩固龙潭公园湖等五湖水质改善项目效果，保障湖水全面达标。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区园林绿化局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区财政局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3" w:hRule="atLeast"/>
          <w:jc w:val="center"/>
        </w:trPr>
        <w:tc>
          <w:tcPr>
            <w:tcW w:w="1399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二、水资源保护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8" w:hRule="atLeast"/>
          <w:jc w:val="center"/>
        </w:trPr>
        <w:tc>
          <w:tcPr>
            <w:tcW w:w="91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2</w:t>
            </w:r>
          </w:p>
        </w:tc>
        <w:tc>
          <w:tcPr>
            <w:tcW w:w="89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加强饮用水保护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加强水源保护巡查，确保水源井周边30米范围内无污水、无垃圾、无厕所、无养殖粪污等污染源。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和平里街道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市自来水集团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96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开展水源地专项执法和日常监管，加强“三监联动”，动态清理整治水源保护区内影响水源安全的排污口、垃圾堆放等环境问题，因地制宜完善水源保护区（水源井）封闭隔离设施和标志标识牌。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和平里街道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市自来水集团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3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定期向社会公开城镇集中式生活饮用水安全状况信息。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区卫健委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91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3</w:t>
            </w:r>
          </w:p>
        </w:tc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加强地下水保护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全区落实辖区地下水水质保持方案，确保地下水质保持稳定。对辖区地下水污染风险监控点开展丰、枯水期监测。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3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推进地下水超采治理，配合市级部门制定北京市新三年地下水超采治理行动方案，促进北京市地下水涵养和保护。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5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配合北京市完成地下水风险源信息调查。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91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4</w:t>
            </w:r>
          </w:p>
        </w:tc>
        <w:tc>
          <w:tcPr>
            <w:tcW w:w="89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节水型社会创建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持续推进节水型社会建设，严格控制用水总量，万元GDP用水量比2022年下降1%左右。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6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进一步加强用水总量管控，提高用水效率。结合本区用水实际情况，将用水总量进一步分解下达至各街道（地区），并细化管控措施。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1399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三、水环境治理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3" w:hRule="atLeast"/>
          <w:jc w:val="center"/>
        </w:trPr>
        <w:tc>
          <w:tcPr>
            <w:tcW w:w="91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5</w:t>
            </w:r>
          </w:p>
        </w:tc>
        <w:tc>
          <w:tcPr>
            <w:tcW w:w="89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强化生活污染治理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实施第四个城市水环境治理三年行动方案，结合城市更新推进雨污分流，强化再生水配置利用能力，2023年持续推进园林绿地再生水替代工程。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区园林绿化局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区发改委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规自分局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6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加大雨污混接错接巡查整治力度，督促相关单位对新发现的错接混接点位及时处置，实现动态清零，积极推进中心城区合流溢流口治理。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市排水集团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4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汛期雨水面源污染和溢流污染防治，持续开展“清管行动”“清四乱行动”，聚焦汛期水质波动明显的北护城河、南护城河等河流，提前对雨水管涵、雨污合流管涵、雨水口（雨箅子）等进行全面清掏并加大巡查、清理力度。主汛期开展雨后入河排口排污检查，加强对重点断面的监测和溯源排查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9月底前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市排水集团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5" w:hRule="atLeast"/>
          <w:jc w:val="center"/>
        </w:trPr>
        <w:tc>
          <w:tcPr>
            <w:tcW w:w="91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6</w:t>
            </w:r>
          </w:p>
        </w:tc>
        <w:tc>
          <w:tcPr>
            <w:tcW w:w="89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加强医疗机构污水监管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加强医疗机构监管，定期检查医疗机构污水处理设施建设和运行管理情况，加强排污许可管理，确保污水处理设施和消毒设施配置齐全，运转正常。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区卫健委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5" w:hRule="atLeast"/>
          <w:jc w:val="center"/>
        </w:trPr>
        <w:tc>
          <w:tcPr>
            <w:tcW w:w="91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7</w:t>
            </w:r>
          </w:p>
        </w:tc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加强工业污染防治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加大工业污染防治力度，工业企业污水达标排放，污水管网实现全覆盖、全收集。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区科信局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6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开展排污许可证单位执行报告提交率审核。开展排污许可证执行报告、排污许可证和排污登记表质量审核，审核数量不少于总数的20%。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6" w:hRule="atLeast"/>
          <w:jc w:val="center"/>
        </w:trPr>
        <w:tc>
          <w:tcPr>
            <w:tcW w:w="91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8</w:t>
            </w:r>
          </w:p>
        </w:tc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加强入河排污口监管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严格新建、改建、扩建入河排污口设置管理，按照分级审批权限做好设置审批。持续开展排查溯源和数据更新，实现排污口排查整治、设置审核备案、日常监督管理等信息互通，建立动态管理台账。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0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推进入河排口精细化管理，加强水质在线监管平台的应用，对水质异常的排口快速查找原因，及时组织整治。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相关街道（地区）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市排水集团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4" w:hRule="atLeast"/>
          <w:jc w:val="center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60" w:lineRule="exact"/>
              <w:jc w:val="center"/>
              <w:textAlignment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z w:val="28"/>
                <w:szCs w:val="28"/>
              </w:rPr>
              <w:t>9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巩固水体整治成效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发挥“河长制”“湖长制”统筹作用，加强汛期面源污染治理、污水直排混排入河巡查力度。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河长制成员单位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5" w:hRule="atLeast"/>
          <w:jc w:val="center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60" w:lineRule="exact"/>
              <w:jc w:val="center"/>
              <w:textAlignment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深化流域生态补偿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落实北京市水生态环境区域补偿办法，保障生态水流、增加流动性，建立双向补偿机制，促进生境生物多样性，以经济政策推动实现水流流动、水环境洁净、水生态健康。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区财政局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0" w:hRule="atLeast"/>
          <w:jc w:val="center"/>
        </w:trPr>
        <w:tc>
          <w:tcPr>
            <w:tcW w:w="91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60" w:lineRule="exact"/>
              <w:jc w:val="center"/>
              <w:textAlignment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89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强化监管执法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巩固多部门联合执法机制，加大环境执法力度。以水环境问题为导向，开展流域“点穴”执法，重点对饮用水水源地、入河排污口等开展专项执法。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公安分局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各街道（地区）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市河湖管理处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市排水集团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4" w:hRule="atLeast"/>
          <w:jc w:val="center"/>
        </w:trPr>
        <w:tc>
          <w:tcPr>
            <w:tcW w:w="91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严厉打击向城市雨水管道排污及倾倒垃圾、向河道倾倒及填埋垃圾等违法行为，切实降低初期雨水污染对河流水质的影响。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399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四、水生态修复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9" w:hRule="atLeast"/>
          <w:jc w:val="center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60" w:lineRule="exact"/>
              <w:jc w:val="center"/>
              <w:textAlignment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12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保障重点河流生态流量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统筹生活、生产、生态用水配置，保障河湖生态用水。推进区域再生水循环利用，鼓励再生水用于河湖生态补水。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区园林绿化局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3" w:hRule="atLeast"/>
          <w:jc w:val="center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60" w:lineRule="exact"/>
              <w:jc w:val="center"/>
              <w:textAlignment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开展水生态状况监测评估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开展水生态环境状况监测评价。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长期实施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4" w:hRule="atLeast"/>
          <w:jc w:val="center"/>
        </w:trPr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60" w:lineRule="exact"/>
              <w:jc w:val="center"/>
              <w:textAlignment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加强区级生态环境监测能力建设</w:t>
            </w:r>
          </w:p>
        </w:tc>
        <w:tc>
          <w:tcPr>
            <w:tcW w:w="6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加强区级生态环境监测能力建设，大力推进区级生态环境监测机构基础站、特色站监测能力建设，进一步提高数据支撑能力。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1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区财政局</w:t>
            </w:r>
          </w:p>
          <w:p>
            <w:pPr>
              <w:widowControl/>
              <w:spacing w:line="320" w:lineRule="exact"/>
              <w:jc w:val="center"/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kern w:val="0"/>
                <w:sz w:val="28"/>
                <w:szCs w:val="28"/>
              </w:rPr>
              <w:t>区市场监管局</w:t>
            </w:r>
          </w:p>
        </w:tc>
      </w:tr>
    </w:tbl>
    <w:p>
      <w:pPr>
        <w:spacing w:before="312" w:beforeLines="100" w:after="312" w:afterLines="100" w:line="560" w:lineRule="exact"/>
        <w:jc w:val="left"/>
        <w:rPr>
          <w:rFonts w:hint="eastAsia" w:ascii="黑体" w:hAnsi="黑体" w:eastAsia="黑体" w:cs="黑体"/>
          <w:sz w:val="32"/>
          <w:szCs w:val="32"/>
        </w:rPr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zOWM2ODlkOGIxNDU4YWZhMGU0OGY1MmM0MDZiYjIifQ=="/>
  </w:docVars>
  <w:rsids>
    <w:rsidRoot w:val="039459DA"/>
    <w:rsid w:val="0394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2023-05-04T03:52:00Z</dcterms:created>
  <dc:creator>名字不重要</dc:creator>
  <cp:lastModifiedBy>名字不重要</cp:lastModifiedBy>
  <dcterms:modified xsi:type="dcterms:W3CDTF">2023-05-04T03:53:47Z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4B60BBAF301B49F3A405D092EE8EF5FB_11</vt:lpwstr>
  </property>
</Properties>
</file>