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560" w:lineRule="exact"/>
        <w:jc w:val="left"/>
        <w:outlineLvl w:val="0"/>
        <w:rPr>
          <w:rFonts w:hint="eastAsia" w:ascii="仿宋_GB2312" w:hAnsi="仿宋_GB2312" w:eastAsia="仿宋_GB2312" w:cs="仿宋_GB2312"/>
          <w:sz w:val="32"/>
          <w:szCs w:val="32"/>
        </w:rPr>
      </w:pPr>
      <w:r>
        <w:rPr>
          <w:rFonts w:hint="eastAsia" w:ascii="黑体" w:hAnsi="黑体" w:eastAsia="黑体" w:cs="黑体"/>
          <w:sz w:val="32"/>
          <w:szCs w:val="32"/>
        </w:rPr>
        <w:t>附件2</w:t>
      </w:r>
    </w:p>
    <w:p>
      <w:pPr>
        <w:adjustRightInd w:val="0"/>
        <w:snapToGrid w:val="0"/>
        <w:spacing w:before="156" w:beforeLines="50" w:after="156" w:afterLines="50" w:line="560" w:lineRule="exact"/>
        <w:jc w:val="center"/>
        <w:outlineLvl w:val="0"/>
        <w:rPr>
          <w:rFonts w:hint="eastAsia" w:ascii="方正小标宋简体" w:hAnsi="黑体" w:eastAsia="方正小标宋简体" w:cs="方正小标宋简体"/>
          <w:sz w:val="44"/>
          <w:szCs w:val="44"/>
        </w:rPr>
      </w:pPr>
      <w:r>
        <w:rPr>
          <w:rFonts w:hint="eastAsia" w:ascii="方正小标宋简体" w:hAnsi="黑体" w:eastAsia="方正小标宋简体" w:cs="方正小标宋简体"/>
          <w:sz w:val="44"/>
          <w:szCs w:val="44"/>
        </w:rPr>
        <w:t>东城区大气污染防治2023年行动计划</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1736"/>
        <w:gridCol w:w="5904"/>
        <w:gridCol w:w="1406"/>
        <w:gridCol w:w="1914"/>
        <w:gridCol w:w="12"/>
        <w:gridCol w:w="2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blHeader/>
          <w:jc w:val="center"/>
        </w:trPr>
        <w:tc>
          <w:tcPr>
            <w:tcW w:w="960" w:type="dxa"/>
            <w:noWrap w:val="0"/>
            <w:vAlign w:val="center"/>
          </w:tcPr>
          <w:p>
            <w:pPr>
              <w:spacing w:line="320" w:lineRule="exact"/>
              <w:jc w:val="center"/>
              <w:rPr>
                <w:sz w:val="28"/>
                <w:szCs w:val="28"/>
              </w:rPr>
            </w:pPr>
            <w:r>
              <w:rPr>
                <w:rFonts w:hint="eastAsia" w:ascii="黑体" w:hAnsi="黑体" w:eastAsia="黑体" w:cs="黑体"/>
                <w:sz w:val="28"/>
                <w:szCs w:val="28"/>
              </w:rPr>
              <w:t>序号</w:t>
            </w:r>
          </w:p>
        </w:tc>
        <w:tc>
          <w:tcPr>
            <w:tcW w:w="1736" w:type="dxa"/>
            <w:noWrap w:val="0"/>
            <w:vAlign w:val="center"/>
          </w:tcPr>
          <w:p>
            <w:pPr>
              <w:spacing w:line="320" w:lineRule="exact"/>
              <w:jc w:val="center"/>
              <w:rPr>
                <w:sz w:val="28"/>
                <w:szCs w:val="28"/>
              </w:rPr>
            </w:pPr>
            <w:r>
              <w:rPr>
                <w:rFonts w:hint="eastAsia" w:ascii="黑体" w:hAnsi="黑体" w:eastAsia="黑体" w:cs="黑体"/>
                <w:sz w:val="28"/>
                <w:szCs w:val="28"/>
              </w:rPr>
              <w:t>重点任务</w:t>
            </w:r>
          </w:p>
        </w:tc>
        <w:tc>
          <w:tcPr>
            <w:tcW w:w="5904" w:type="dxa"/>
            <w:noWrap w:val="0"/>
            <w:vAlign w:val="center"/>
          </w:tcPr>
          <w:p>
            <w:pPr>
              <w:spacing w:line="320" w:lineRule="exact"/>
              <w:jc w:val="center"/>
              <w:rPr>
                <w:sz w:val="28"/>
                <w:szCs w:val="28"/>
              </w:rPr>
            </w:pPr>
            <w:r>
              <w:rPr>
                <w:rFonts w:hint="eastAsia" w:ascii="黑体" w:hAnsi="黑体" w:eastAsia="黑体" w:cs="黑体"/>
                <w:sz w:val="28"/>
                <w:szCs w:val="28"/>
              </w:rPr>
              <w:t>工作措施</w:t>
            </w:r>
          </w:p>
        </w:tc>
        <w:tc>
          <w:tcPr>
            <w:tcW w:w="1406" w:type="dxa"/>
            <w:noWrap w:val="0"/>
            <w:vAlign w:val="center"/>
          </w:tcPr>
          <w:p>
            <w:pPr>
              <w:spacing w:line="320" w:lineRule="exact"/>
              <w:jc w:val="center"/>
              <w:rPr>
                <w:rFonts w:hint="eastAsia" w:ascii="黑体" w:hAnsi="黑体" w:eastAsia="黑体" w:cs="黑体"/>
                <w:sz w:val="28"/>
                <w:szCs w:val="28"/>
              </w:rPr>
            </w:pPr>
            <w:r>
              <w:rPr>
                <w:rFonts w:hint="eastAsia" w:ascii="黑体" w:hAnsi="黑体" w:eastAsia="黑体" w:cs="黑体"/>
                <w:sz w:val="28"/>
                <w:szCs w:val="28"/>
              </w:rPr>
              <w:t>完成</w:t>
            </w:r>
          </w:p>
          <w:p>
            <w:pPr>
              <w:spacing w:line="320" w:lineRule="exact"/>
              <w:jc w:val="center"/>
              <w:rPr>
                <w:sz w:val="28"/>
                <w:szCs w:val="28"/>
              </w:rPr>
            </w:pPr>
            <w:r>
              <w:rPr>
                <w:rFonts w:hint="eastAsia" w:ascii="黑体" w:hAnsi="黑体" w:eastAsia="黑体" w:cs="黑体"/>
                <w:sz w:val="28"/>
                <w:szCs w:val="28"/>
              </w:rPr>
              <w:t>时限</w:t>
            </w:r>
          </w:p>
        </w:tc>
        <w:tc>
          <w:tcPr>
            <w:tcW w:w="1914" w:type="dxa"/>
            <w:noWrap w:val="0"/>
            <w:vAlign w:val="center"/>
          </w:tcPr>
          <w:p>
            <w:pPr>
              <w:spacing w:line="320" w:lineRule="exact"/>
              <w:jc w:val="center"/>
              <w:rPr>
                <w:sz w:val="28"/>
                <w:szCs w:val="28"/>
              </w:rPr>
            </w:pPr>
            <w:r>
              <w:rPr>
                <w:rFonts w:hint="eastAsia" w:ascii="黑体" w:hAnsi="黑体" w:eastAsia="黑体" w:cs="黑体"/>
                <w:sz w:val="28"/>
                <w:szCs w:val="28"/>
              </w:rPr>
              <w:t>牵头部门</w:t>
            </w:r>
          </w:p>
        </w:tc>
        <w:tc>
          <w:tcPr>
            <w:tcW w:w="2052" w:type="dxa"/>
            <w:gridSpan w:val="2"/>
            <w:noWrap w:val="0"/>
            <w:vAlign w:val="center"/>
          </w:tcPr>
          <w:p>
            <w:pPr>
              <w:spacing w:line="320" w:lineRule="exact"/>
              <w:jc w:val="center"/>
              <w:rPr>
                <w:sz w:val="28"/>
                <w:szCs w:val="28"/>
              </w:rPr>
            </w:pPr>
            <w:r>
              <w:rPr>
                <w:rFonts w:hint="eastAsia" w:ascii="黑体" w:hAnsi="黑体" w:eastAsia="黑体" w:cs="黑体"/>
                <w:sz w:val="28"/>
                <w:szCs w:val="28"/>
              </w:rPr>
              <w:t>协办单位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3972" w:type="dxa"/>
            <w:gridSpan w:val="7"/>
            <w:noWrap w:val="0"/>
            <w:vAlign w:val="center"/>
          </w:tcPr>
          <w:p>
            <w:pPr>
              <w:jc w:val="center"/>
              <w:rPr>
                <w:sz w:val="28"/>
                <w:szCs w:val="28"/>
              </w:rPr>
            </w:pPr>
            <w:r>
              <w:rPr>
                <w:rFonts w:hint="eastAsia" w:ascii="黑体" w:hAnsi="黑体" w:eastAsia="黑体"/>
                <w:sz w:val="28"/>
                <w:szCs w:val="28"/>
              </w:rPr>
              <w:t>一、主要目标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0" w:hRule="atLeast"/>
          <w:jc w:val="center"/>
        </w:trPr>
        <w:tc>
          <w:tcPr>
            <w:tcW w:w="960" w:type="dxa"/>
            <w:vMerge w:val="restart"/>
            <w:noWrap w:val="0"/>
            <w:vAlign w:val="center"/>
          </w:tcPr>
          <w:p>
            <w:pPr>
              <w:snapToGrid w:val="0"/>
              <w:spacing w:line="320" w:lineRule="exact"/>
              <w:jc w:val="center"/>
              <w:rPr>
                <w:sz w:val="28"/>
                <w:szCs w:val="28"/>
              </w:rPr>
            </w:pPr>
            <w:r>
              <w:rPr>
                <w:rFonts w:hint="eastAsia" w:ascii="仿宋_GB2312" w:eastAsia="仿宋_GB2312"/>
                <w:sz w:val="28"/>
                <w:szCs w:val="28"/>
              </w:rPr>
              <w:t>1</w:t>
            </w:r>
          </w:p>
        </w:tc>
        <w:tc>
          <w:tcPr>
            <w:tcW w:w="1736"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空气质量目标</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全力巩固空气质量改善成效，PM</w:t>
            </w:r>
            <w:r>
              <w:rPr>
                <w:rFonts w:hint="eastAsia" w:ascii="仿宋_GB2312" w:eastAsia="仿宋_GB2312"/>
                <w:sz w:val="28"/>
                <w:szCs w:val="28"/>
                <w:vertAlign w:val="subscript"/>
              </w:rPr>
              <w:t>2.5</w:t>
            </w:r>
            <w:r>
              <w:rPr>
                <w:rFonts w:hint="eastAsia" w:ascii="仿宋_GB2312" w:eastAsia="仿宋_GB2312"/>
                <w:sz w:val="28"/>
                <w:szCs w:val="28"/>
              </w:rPr>
              <w:t>年均浓度目标为31微克/立方米，力争进一步改善；优良天数比率不低于75%（274天），重污染天数比率不高于1.7%（6天）。</w:t>
            </w:r>
          </w:p>
        </w:tc>
        <w:tc>
          <w:tcPr>
            <w:tcW w:w="1406" w:type="dxa"/>
            <w:noWrap w:val="0"/>
            <w:vAlign w:val="center"/>
          </w:tcPr>
          <w:p>
            <w:pPr>
              <w:snapToGrid w:val="0"/>
              <w:spacing w:line="320" w:lineRule="exact"/>
              <w:jc w:val="center"/>
              <w:rPr>
                <w:sz w:val="28"/>
                <w:szCs w:val="28"/>
              </w:rPr>
            </w:pPr>
            <w:r>
              <w:rPr>
                <w:rFonts w:hint="eastAsia" w:ascii="仿宋_GB2312" w:eastAsia="仿宋_GB2312"/>
                <w:sz w:val="28"/>
                <w:szCs w:val="28"/>
              </w:rPr>
              <w:t>年底前</w:t>
            </w:r>
          </w:p>
        </w:tc>
        <w:tc>
          <w:tcPr>
            <w:tcW w:w="1914" w:type="dxa"/>
            <w:noWrap w:val="0"/>
            <w:vAlign w:val="center"/>
          </w:tcPr>
          <w:p>
            <w:pPr>
              <w:snapToGrid w:val="0"/>
              <w:spacing w:line="320" w:lineRule="exact"/>
              <w:jc w:val="center"/>
              <w:rPr>
                <w:sz w:val="28"/>
                <w:szCs w:val="28"/>
              </w:rPr>
            </w:pPr>
            <w:r>
              <w:rPr>
                <w:rFonts w:hint="eastAsia" w:ascii="仿宋_GB2312" w:eastAsia="仿宋_GB2312"/>
                <w:sz w:val="28"/>
                <w:szCs w:val="28"/>
              </w:rPr>
              <w:t>区生态环境局</w:t>
            </w:r>
          </w:p>
        </w:tc>
        <w:tc>
          <w:tcPr>
            <w:tcW w:w="2052" w:type="dxa"/>
            <w:gridSpan w:val="2"/>
            <w:noWrap w:val="0"/>
            <w:vAlign w:val="center"/>
          </w:tcPr>
          <w:p>
            <w:pPr>
              <w:snapToGrid w:val="0"/>
              <w:spacing w:line="320" w:lineRule="exact"/>
              <w:jc w:val="center"/>
              <w:rPr>
                <w:sz w:val="28"/>
                <w:szCs w:val="28"/>
              </w:rPr>
            </w:pPr>
            <w:r>
              <w:rPr>
                <w:rFonts w:hint="eastAsia" w:ascii="仿宋_GB2312" w:eastAsia="仿宋_GB2312"/>
                <w:sz w:val="28"/>
                <w:szCs w:val="28"/>
              </w:rPr>
              <w:t>区委生态文明委大气污染综合治理及应对气候变化工作小组成员单位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jc w:val="center"/>
        </w:trPr>
        <w:tc>
          <w:tcPr>
            <w:tcW w:w="960" w:type="dxa"/>
            <w:vMerge w:val="continue"/>
            <w:noWrap w:val="0"/>
            <w:vAlign w:val="top"/>
          </w:tcPr>
          <w:p>
            <w:pPr>
              <w:rPr>
                <w:sz w:val="28"/>
                <w:szCs w:val="28"/>
              </w:rPr>
            </w:pPr>
          </w:p>
        </w:tc>
        <w:tc>
          <w:tcPr>
            <w:tcW w:w="1736" w:type="dxa"/>
            <w:vMerge w:val="continue"/>
            <w:noWrap w:val="0"/>
            <w:vAlign w:val="top"/>
          </w:tcPr>
          <w:p>
            <w:pPr>
              <w:spacing w:line="320" w:lineRule="exact"/>
              <w:jc w:val="center"/>
              <w:rPr>
                <w:sz w:val="28"/>
                <w:szCs w:val="28"/>
              </w:rPr>
            </w:pP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各街道PM</w:t>
            </w:r>
            <w:r>
              <w:rPr>
                <w:rFonts w:hint="eastAsia" w:ascii="仿宋_GB2312" w:eastAsia="仿宋_GB2312"/>
                <w:sz w:val="28"/>
                <w:szCs w:val="28"/>
                <w:vertAlign w:val="subscript"/>
              </w:rPr>
              <w:t>2.5</w:t>
            </w:r>
            <w:r>
              <w:rPr>
                <w:rFonts w:hint="eastAsia" w:ascii="仿宋_GB2312" w:eastAsia="仿宋_GB2312"/>
                <w:sz w:val="28"/>
                <w:szCs w:val="28"/>
              </w:rPr>
              <w:t>年均浓度在2022年基础上，力争进一步改善。</w:t>
            </w:r>
          </w:p>
          <w:p>
            <w:pPr>
              <w:snapToGrid w:val="0"/>
              <w:spacing w:line="320" w:lineRule="exact"/>
              <w:rPr>
                <w:sz w:val="28"/>
                <w:szCs w:val="28"/>
              </w:rPr>
            </w:pPr>
            <w:r>
              <w:rPr>
                <w:rFonts w:hint="eastAsia" w:ascii="仿宋_GB2312" w:eastAsia="仿宋_GB2312"/>
                <w:sz w:val="28"/>
                <w:szCs w:val="28"/>
              </w:rPr>
              <w:t>各街道PM</w:t>
            </w:r>
            <w:r>
              <w:rPr>
                <w:rFonts w:hint="eastAsia" w:ascii="仿宋_GB2312" w:eastAsia="仿宋_GB2312"/>
                <w:sz w:val="28"/>
                <w:szCs w:val="28"/>
                <w:vertAlign w:val="subscript"/>
              </w:rPr>
              <w:t>2.5</w:t>
            </w:r>
            <w:r>
              <w:rPr>
                <w:rFonts w:hint="eastAsia" w:ascii="仿宋_GB2312" w:eastAsia="仿宋_GB2312"/>
                <w:sz w:val="28"/>
                <w:szCs w:val="28"/>
              </w:rPr>
              <w:t>、TSP累计浓度排名不进入全市后30名</w:t>
            </w:r>
            <w:r>
              <w:rPr>
                <w:rFonts w:eastAsia="仿宋_GB2312"/>
                <w:sz w:val="28"/>
                <w:szCs w:val="28"/>
              </w:rPr>
              <w:t>。</w:t>
            </w:r>
          </w:p>
        </w:tc>
        <w:tc>
          <w:tcPr>
            <w:tcW w:w="1406" w:type="dxa"/>
            <w:noWrap w:val="0"/>
            <w:vAlign w:val="center"/>
          </w:tcPr>
          <w:p>
            <w:pPr>
              <w:snapToGrid w:val="0"/>
              <w:spacing w:line="320" w:lineRule="exact"/>
              <w:jc w:val="center"/>
              <w:rPr>
                <w:sz w:val="28"/>
                <w:szCs w:val="28"/>
              </w:rPr>
            </w:pPr>
            <w:r>
              <w:rPr>
                <w:rFonts w:hint="eastAsia" w:ascii="仿宋_GB2312" w:eastAsia="仿宋_GB2312"/>
                <w:sz w:val="28"/>
                <w:szCs w:val="28"/>
              </w:rPr>
              <w:t>年底前</w:t>
            </w:r>
          </w:p>
        </w:tc>
        <w:tc>
          <w:tcPr>
            <w:tcW w:w="1914" w:type="dxa"/>
            <w:noWrap w:val="0"/>
            <w:vAlign w:val="center"/>
          </w:tcPr>
          <w:p>
            <w:pPr>
              <w:snapToGrid w:val="0"/>
              <w:spacing w:line="320" w:lineRule="exact"/>
              <w:jc w:val="center"/>
              <w:rPr>
                <w:sz w:val="28"/>
                <w:szCs w:val="28"/>
              </w:rPr>
            </w:pPr>
            <w:r>
              <w:rPr>
                <w:rFonts w:hint="eastAsia" w:ascii="仿宋_GB2312" w:eastAsia="仿宋_GB2312"/>
                <w:sz w:val="28"/>
                <w:szCs w:val="28"/>
              </w:rPr>
              <w:t>各街道</w:t>
            </w:r>
          </w:p>
        </w:tc>
        <w:tc>
          <w:tcPr>
            <w:tcW w:w="2052" w:type="dxa"/>
            <w:gridSpan w:val="2"/>
            <w:noWrap w:val="0"/>
            <w:vAlign w:val="center"/>
          </w:tcPr>
          <w:p>
            <w:pPr>
              <w:snapToGrid w:val="0"/>
              <w:spacing w:line="320" w:lineRule="exact"/>
              <w:jc w:val="center"/>
              <w:rPr>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6" w:hRule="atLeast"/>
          <w:jc w:val="center"/>
        </w:trPr>
        <w:tc>
          <w:tcPr>
            <w:tcW w:w="960" w:type="dxa"/>
            <w:noWrap w:val="0"/>
            <w:vAlign w:val="center"/>
          </w:tcPr>
          <w:p>
            <w:pPr>
              <w:snapToGrid w:val="0"/>
              <w:spacing w:line="320" w:lineRule="exact"/>
              <w:jc w:val="center"/>
              <w:rPr>
                <w:sz w:val="28"/>
                <w:szCs w:val="28"/>
              </w:rPr>
            </w:pPr>
            <w:r>
              <w:rPr>
                <w:rFonts w:hint="eastAsia" w:ascii="仿宋_GB2312" w:eastAsia="仿宋_GB2312"/>
                <w:sz w:val="28"/>
                <w:szCs w:val="28"/>
              </w:rPr>
              <w:t>2</w:t>
            </w:r>
          </w:p>
        </w:tc>
        <w:tc>
          <w:tcPr>
            <w:tcW w:w="1736" w:type="dxa"/>
            <w:noWrap w:val="0"/>
            <w:vAlign w:val="center"/>
          </w:tcPr>
          <w:p>
            <w:pPr>
              <w:snapToGrid w:val="0"/>
              <w:spacing w:line="320" w:lineRule="exact"/>
              <w:jc w:val="center"/>
              <w:rPr>
                <w:sz w:val="28"/>
                <w:szCs w:val="28"/>
              </w:rPr>
            </w:pPr>
            <w:r>
              <w:rPr>
                <w:rFonts w:hint="eastAsia" w:ascii="仿宋_GB2312" w:eastAsia="仿宋_GB2312"/>
                <w:sz w:val="28"/>
                <w:szCs w:val="28"/>
              </w:rPr>
              <w:t>总量减排目标</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全区实现主要大气污染物排放总量持续下降，实现挥发性有机物（VOCs）重点工程累计减排量330吨、氮氧化物（NOx）重点工程累计减排量730吨。</w:t>
            </w:r>
          </w:p>
          <w:p>
            <w:pPr>
              <w:snapToGrid w:val="0"/>
              <w:spacing w:line="320" w:lineRule="exact"/>
              <w:rPr>
                <w:rFonts w:hint="eastAsia" w:ascii="仿宋_GB2312" w:eastAsia="仿宋_GB2312"/>
                <w:sz w:val="28"/>
                <w:szCs w:val="28"/>
              </w:rPr>
            </w:pPr>
            <w:r>
              <w:rPr>
                <w:rFonts w:hint="eastAsia" w:ascii="仿宋_GB2312" w:eastAsia="仿宋_GB2312"/>
                <w:sz w:val="28"/>
                <w:szCs w:val="28"/>
              </w:rPr>
              <w:t>对于新增涉气建设项目严格执行VOCs、NOx等主要污染物排放总量控制，实施“减二增一”削减量替代审批制度。</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年底前</w:t>
            </w:r>
          </w:p>
        </w:tc>
        <w:tc>
          <w:tcPr>
            <w:tcW w:w="1914"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tc>
        <w:tc>
          <w:tcPr>
            <w:tcW w:w="2052"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区发改委</w:t>
            </w:r>
          </w:p>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区科信局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3972" w:type="dxa"/>
            <w:gridSpan w:val="7"/>
            <w:noWrap w:val="0"/>
            <w:vAlign w:val="center"/>
          </w:tcPr>
          <w:p>
            <w:pPr>
              <w:snapToGrid w:val="0"/>
              <w:spacing w:line="320" w:lineRule="exact"/>
              <w:jc w:val="center"/>
              <w:rPr>
                <w:rFonts w:hint="eastAsia" w:ascii="仿宋_GB2312" w:eastAsia="仿宋_GB2312"/>
                <w:spacing w:val="-26"/>
                <w:sz w:val="28"/>
                <w:szCs w:val="28"/>
              </w:rPr>
            </w:pPr>
            <w:r>
              <w:rPr>
                <w:rFonts w:hint="eastAsia" w:ascii="黑体" w:hAnsi="黑体" w:eastAsia="黑体"/>
                <w:sz w:val="28"/>
                <w:szCs w:val="28"/>
              </w:rPr>
              <w:t>二、实施挥发性有机物（VOCs）治理专项行动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3" w:hRule="atLeast"/>
          <w:jc w:val="center"/>
        </w:trPr>
        <w:tc>
          <w:tcPr>
            <w:tcW w:w="960" w:type="dxa"/>
            <w:noWrap w:val="0"/>
            <w:vAlign w:val="center"/>
          </w:tcPr>
          <w:p>
            <w:pPr>
              <w:snapToGrid w:val="0"/>
              <w:spacing w:line="320" w:lineRule="exact"/>
              <w:jc w:val="center"/>
              <w:rPr>
                <w:rFonts w:hint="eastAsia" w:ascii="黑体" w:hAnsi="黑体" w:eastAsia="黑体"/>
                <w:sz w:val="28"/>
                <w:szCs w:val="28"/>
              </w:rPr>
            </w:pPr>
            <w:r>
              <w:rPr>
                <w:rFonts w:hint="eastAsia" w:ascii="仿宋_GB2312" w:eastAsia="仿宋_GB2312"/>
                <w:sz w:val="28"/>
                <w:szCs w:val="28"/>
              </w:rPr>
              <w:t>3</w:t>
            </w:r>
          </w:p>
        </w:tc>
        <w:tc>
          <w:tcPr>
            <w:tcW w:w="1736" w:type="dxa"/>
            <w:noWrap w:val="0"/>
            <w:vAlign w:val="center"/>
          </w:tcPr>
          <w:p>
            <w:pPr>
              <w:snapToGrid w:val="0"/>
              <w:spacing w:line="320" w:lineRule="exact"/>
              <w:jc w:val="center"/>
              <w:rPr>
                <w:rFonts w:hint="eastAsia" w:ascii="黑体" w:hAnsi="黑体" w:eastAsia="黑体"/>
                <w:sz w:val="28"/>
                <w:szCs w:val="28"/>
              </w:rPr>
            </w:pPr>
            <w:r>
              <w:rPr>
                <w:rFonts w:hint="eastAsia" w:ascii="仿宋_GB2312" w:eastAsia="仿宋_GB2312"/>
                <w:sz w:val="28"/>
                <w:szCs w:val="28"/>
              </w:rPr>
              <w:t>推进VOCs综合整治</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配合市级部门开展完善VOCs网格化监测分析和本地来源解析。研究VOCs控制策略，为VOCs科学治理提供支撑。</w:t>
            </w:r>
          </w:p>
          <w:p>
            <w:pPr>
              <w:snapToGrid w:val="0"/>
              <w:spacing w:line="320" w:lineRule="exact"/>
              <w:rPr>
                <w:rFonts w:hint="eastAsia" w:ascii="黑体" w:hAnsi="黑体" w:eastAsia="黑体"/>
                <w:sz w:val="28"/>
                <w:szCs w:val="28"/>
              </w:rPr>
            </w:pPr>
            <w:r>
              <w:rPr>
                <w:rFonts w:hint="eastAsia" w:ascii="仿宋_GB2312" w:eastAsia="仿宋_GB2312"/>
                <w:sz w:val="28"/>
                <w:szCs w:val="28"/>
              </w:rPr>
              <w:t>加强VOCs浓度高值区、治理过程关键环节的突出问题溯源排查，持续开展VOCs全流程整治，有针对性地分类推进低（无）VOCs含量原辅材料源头替代、加油站油气整治提升等减排工程。</w:t>
            </w:r>
          </w:p>
        </w:tc>
        <w:tc>
          <w:tcPr>
            <w:tcW w:w="1406" w:type="dxa"/>
            <w:noWrap w:val="0"/>
            <w:vAlign w:val="center"/>
          </w:tcPr>
          <w:p>
            <w:pPr>
              <w:snapToGrid w:val="0"/>
              <w:spacing w:line="320" w:lineRule="exact"/>
              <w:jc w:val="center"/>
              <w:rPr>
                <w:rFonts w:hint="eastAsia" w:ascii="黑体" w:hAnsi="黑体" w:eastAsia="黑体"/>
                <w:sz w:val="28"/>
                <w:szCs w:val="28"/>
              </w:rPr>
            </w:pPr>
            <w:r>
              <w:rPr>
                <w:rFonts w:hint="eastAsia" w:ascii="仿宋_GB2312" w:eastAsia="仿宋_GB2312"/>
                <w:spacing w:val="-14"/>
                <w:sz w:val="28"/>
                <w:szCs w:val="28"/>
              </w:rPr>
              <w:t>长期实施</w:t>
            </w:r>
          </w:p>
        </w:tc>
        <w:tc>
          <w:tcPr>
            <w:tcW w:w="1926" w:type="dxa"/>
            <w:gridSpan w:val="2"/>
            <w:noWrap w:val="0"/>
            <w:vAlign w:val="center"/>
          </w:tcPr>
          <w:p>
            <w:pPr>
              <w:snapToGrid w:val="0"/>
              <w:spacing w:line="320" w:lineRule="exact"/>
              <w:jc w:val="center"/>
              <w:rPr>
                <w:rFonts w:hint="eastAsia" w:ascii="黑体" w:hAnsi="黑体" w:eastAsia="黑体"/>
                <w:sz w:val="28"/>
                <w:szCs w:val="28"/>
              </w:rPr>
            </w:pPr>
            <w:r>
              <w:rPr>
                <w:rFonts w:hint="eastAsia" w:ascii="仿宋_GB2312" w:eastAsia="仿宋_GB2312"/>
                <w:sz w:val="28"/>
                <w:szCs w:val="28"/>
              </w:rPr>
              <w:t>区生态环境局</w:t>
            </w:r>
          </w:p>
        </w:tc>
        <w:tc>
          <w:tcPr>
            <w:tcW w:w="2040" w:type="dxa"/>
            <w:noWrap w:val="0"/>
            <w:vAlign w:val="center"/>
          </w:tcPr>
          <w:p>
            <w:pPr>
              <w:snapToGrid w:val="0"/>
              <w:spacing w:line="320" w:lineRule="exact"/>
              <w:ind w:right="-65" w:rightChars="-31"/>
              <w:jc w:val="center"/>
              <w:rPr>
                <w:rFonts w:hint="eastAsia" w:ascii="仿宋_GB2312" w:eastAsia="仿宋_GB2312"/>
                <w:sz w:val="28"/>
                <w:szCs w:val="28"/>
              </w:rPr>
            </w:pPr>
            <w:r>
              <w:rPr>
                <w:rFonts w:hint="eastAsia" w:ascii="仿宋_GB2312" w:eastAsia="仿宋_GB2312"/>
                <w:sz w:val="28"/>
                <w:szCs w:val="28"/>
              </w:rPr>
              <w:t>区市场监管局</w:t>
            </w:r>
          </w:p>
          <w:p>
            <w:pPr>
              <w:snapToGrid w:val="0"/>
              <w:spacing w:line="320" w:lineRule="exact"/>
              <w:ind w:right="-65" w:rightChars="-31"/>
              <w:jc w:val="center"/>
              <w:rPr>
                <w:rFonts w:hint="eastAsia" w:ascii="仿宋_GB2312" w:eastAsia="仿宋_GB2312"/>
                <w:sz w:val="28"/>
                <w:szCs w:val="28"/>
              </w:rPr>
            </w:pPr>
            <w:r>
              <w:rPr>
                <w:rFonts w:hint="eastAsia" w:ascii="仿宋_GB2312" w:eastAsia="仿宋_GB2312"/>
                <w:sz w:val="28"/>
                <w:szCs w:val="28"/>
              </w:rPr>
              <w:t>区城管委</w:t>
            </w:r>
          </w:p>
          <w:p>
            <w:pPr>
              <w:snapToGrid w:val="0"/>
              <w:spacing w:line="320" w:lineRule="exact"/>
              <w:ind w:right="-65" w:rightChars="-31"/>
              <w:jc w:val="center"/>
              <w:rPr>
                <w:rFonts w:hint="eastAsia" w:ascii="仿宋_GB2312" w:eastAsia="仿宋_GB2312"/>
                <w:sz w:val="28"/>
                <w:szCs w:val="28"/>
              </w:rPr>
            </w:pPr>
            <w:r>
              <w:rPr>
                <w:rFonts w:hint="eastAsia" w:ascii="仿宋_GB2312" w:eastAsia="仿宋_GB2312"/>
                <w:sz w:val="28"/>
                <w:szCs w:val="28"/>
              </w:rPr>
              <w:t>区科信局</w:t>
            </w:r>
          </w:p>
          <w:p>
            <w:pPr>
              <w:snapToGrid w:val="0"/>
              <w:spacing w:line="320" w:lineRule="exact"/>
              <w:ind w:right="-65" w:rightChars="-31"/>
              <w:jc w:val="center"/>
              <w:rPr>
                <w:rFonts w:hint="eastAsia" w:ascii="黑体" w:hAnsi="黑体" w:eastAsia="黑体"/>
                <w:sz w:val="28"/>
                <w:szCs w:val="28"/>
              </w:rPr>
            </w:pPr>
            <w:r>
              <w:rPr>
                <w:rFonts w:hint="eastAsia" w:ascii="仿宋_GB2312" w:eastAsia="仿宋_GB2312"/>
                <w:sz w:val="28"/>
                <w:szCs w:val="28"/>
              </w:rPr>
              <w:t>区住建委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960"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4</w:t>
            </w:r>
          </w:p>
        </w:tc>
        <w:tc>
          <w:tcPr>
            <w:tcW w:w="1736"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积极推广新能源汽车</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pacing w:val="-6"/>
                <w:sz w:val="28"/>
                <w:szCs w:val="28"/>
              </w:rPr>
              <w:t>按照市新能源汽车联席会议办公室要求，配合推进新能源汽车推广应用工作。针对生产、销售、使用、充电等环节，加快配套措施落地实施。</w:t>
            </w:r>
          </w:p>
        </w:tc>
        <w:tc>
          <w:tcPr>
            <w:tcW w:w="1406" w:type="dxa"/>
            <w:noWrap w:val="0"/>
            <w:vAlign w:val="center"/>
          </w:tcPr>
          <w:p>
            <w:pPr>
              <w:snapToGrid w:val="0"/>
              <w:spacing w:line="320" w:lineRule="exact"/>
              <w:jc w:val="center"/>
              <w:rPr>
                <w:rFonts w:hint="eastAsia" w:ascii="仿宋_GB2312" w:eastAsia="仿宋_GB2312"/>
                <w:spacing w:val="-14"/>
                <w:sz w:val="28"/>
                <w:szCs w:val="28"/>
              </w:rPr>
            </w:pPr>
            <w:r>
              <w:rPr>
                <w:rFonts w:hint="eastAsia" w:ascii="仿宋_GB2312" w:eastAsia="仿宋_GB2312"/>
                <w:sz w:val="28"/>
                <w:szCs w:val="28"/>
              </w:rPr>
              <w:t>按时间节点完成</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区科信局</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1" w:hRule="atLeast"/>
          <w:jc w:val="center"/>
        </w:trPr>
        <w:tc>
          <w:tcPr>
            <w:tcW w:w="960" w:type="dxa"/>
            <w:vMerge w:val="continue"/>
            <w:noWrap w:val="0"/>
            <w:vAlign w:val="center"/>
          </w:tcPr>
          <w:p>
            <w:pPr>
              <w:snapToGrid w:val="0"/>
              <w:spacing w:line="320" w:lineRule="exact"/>
              <w:jc w:val="center"/>
              <w:rPr>
                <w:rFonts w:hint="eastAsia" w:ascii="仿宋_GB2312" w:eastAsia="仿宋_GB2312"/>
                <w:sz w:val="28"/>
                <w:szCs w:val="28"/>
              </w:rPr>
            </w:pPr>
          </w:p>
        </w:tc>
        <w:tc>
          <w:tcPr>
            <w:tcW w:w="1736" w:type="dxa"/>
            <w:vMerge w:val="continue"/>
            <w:noWrap w:val="0"/>
            <w:vAlign w:val="center"/>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区级财政支持的机关、事业单位、国有企业和社会团体新增和更新的车辆原则上为纯电动或氢燃料电池车（确因工作需要等除外）。对于具备条件的新增和更新执法执勤、通勤等专用或特殊车辆优先选用纯电动或氢燃料电池车。</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区机关事务</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管理服务中心</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区财政局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区国资委</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5" w:hRule="atLeast"/>
          <w:jc w:val="center"/>
        </w:trPr>
        <w:tc>
          <w:tcPr>
            <w:tcW w:w="960" w:type="dxa"/>
            <w:vMerge w:val="continue"/>
            <w:noWrap w:val="0"/>
            <w:vAlign w:val="top"/>
          </w:tcPr>
          <w:p>
            <w:pPr>
              <w:snapToGrid w:val="0"/>
              <w:spacing w:line="320" w:lineRule="exact"/>
              <w:jc w:val="center"/>
              <w:rPr>
                <w:rFonts w:hint="eastAsia" w:ascii="仿宋_GB2312" w:eastAsia="仿宋_GB2312"/>
                <w:sz w:val="28"/>
                <w:szCs w:val="28"/>
              </w:rPr>
            </w:pPr>
          </w:p>
        </w:tc>
        <w:tc>
          <w:tcPr>
            <w:tcW w:w="1736" w:type="dxa"/>
            <w:vMerge w:val="continue"/>
            <w:noWrap w:val="0"/>
            <w:vAlign w:val="top"/>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pacing w:val="-6"/>
                <w:sz w:val="28"/>
                <w:szCs w:val="28"/>
              </w:rPr>
              <w:t>按照市新能源汽车联席会议办公室要求落实存量社会燃油小客车“油换电”“油换氢”激励政策，按照市级部门统一部署，通过成本激励、通行便利以及同步鼓励汽车企业制定置换补贴政策等方式，加快推动存量社会燃油小客车电动化。</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6月底前</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区科信局</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960" w:type="dxa"/>
            <w:vMerge w:val="continue"/>
            <w:noWrap w:val="0"/>
            <w:vAlign w:val="top"/>
          </w:tcPr>
          <w:p>
            <w:pPr>
              <w:snapToGrid w:val="0"/>
              <w:spacing w:line="320" w:lineRule="exact"/>
              <w:jc w:val="center"/>
              <w:rPr>
                <w:rFonts w:hint="eastAsia" w:ascii="仿宋_GB2312" w:eastAsia="仿宋_GB2312"/>
                <w:sz w:val="28"/>
                <w:szCs w:val="28"/>
              </w:rPr>
            </w:pPr>
          </w:p>
        </w:tc>
        <w:tc>
          <w:tcPr>
            <w:tcW w:w="1736" w:type="dxa"/>
            <w:vMerge w:val="continue"/>
            <w:noWrap w:val="0"/>
            <w:vAlign w:val="top"/>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结合资源禀赋和功能定位，因地制宜制定辖区新能源车推广、通行便利、停车优惠、配套设施建设等鼓励政策。</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pStyle w:val="2"/>
              <w:snapToGrid w:val="0"/>
              <w:spacing w:line="320" w:lineRule="exact"/>
              <w:jc w:val="center"/>
              <w:rPr>
                <w:rFonts w:hint="eastAsia" w:eastAsia="仿宋_GB2312"/>
              </w:rPr>
            </w:pPr>
            <w:r>
              <w:rPr>
                <w:rFonts w:hint="eastAsia" w:ascii="仿宋_GB2312" w:hAnsi="Calibri" w:eastAsia="仿宋_GB2312" w:cs="Times New Roman"/>
                <w:sz w:val="28"/>
                <w:szCs w:val="28"/>
              </w:rPr>
              <w:t>区城管委</w:t>
            </w:r>
          </w:p>
        </w:tc>
        <w:tc>
          <w:tcPr>
            <w:tcW w:w="2040" w:type="dxa"/>
            <w:noWrap w:val="0"/>
            <w:vAlign w:val="center"/>
          </w:tcPr>
          <w:p>
            <w:pPr>
              <w:pStyle w:val="2"/>
              <w:snapToGrid w:val="0"/>
              <w:spacing w:line="320" w:lineRule="exact"/>
              <w:jc w:val="center"/>
              <w:rPr>
                <w:rFonts w:hint="eastAsia" w:ascii="仿宋_GB2312" w:hAnsi="Calibri" w:eastAsia="仿宋_GB2312" w:cs="Times New Roman"/>
                <w:sz w:val="28"/>
                <w:szCs w:val="28"/>
              </w:rPr>
            </w:pPr>
            <w:r>
              <w:rPr>
                <w:rFonts w:hint="eastAsia" w:ascii="仿宋_GB2312" w:hAnsi="Calibri" w:eastAsia="仿宋_GB2312" w:cs="Times New Roman"/>
                <w:sz w:val="28"/>
                <w:szCs w:val="28"/>
              </w:rPr>
              <w:t>规自分局</w:t>
            </w:r>
          </w:p>
          <w:p>
            <w:pPr>
              <w:pStyle w:val="2"/>
              <w:snapToGrid w:val="0"/>
              <w:spacing w:line="320" w:lineRule="exact"/>
              <w:jc w:val="center"/>
              <w:rPr>
                <w:rFonts w:hint="eastAsia" w:ascii="仿宋_GB2312" w:hAnsi="Calibri" w:eastAsia="仿宋_GB2312" w:cs="Times New Roman"/>
                <w:sz w:val="28"/>
                <w:szCs w:val="28"/>
              </w:rPr>
            </w:pPr>
            <w:r>
              <w:rPr>
                <w:rFonts w:hint="eastAsia" w:ascii="仿宋_GB2312" w:hAnsi="Calibri" w:eastAsia="仿宋_GB2312" w:cs="Times New Roman"/>
                <w:sz w:val="28"/>
                <w:szCs w:val="28"/>
              </w:rPr>
              <w:t>交通支队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5" w:hRule="atLeast"/>
          <w:jc w:val="center"/>
        </w:trPr>
        <w:tc>
          <w:tcPr>
            <w:tcW w:w="960"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5</w:t>
            </w:r>
          </w:p>
        </w:tc>
        <w:tc>
          <w:tcPr>
            <w:tcW w:w="1736"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推进低（无）VOCs含量产品源头替代</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对生产、销售环节涂料、胶粘剂、清洗剂、油墨等含VOCs产品开展抽检，重点抽检溶剂型VOCs产品，强化对电商平台销售的含VOCs产品的抽检力度，全年抽样检测量不低于8组，依法公示抽检结果。</w:t>
            </w:r>
          </w:p>
          <w:p>
            <w:pPr>
              <w:snapToGrid w:val="0"/>
              <w:spacing w:line="320" w:lineRule="exact"/>
              <w:rPr>
                <w:rFonts w:hint="eastAsia" w:ascii="仿宋_GB2312" w:eastAsia="仿宋_GB2312"/>
                <w:sz w:val="28"/>
                <w:szCs w:val="28"/>
              </w:rPr>
            </w:pPr>
            <w:r>
              <w:rPr>
                <w:rFonts w:hint="eastAsia" w:ascii="仿宋_GB2312" w:eastAsia="仿宋_GB2312"/>
                <w:sz w:val="28"/>
                <w:szCs w:val="28"/>
              </w:rPr>
              <w:t>按照市级部门统一部署，结合辖区实际情况，重点加强对辖区内生产、销售环节溶剂型VOCs产品的抽检。</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年底前</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区市场监管局</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区财政局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960" w:type="dxa"/>
            <w:vMerge w:val="continue"/>
            <w:noWrap w:val="0"/>
            <w:vAlign w:val="top"/>
          </w:tcPr>
          <w:p>
            <w:pPr>
              <w:snapToGrid w:val="0"/>
              <w:spacing w:line="320" w:lineRule="exact"/>
              <w:jc w:val="center"/>
              <w:rPr>
                <w:rFonts w:hint="eastAsia" w:ascii="仿宋_GB2312" w:eastAsia="仿宋_GB2312"/>
                <w:sz w:val="28"/>
                <w:szCs w:val="28"/>
              </w:rPr>
            </w:pPr>
          </w:p>
        </w:tc>
        <w:tc>
          <w:tcPr>
            <w:tcW w:w="1736" w:type="dxa"/>
            <w:vMerge w:val="continue"/>
            <w:noWrap w:val="0"/>
            <w:vAlign w:val="top"/>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pacing w:val="-6"/>
                <w:sz w:val="28"/>
                <w:szCs w:val="28"/>
              </w:rPr>
            </w:pPr>
            <w:r>
              <w:rPr>
                <w:rFonts w:hint="eastAsia" w:ascii="仿宋_GB2312" w:eastAsia="仿宋_GB2312"/>
                <w:spacing w:val="-6"/>
                <w:sz w:val="28"/>
                <w:szCs w:val="28"/>
              </w:rPr>
              <w:t>工程建设领域大力推广绿色环保产品，在政府投资建设工程中，优先使用低（无）VOCs含量产品。</w:t>
            </w:r>
          </w:p>
          <w:p>
            <w:pPr>
              <w:snapToGrid w:val="0"/>
              <w:spacing w:line="320" w:lineRule="exact"/>
              <w:rPr>
                <w:rFonts w:hint="eastAsia" w:ascii="仿宋_GB2312" w:eastAsia="仿宋_GB2312"/>
                <w:sz w:val="28"/>
                <w:szCs w:val="28"/>
              </w:rPr>
            </w:pPr>
            <w:r>
              <w:rPr>
                <w:rFonts w:hint="eastAsia" w:ascii="仿宋_GB2312" w:eastAsia="仿宋_GB2312"/>
                <w:sz w:val="28"/>
                <w:szCs w:val="28"/>
              </w:rPr>
              <w:t>在市级部门指导下，区住建、城市管理、交通等行业主管部门组织施工工地建设单位</w:t>
            </w:r>
            <w:r>
              <w:rPr>
                <w:rFonts w:hint="eastAsia" w:ascii="仿宋_GB2312" w:eastAsia="仿宋_GB2312" w:cs="仿宋_GB2312"/>
                <w:sz w:val="28"/>
                <w:szCs w:val="28"/>
              </w:rPr>
              <w:t>通过</w:t>
            </w:r>
            <w:r>
              <w:rPr>
                <w:rFonts w:hint="eastAsia" w:ascii="仿宋_GB2312" w:eastAsia="仿宋_GB2312"/>
                <w:sz w:val="28"/>
                <w:szCs w:val="28"/>
              </w:rPr>
              <w:t>招标文件</w:t>
            </w:r>
            <w:r>
              <w:rPr>
                <w:rFonts w:hint="eastAsia" w:ascii="仿宋_GB2312" w:eastAsia="仿宋_GB2312" w:cs="仿宋_GB2312"/>
                <w:sz w:val="28"/>
                <w:szCs w:val="28"/>
              </w:rPr>
              <w:t>等方式对施工单位</w:t>
            </w:r>
            <w:r>
              <w:rPr>
                <w:rFonts w:hint="eastAsia" w:ascii="仿宋_GB2312" w:eastAsia="仿宋_GB2312"/>
                <w:sz w:val="28"/>
                <w:szCs w:val="28"/>
              </w:rPr>
              <w:t>提出使用符合北京市《建筑类涂料与胶粘剂挥发性有机化合物含量限值标准》（DB11/1983-2022）产品的相关要求。</w:t>
            </w:r>
          </w:p>
          <w:p>
            <w:pPr>
              <w:snapToGrid w:val="0"/>
              <w:spacing w:line="320" w:lineRule="exact"/>
              <w:rPr>
                <w:rFonts w:hint="eastAsia" w:ascii="仿宋_GB2312" w:eastAsia="仿宋_GB2312"/>
                <w:sz w:val="28"/>
                <w:szCs w:val="28"/>
              </w:rPr>
            </w:pPr>
            <w:r>
              <w:rPr>
                <w:rFonts w:hint="eastAsia" w:ascii="仿宋_GB2312" w:eastAsia="仿宋_GB2312"/>
                <w:sz w:val="28"/>
                <w:szCs w:val="28"/>
              </w:rPr>
              <w:t>行业主管部门应对台账、检测报告等材料开展定期检查，并按照10%的比例对工地开展抽检，上报市级主管部门。</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年底前</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区住建委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区城管委</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区财政局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vMerge w:val="continue"/>
            <w:noWrap w:val="0"/>
            <w:vAlign w:val="top"/>
          </w:tcPr>
          <w:p>
            <w:pPr>
              <w:snapToGrid w:val="0"/>
              <w:spacing w:line="320" w:lineRule="exact"/>
              <w:jc w:val="center"/>
              <w:rPr>
                <w:rFonts w:hint="eastAsia" w:ascii="仿宋_GB2312" w:eastAsia="仿宋_GB2312"/>
                <w:sz w:val="28"/>
                <w:szCs w:val="28"/>
              </w:rPr>
            </w:pPr>
          </w:p>
        </w:tc>
        <w:tc>
          <w:tcPr>
            <w:tcW w:w="1736" w:type="dxa"/>
            <w:vMerge w:val="continue"/>
            <w:noWrap w:val="0"/>
            <w:vAlign w:val="top"/>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区科信局鼓励工业涂装企业使用符合国家和本市标准的涂料、胶粘剂等低（无）VOCs含量原辅材料。</w:t>
            </w:r>
          </w:p>
          <w:p>
            <w:pPr>
              <w:snapToGrid w:val="0"/>
              <w:spacing w:line="320" w:lineRule="exact"/>
              <w:rPr>
                <w:rFonts w:ascii="仿宋_GB2312" w:eastAsia="仿宋_GB2312"/>
                <w:sz w:val="28"/>
                <w:szCs w:val="28"/>
              </w:rPr>
            </w:pPr>
            <w:r>
              <w:rPr>
                <w:rFonts w:hint="eastAsia" w:ascii="仿宋_GB2312" w:eastAsia="仿宋_GB2312"/>
                <w:sz w:val="28"/>
                <w:szCs w:val="28"/>
              </w:rPr>
              <w:t>区生态环境局开展专项执法检查，对发现的含VOCs原辅材料检测超标线索移交市场监管部门，市场监管部门定期反馈处置结果。</w:t>
            </w:r>
          </w:p>
          <w:p>
            <w:pPr>
              <w:snapToGrid w:val="0"/>
              <w:spacing w:line="320" w:lineRule="exact"/>
              <w:rPr>
                <w:rFonts w:hint="eastAsia" w:ascii="仿宋_GB2312" w:eastAsia="仿宋_GB2312"/>
                <w:sz w:val="28"/>
                <w:szCs w:val="28"/>
              </w:rPr>
            </w:pPr>
            <w:r>
              <w:rPr>
                <w:rFonts w:hint="eastAsia" w:ascii="仿宋_GB2312" w:eastAsia="仿宋_GB2312"/>
                <w:sz w:val="28"/>
                <w:szCs w:val="28"/>
              </w:rPr>
              <w:t>区科信局、区市场监管局加强执法检查，督促工业涂装企业建立原辅材料台账，并使用符合标准的低（无）VOCs含量产品。</w:t>
            </w:r>
          </w:p>
        </w:tc>
        <w:tc>
          <w:tcPr>
            <w:tcW w:w="1406" w:type="dxa"/>
            <w:noWrap w:val="0"/>
            <w:vAlign w:val="center"/>
          </w:tcPr>
          <w:p>
            <w:pPr>
              <w:snapToGrid w:val="0"/>
              <w:spacing w:line="320" w:lineRule="exact"/>
              <w:ind w:left="-105" w:leftChars="-50" w:right="-105" w:rightChars="-50"/>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区科信局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区市场监管局</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jc w:val="center"/>
        </w:trPr>
        <w:tc>
          <w:tcPr>
            <w:tcW w:w="96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5</w:t>
            </w:r>
          </w:p>
        </w:tc>
        <w:tc>
          <w:tcPr>
            <w:tcW w:w="173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推进低（无）VOCs含量产品源头替代</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优先使用污染低、能耗低的沥青产品。</w:t>
            </w:r>
          </w:p>
        </w:tc>
        <w:tc>
          <w:tcPr>
            <w:tcW w:w="1406" w:type="dxa"/>
            <w:noWrap w:val="0"/>
            <w:vAlign w:val="center"/>
          </w:tcPr>
          <w:p>
            <w:pPr>
              <w:snapToGrid w:val="0"/>
              <w:spacing w:line="320" w:lineRule="exact"/>
              <w:ind w:left="-105" w:leftChars="-50" w:right="-105" w:rightChars="-50"/>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区城管委</w:t>
            </w:r>
          </w:p>
        </w:tc>
        <w:tc>
          <w:tcPr>
            <w:tcW w:w="2040" w:type="dxa"/>
            <w:noWrap w:val="0"/>
            <w:vAlign w:val="center"/>
          </w:tcPr>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6</w:t>
            </w:r>
          </w:p>
        </w:tc>
        <w:tc>
          <w:tcPr>
            <w:tcW w:w="1736"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加强重点行业VOCs全流程管控</w:t>
            </w:r>
          </w:p>
        </w:tc>
        <w:tc>
          <w:tcPr>
            <w:tcW w:w="5904" w:type="dxa"/>
            <w:noWrap w:val="0"/>
            <w:vAlign w:val="center"/>
          </w:tcPr>
          <w:p>
            <w:pPr>
              <w:snapToGrid w:val="0"/>
              <w:spacing w:line="320" w:lineRule="exact"/>
              <w:rPr>
                <w:rFonts w:ascii="仿宋_GB2312" w:eastAsia="仿宋_GB2312"/>
                <w:sz w:val="28"/>
                <w:szCs w:val="28"/>
              </w:rPr>
            </w:pPr>
            <w:r>
              <w:rPr>
                <w:rFonts w:hint="eastAsia" w:ascii="仿宋_GB2312" w:eastAsia="仿宋_GB2312"/>
                <w:sz w:val="28"/>
                <w:szCs w:val="28"/>
              </w:rPr>
              <w:t>以涉VOCs排放行业为重点，组织企业开展强制性清洁生产审核。</w:t>
            </w:r>
          </w:p>
          <w:p>
            <w:pPr>
              <w:snapToGrid w:val="0"/>
              <w:spacing w:line="320" w:lineRule="exact"/>
              <w:rPr>
                <w:rFonts w:hint="eastAsia" w:ascii="仿宋_GB2312" w:eastAsia="仿宋_GB2312"/>
                <w:sz w:val="28"/>
                <w:szCs w:val="28"/>
              </w:rPr>
            </w:pPr>
            <w:r>
              <w:rPr>
                <w:rFonts w:hint="eastAsia" w:ascii="仿宋_GB2312" w:eastAsia="仿宋_GB2312"/>
                <w:sz w:val="28"/>
                <w:szCs w:val="28"/>
              </w:rPr>
              <w:t>强化对审核企业的监管，对不实施强制性清洁生产审核或者不报告审核结果的企业依法责令限期改正。</w:t>
            </w:r>
          </w:p>
          <w:p>
            <w:pPr>
              <w:snapToGrid w:val="0"/>
              <w:spacing w:line="320" w:lineRule="exact"/>
              <w:rPr>
                <w:rFonts w:hint="eastAsia" w:ascii="仿宋_GB2312" w:eastAsia="仿宋_GB2312"/>
                <w:sz w:val="28"/>
                <w:szCs w:val="28"/>
              </w:rPr>
            </w:pPr>
            <w:r>
              <w:rPr>
                <w:rFonts w:hint="eastAsia" w:ascii="仿宋_GB2312" w:eastAsia="仿宋_GB2312"/>
                <w:sz w:val="28"/>
                <w:szCs w:val="28"/>
              </w:rPr>
              <w:t>结合重点行业评估等工作，组织区内重点企业开展精细化治理。</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年底前</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区发改委</w:t>
            </w:r>
          </w:p>
        </w:tc>
        <w:tc>
          <w:tcPr>
            <w:tcW w:w="2040" w:type="dxa"/>
            <w:noWrap w:val="0"/>
            <w:vAlign w:val="center"/>
          </w:tcPr>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区科信局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5" w:hRule="atLeast"/>
          <w:jc w:val="center"/>
        </w:trPr>
        <w:tc>
          <w:tcPr>
            <w:tcW w:w="960" w:type="dxa"/>
            <w:vMerge w:val="continue"/>
            <w:noWrap w:val="0"/>
            <w:vAlign w:val="center"/>
          </w:tcPr>
          <w:p>
            <w:pPr>
              <w:snapToGrid w:val="0"/>
              <w:spacing w:line="320" w:lineRule="exact"/>
              <w:jc w:val="center"/>
              <w:rPr>
                <w:rFonts w:hint="eastAsia" w:ascii="仿宋_GB2312" w:eastAsia="仿宋_GB2312"/>
                <w:sz w:val="28"/>
                <w:szCs w:val="28"/>
              </w:rPr>
            </w:pPr>
          </w:p>
        </w:tc>
        <w:tc>
          <w:tcPr>
            <w:tcW w:w="1736" w:type="dxa"/>
            <w:vMerge w:val="continue"/>
            <w:noWrap w:val="0"/>
            <w:vAlign w:val="center"/>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组织重点企业实施绿色诊断，支持企业对标行业先进资源能源消耗水平和污染物排放水平等开展绿色化技术改造。</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年底前</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区科信局</w:t>
            </w:r>
          </w:p>
        </w:tc>
        <w:tc>
          <w:tcPr>
            <w:tcW w:w="2040" w:type="dxa"/>
            <w:noWrap w:val="0"/>
            <w:vAlign w:val="center"/>
          </w:tcPr>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9" w:hRule="atLeast"/>
          <w:jc w:val="center"/>
        </w:trPr>
        <w:tc>
          <w:tcPr>
            <w:tcW w:w="96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7</w:t>
            </w:r>
          </w:p>
        </w:tc>
        <w:tc>
          <w:tcPr>
            <w:tcW w:w="173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推进重点工业园区、企业集群VOCs治理</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依据中关村示范区绿色发展行动方案，按要求配合开展园区规划环评，明确“十四五”时期VOCs排放总量和减排路径；结合自身产业结构和VOCs排放特点，制定2023年VOCs治理措施清单并组织实施。</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年底前</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东城园管委会</w:t>
            </w:r>
          </w:p>
        </w:tc>
        <w:tc>
          <w:tcPr>
            <w:tcW w:w="2040" w:type="dxa"/>
            <w:noWrap w:val="0"/>
            <w:vAlign w:val="center"/>
          </w:tcPr>
          <w:p>
            <w:pPr>
              <w:snapToGrid w:val="0"/>
              <w:spacing w:line="320" w:lineRule="exact"/>
              <w:jc w:val="center"/>
              <w:rPr>
                <w:rFonts w:hint="eastAsia" w:ascii="仿宋_GB2312" w:eastAsia="仿宋_GB2312"/>
                <w:spacing w:val="-11"/>
                <w:sz w:val="28"/>
                <w:szCs w:val="28"/>
              </w:rPr>
            </w:pPr>
            <w:r>
              <w:rPr>
                <w:rFonts w:hint="eastAsia" w:ascii="仿宋_GB2312" w:eastAsia="仿宋_GB2312"/>
                <w:spacing w:val="-11"/>
                <w:sz w:val="28"/>
                <w:szCs w:val="28"/>
              </w:rPr>
              <w:t>区科信局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6" w:hRule="atLeast"/>
          <w:jc w:val="center"/>
        </w:trPr>
        <w:tc>
          <w:tcPr>
            <w:tcW w:w="960"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8</w:t>
            </w:r>
          </w:p>
        </w:tc>
        <w:tc>
          <w:tcPr>
            <w:tcW w:w="1736"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促进油品储运环节减排</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区市场监管部门依法对生产、销售环节的车用油品、氮氧化物还原剂和车用油品清净剂产品质量开展监督抽查，依据《北京市机动车和非道路移动机械排放污染防治条例》，开展非道路移动机械实际使用柴油随机抽检，依法查处不合格产品。</w:t>
            </w:r>
          </w:p>
          <w:p>
            <w:pPr>
              <w:snapToGrid w:val="0"/>
              <w:spacing w:line="320" w:lineRule="exact"/>
              <w:rPr>
                <w:rFonts w:hint="eastAsia" w:ascii="仿宋_GB2312" w:eastAsia="仿宋_GB2312"/>
                <w:sz w:val="28"/>
                <w:szCs w:val="28"/>
              </w:rPr>
            </w:pPr>
            <w:r>
              <w:rPr>
                <w:rFonts w:hint="eastAsia" w:ascii="仿宋_GB2312" w:eastAsia="仿宋_GB2312"/>
                <w:sz w:val="28"/>
                <w:szCs w:val="28"/>
              </w:rPr>
              <w:t>东城公安分局按照市公安局统一部署，打击通过“自备罐”“流动加油车”“黑加油站点”等非法储存、运输、销售成品油的违法犯罪行为，及时宣传曝光典型案例，营造高压态势。</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区市场监管局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东城公安分局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区应急局</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区商务局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区住建委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jc w:val="center"/>
        </w:trPr>
        <w:tc>
          <w:tcPr>
            <w:tcW w:w="960" w:type="dxa"/>
            <w:vMerge w:val="continue"/>
            <w:noWrap w:val="0"/>
            <w:vAlign w:val="center"/>
          </w:tcPr>
          <w:p>
            <w:pPr>
              <w:snapToGrid w:val="0"/>
              <w:spacing w:line="320" w:lineRule="exact"/>
              <w:jc w:val="center"/>
              <w:rPr>
                <w:rFonts w:hint="eastAsia" w:ascii="仿宋_GB2312" w:eastAsia="仿宋_GB2312"/>
                <w:sz w:val="28"/>
                <w:szCs w:val="28"/>
              </w:rPr>
            </w:pPr>
          </w:p>
        </w:tc>
        <w:tc>
          <w:tcPr>
            <w:tcW w:w="1736" w:type="dxa"/>
            <w:vMerge w:val="continue"/>
            <w:noWrap w:val="0"/>
            <w:vAlign w:val="center"/>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区商务局、区生态环境局督促加油站和储油库在夏季组织实施错峰装卸油，引导加油站出台鼓励夜间加油的措施。</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6-9月</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区商务局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tc>
        <w:tc>
          <w:tcPr>
            <w:tcW w:w="2040" w:type="dxa"/>
            <w:noWrap w:val="0"/>
            <w:vAlign w:val="center"/>
          </w:tcPr>
          <w:p>
            <w:pPr>
              <w:snapToGrid w:val="0"/>
              <w:spacing w:line="320" w:lineRule="exact"/>
              <w:jc w:val="center"/>
              <w:rPr>
                <w:rFonts w:hint="eastAsia" w:ascii="仿宋_GB2312" w:eastAsia="仿宋_GB2312"/>
                <w:spacing w:val="-11"/>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3972" w:type="dxa"/>
            <w:gridSpan w:val="7"/>
            <w:noWrap w:val="0"/>
            <w:vAlign w:val="center"/>
          </w:tcPr>
          <w:p>
            <w:pPr>
              <w:snapToGrid w:val="0"/>
              <w:spacing w:line="320" w:lineRule="exact"/>
              <w:jc w:val="center"/>
              <w:rPr>
                <w:rFonts w:hint="eastAsia" w:ascii="仿宋_GB2312" w:eastAsia="仿宋_GB2312"/>
                <w:spacing w:val="-26"/>
                <w:sz w:val="28"/>
                <w:szCs w:val="28"/>
              </w:rPr>
            </w:pPr>
            <w:r>
              <w:rPr>
                <w:rFonts w:hint="eastAsia" w:ascii="黑体" w:hAnsi="黑体" w:eastAsia="黑体"/>
                <w:sz w:val="28"/>
                <w:szCs w:val="28"/>
              </w:rPr>
              <w:t>三、实施氮氧化物（NOx）减排专项行动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1" w:hRule="atLeast"/>
          <w:jc w:val="center"/>
        </w:trPr>
        <w:tc>
          <w:tcPr>
            <w:tcW w:w="96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9</w:t>
            </w:r>
          </w:p>
        </w:tc>
        <w:tc>
          <w:tcPr>
            <w:tcW w:w="173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削减固定源NOx排放量</w:t>
            </w:r>
          </w:p>
        </w:tc>
        <w:tc>
          <w:tcPr>
            <w:tcW w:w="5904" w:type="dxa"/>
            <w:noWrap w:val="0"/>
            <w:vAlign w:val="center"/>
          </w:tcPr>
          <w:p>
            <w:pPr>
              <w:snapToGrid w:val="0"/>
              <w:spacing w:line="320" w:lineRule="exact"/>
              <w:rPr>
                <w:rFonts w:hint="eastAsia" w:ascii="黑体" w:hAnsi="黑体" w:eastAsia="黑体"/>
                <w:sz w:val="28"/>
                <w:szCs w:val="28"/>
              </w:rPr>
            </w:pPr>
            <w:r>
              <w:rPr>
                <w:rFonts w:hint="eastAsia" w:ascii="仿宋_GB2312" w:hAnsi="Courier New" w:eastAsia="仿宋_GB2312" w:cs="宋体"/>
                <w:sz w:val="28"/>
                <w:szCs w:val="28"/>
              </w:rPr>
              <w:t>巩固“无煤化”成果，健全清洁取暖设备的运维服务机制。加强燃煤“四禁”，严防散煤复烧。加大散煤巡查力度，确保排查无死角、无盲区，保持散煤动态清零。</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年底前</w:t>
            </w:r>
          </w:p>
        </w:tc>
        <w:tc>
          <w:tcPr>
            <w:tcW w:w="1926" w:type="dxa"/>
            <w:gridSpan w:val="2"/>
            <w:noWrap w:val="0"/>
            <w:vAlign w:val="center"/>
          </w:tcPr>
          <w:p>
            <w:pPr>
              <w:snapToGrid w:val="0"/>
              <w:spacing w:line="320" w:lineRule="exact"/>
              <w:jc w:val="center"/>
              <w:rPr>
                <w:rFonts w:hint="eastAsia" w:ascii="仿宋_GB2312" w:hAnsi="Courier New" w:eastAsia="仿宋_GB2312" w:cs="宋体"/>
                <w:sz w:val="28"/>
                <w:szCs w:val="28"/>
              </w:rPr>
            </w:pPr>
            <w:r>
              <w:rPr>
                <w:rFonts w:hint="eastAsia" w:ascii="仿宋_GB2312" w:hAnsi="Courier New" w:eastAsia="仿宋_GB2312" w:cs="宋体"/>
                <w:sz w:val="28"/>
                <w:szCs w:val="28"/>
              </w:rPr>
              <w:t>区生态环境局</w:t>
            </w:r>
          </w:p>
          <w:p>
            <w:pPr>
              <w:snapToGrid w:val="0"/>
              <w:spacing w:line="320" w:lineRule="exact"/>
              <w:jc w:val="center"/>
              <w:rPr>
                <w:rFonts w:hint="eastAsia" w:ascii="仿宋_GB2312" w:hAnsi="Courier New" w:eastAsia="仿宋_GB2312" w:cs="宋体"/>
                <w:sz w:val="28"/>
                <w:szCs w:val="28"/>
              </w:rPr>
            </w:pPr>
            <w:r>
              <w:rPr>
                <w:rFonts w:hint="eastAsia" w:ascii="仿宋_GB2312" w:hAnsi="Courier New" w:eastAsia="仿宋_GB2312" w:cs="宋体"/>
                <w:sz w:val="28"/>
                <w:szCs w:val="28"/>
              </w:rPr>
              <w:t>区市场监管局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区城管执法局</w:t>
            </w:r>
          </w:p>
        </w:tc>
        <w:tc>
          <w:tcPr>
            <w:tcW w:w="2040" w:type="dxa"/>
            <w:noWrap w:val="0"/>
            <w:vAlign w:val="center"/>
          </w:tcPr>
          <w:p>
            <w:pPr>
              <w:spacing w:line="320" w:lineRule="exact"/>
              <w:jc w:val="center"/>
              <w:rPr>
                <w:rFonts w:hint="eastAsia" w:ascii="仿宋_GB2312" w:eastAsia="仿宋_GB2312"/>
                <w:spacing w:val="-26"/>
                <w:sz w:val="28"/>
                <w:szCs w:val="28"/>
              </w:rPr>
            </w:pPr>
            <w:r>
              <w:rPr>
                <w:rFonts w:hint="eastAsia" w:ascii="仿宋_GB2312" w:eastAsia="仿宋_GB2312"/>
                <w:sz w:val="28"/>
                <w:szCs w:val="28"/>
              </w:rPr>
              <w:t>各街道（地区）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960" w:type="dxa"/>
            <w:vMerge w:val="restart"/>
            <w:noWrap w:val="0"/>
            <w:vAlign w:val="center"/>
          </w:tcPr>
          <w:p>
            <w:pPr>
              <w:snapToGrid w:val="0"/>
              <w:spacing w:line="320" w:lineRule="exact"/>
              <w:jc w:val="center"/>
              <w:rPr>
                <w:rFonts w:hint="eastAsia" w:ascii="仿宋_GB2312" w:eastAsia="仿宋_GB2312"/>
                <w:sz w:val="28"/>
                <w:szCs w:val="28"/>
              </w:rPr>
            </w:pP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10</w:t>
            </w:r>
          </w:p>
          <w:p>
            <w:pPr>
              <w:snapToGrid w:val="0"/>
              <w:spacing w:line="320" w:lineRule="exact"/>
              <w:jc w:val="center"/>
              <w:rPr>
                <w:rFonts w:hint="eastAsia" w:ascii="仿宋_GB2312" w:eastAsia="仿宋_GB2312"/>
                <w:sz w:val="28"/>
                <w:szCs w:val="28"/>
              </w:rPr>
            </w:pPr>
          </w:p>
          <w:p>
            <w:pPr>
              <w:snapToGrid w:val="0"/>
              <w:spacing w:line="320" w:lineRule="exact"/>
              <w:jc w:val="center"/>
              <w:rPr>
                <w:rFonts w:hint="eastAsia" w:ascii="仿宋_GB2312" w:eastAsia="仿宋_GB2312"/>
                <w:sz w:val="28"/>
                <w:szCs w:val="28"/>
              </w:rPr>
            </w:pPr>
          </w:p>
          <w:p>
            <w:pPr>
              <w:snapToGrid w:val="0"/>
              <w:spacing w:line="320" w:lineRule="exact"/>
              <w:jc w:val="center"/>
              <w:rPr>
                <w:rFonts w:hint="eastAsia" w:ascii="仿宋_GB2312" w:eastAsia="仿宋_GB2312"/>
                <w:sz w:val="28"/>
                <w:szCs w:val="28"/>
              </w:rPr>
            </w:pPr>
          </w:p>
          <w:p>
            <w:pPr>
              <w:snapToGrid w:val="0"/>
              <w:spacing w:line="320" w:lineRule="exact"/>
              <w:jc w:val="center"/>
              <w:rPr>
                <w:rFonts w:hint="eastAsia" w:ascii="仿宋_GB2312" w:eastAsia="仿宋_GB2312"/>
                <w:sz w:val="28"/>
                <w:szCs w:val="28"/>
              </w:rPr>
            </w:pPr>
          </w:p>
          <w:p>
            <w:pPr>
              <w:snapToGrid w:val="0"/>
              <w:spacing w:line="320" w:lineRule="exact"/>
              <w:jc w:val="center"/>
              <w:rPr>
                <w:rFonts w:hint="eastAsia" w:ascii="仿宋_GB2312" w:eastAsia="仿宋_GB2312"/>
                <w:sz w:val="28"/>
                <w:szCs w:val="28"/>
              </w:rPr>
            </w:pPr>
          </w:p>
          <w:p>
            <w:pPr>
              <w:snapToGrid w:val="0"/>
              <w:spacing w:line="320" w:lineRule="exact"/>
              <w:jc w:val="center"/>
              <w:rPr>
                <w:rFonts w:hint="eastAsia" w:ascii="仿宋_GB2312" w:eastAsia="仿宋_GB2312"/>
                <w:sz w:val="28"/>
                <w:szCs w:val="28"/>
              </w:rPr>
            </w:pPr>
          </w:p>
          <w:p>
            <w:pPr>
              <w:snapToGrid w:val="0"/>
              <w:spacing w:line="320" w:lineRule="exact"/>
              <w:jc w:val="center"/>
              <w:rPr>
                <w:rFonts w:hint="eastAsia" w:ascii="仿宋_GB2312" w:eastAsia="仿宋_GB2312"/>
                <w:sz w:val="28"/>
                <w:szCs w:val="28"/>
              </w:rPr>
            </w:pPr>
          </w:p>
          <w:p>
            <w:pPr>
              <w:snapToGrid w:val="0"/>
              <w:spacing w:line="320" w:lineRule="exact"/>
              <w:jc w:val="center"/>
              <w:rPr>
                <w:rFonts w:hint="eastAsia" w:ascii="仿宋_GB2312" w:eastAsia="仿宋_GB2312"/>
                <w:sz w:val="28"/>
                <w:szCs w:val="28"/>
              </w:rPr>
            </w:pP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10</w:t>
            </w:r>
          </w:p>
        </w:tc>
        <w:tc>
          <w:tcPr>
            <w:tcW w:w="1736" w:type="dxa"/>
            <w:vMerge w:val="restart"/>
            <w:noWrap w:val="0"/>
            <w:vAlign w:val="center"/>
          </w:tcPr>
          <w:p>
            <w:pPr>
              <w:snapToGrid w:val="0"/>
              <w:spacing w:line="320" w:lineRule="exact"/>
              <w:jc w:val="center"/>
              <w:rPr>
                <w:rFonts w:hint="eastAsia" w:ascii="仿宋_GB2312" w:eastAsia="仿宋_GB2312"/>
                <w:sz w:val="28"/>
                <w:szCs w:val="28"/>
              </w:rPr>
            </w:pP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推动机动车清洁化</w:t>
            </w:r>
          </w:p>
          <w:p>
            <w:pPr>
              <w:snapToGrid w:val="0"/>
              <w:spacing w:line="320" w:lineRule="exact"/>
              <w:jc w:val="center"/>
              <w:rPr>
                <w:rFonts w:hint="eastAsia" w:ascii="仿宋_GB2312" w:eastAsia="仿宋_GB2312"/>
                <w:sz w:val="28"/>
                <w:szCs w:val="28"/>
              </w:rPr>
            </w:pPr>
          </w:p>
          <w:p>
            <w:pPr>
              <w:snapToGrid w:val="0"/>
              <w:spacing w:line="320" w:lineRule="exact"/>
              <w:jc w:val="center"/>
              <w:rPr>
                <w:rFonts w:hint="eastAsia" w:ascii="仿宋_GB2312" w:eastAsia="仿宋_GB2312"/>
                <w:sz w:val="28"/>
                <w:szCs w:val="28"/>
              </w:rPr>
            </w:pPr>
          </w:p>
          <w:p>
            <w:pPr>
              <w:snapToGrid w:val="0"/>
              <w:spacing w:line="320" w:lineRule="exact"/>
              <w:jc w:val="center"/>
              <w:rPr>
                <w:rFonts w:hint="eastAsia" w:ascii="仿宋_GB2312" w:eastAsia="仿宋_GB2312"/>
                <w:sz w:val="28"/>
                <w:szCs w:val="28"/>
              </w:rPr>
            </w:pPr>
          </w:p>
          <w:p>
            <w:pPr>
              <w:snapToGrid w:val="0"/>
              <w:spacing w:line="320" w:lineRule="exact"/>
              <w:jc w:val="center"/>
              <w:rPr>
                <w:rFonts w:hint="eastAsia" w:ascii="仿宋_GB2312" w:eastAsia="仿宋_GB2312"/>
                <w:sz w:val="28"/>
                <w:szCs w:val="28"/>
              </w:rPr>
            </w:pPr>
          </w:p>
          <w:p>
            <w:pPr>
              <w:snapToGrid w:val="0"/>
              <w:spacing w:line="320" w:lineRule="exact"/>
              <w:jc w:val="center"/>
              <w:rPr>
                <w:rFonts w:hint="eastAsia" w:ascii="仿宋_GB2312" w:eastAsia="仿宋_GB2312"/>
                <w:sz w:val="28"/>
                <w:szCs w:val="28"/>
              </w:rPr>
            </w:pPr>
          </w:p>
          <w:p>
            <w:pPr>
              <w:snapToGrid w:val="0"/>
              <w:spacing w:line="320" w:lineRule="exact"/>
              <w:jc w:val="center"/>
              <w:rPr>
                <w:rFonts w:hint="eastAsia" w:ascii="仿宋_GB2312" w:eastAsia="仿宋_GB2312"/>
                <w:sz w:val="28"/>
                <w:szCs w:val="28"/>
              </w:rPr>
            </w:pP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推动机动车清洁化</w:t>
            </w:r>
          </w:p>
        </w:tc>
        <w:tc>
          <w:tcPr>
            <w:tcW w:w="5904" w:type="dxa"/>
            <w:noWrap w:val="0"/>
            <w:vAlign w:val="center"/>
          </w:tcPr>
          <w:p>
            <w:pPr>
              <w:snapToGrid w:val="0"/>
              <w:spacing w:line="320" w:lineRule="exact"/>
              <w:rPr>
                <w:rFonts w:hint="eastAsia" w:ascii="仿宋_GB2312" w:hAnsi="Courier New" w:eastAsia="仿宋_GB2312" w:cs="宋体"/>
                <w:sz w:val="28"/>
                <w:szCs w:val="28"/>
                <w:highlight w:val="yellow"/>
              </w:rPr>
            </w:pPr>
            <w:r>
              <w:rPr>
                <w:rFonts w:hint="eastAsia" w:ascii="仿宋_GB2312" w:hAnsi="Courier New" w:eastAsia="仿宋_GB2312" w:cs="宋体"/>
                <w:sz w:val="28"/>
                <w:szCs w:val="28"/>
              </w:rPr>
              <w:t>新增和更新的商超、快递等轻型物流配送车辆为纯电动或氢燃料电池车比例达到80%。</w:t>
            </w:r>
          </w:p>
        </w:tc>
        <w:tc>
          <w:tcPr>
            <w:tcW w:w="1406" w:type="dxa"/>
            <w:noWrap w:val="0"/>
            <w:vAlign w:val="center"/>
          </w:tcPr>
          <w:p>
            <w:pPr>
              <w:snapToGrid w:val="0"/>
              <w:spacing w:line="320" w:lineRule="exact"/>
              <w:jc w:val="center"/>
              <w:rPr>
                <w:rFonts w:hint="eastAsia" w:ascii="仿宋_GB2312" w:hAnsi="Courier New" w:eastAsia="仿宋_GB2312" w:cs="宋体"/>
                <w:sz w:val="28"/>
                <w:szCs w:val="28"/>
              </w:rPr>
            </w:pPr>
            <w:r>
              <w:rPr>
                <w:rFonts w:hint="eastAsia" w:ascii="仿宋_GB2312" w:hAnsi="Courier New" w:eastAsia="仿宋_GB2312" w:cs="宋体"/>
                <w:sz w:val="28"/>
                <w:szCs w:val="28"/>
              </w:rPr>
              <w:t>年底前</w:t>
            </w:r>
          </w:p>
        </w:tc>
        <w:tc>
          <w:tcPr>
            <w:tcW w:w="1926" w:type="dxa"/>
            <w:gridSpan w:val="2"/>
            <w:noWrap w:val="0"/>
            <w:vAlign w:val="center"/>
          </w:tcPr>
          <w:p>
            <w:pPr>
              <w:snapToGrid w:val="0"/>
              <w:spacing w:line="320" w:lineRule="exact"/>
              <w:jc w:val="center"/>
              <w:rPr>
                <w:rFonts w:hint="eastAsia" w:ascii="仿宋_GB2312" w:hAnsi="Courier New" w:eastAsia="仿宋_GB2312" w:cs="宋体"/>
                <w:sz w:val="28"/>
                <w:szCs w:val="28"/>
              </w:rPr>
            </w:pPr>
            <w:r>
              <w:rPr>
                <w:rFonts w:hint="eastAsia" w:ascii="仿宋_GB2312" w:hAnsi="Courier New" w:eastAsia="仿宋_GB2312" w:cs="宋体"/>
                <w:sz w:val="28"/>
                <w:szCs w:val="28"/>
              </w:rPr>
              <w:t>区商务局</w:t>
            </w:r>
          </w:p>
          <w:p>
            <w:pPr>
              <w:snapToGrid w:val="0"/>
              <w:spacing w:line="320" w:lineRule="exact"/>
              <w:jc w:val="center"/>
              <w:rPr>
                <w:rFonts w:hint="eastAsia" w:ascii="仿宋_GB2312" w:hAnsi="Courier New" w:eastAsia="仿宋_GB2312" w:cs="宋体"/>
                <w:sz w:val="28"/>
                <w:szCs w:val="28"/>
              </w:rPr>
            </w:pPr>
            <w:r>
              <w:rPr>
                <w:rFonts w:hint="eastAsia" w:ascii="仿宋_GB2312" w:hAnsi="Courier New" w:eastAsia="仿宋_GB2312" w:cs="宋体"/>
                <w:sz w:val="28"/>
                <w:szCs w:val="28"/>
              </w:rPr>
              <w:t>区国资委</w:t>
            </w:r>
          </w:p>
          <w:p>
            <w:pPr>
              <w:snapToGrid w:val="0"/>
              <w:spacing w:line="320" w:lineRule="exact"/>
              <w:jc w:val="center"/>
              <w:rPr>
                <w:rFonts w:hint="eastAsia" w:ascii="仿宋_GB2312" w:hAnsi="Courier New" w:eastAsia="仿宋_GB2312" w:cs="宋体"/>
                <w:sz w:val="28"/>
                <w:szCs w:val="28"/>
              </w:rPr>
            </w:pPr>
            <w:r>
              <w:rPr>
                <w:rFonts w:hint="eastAsia" w:ascii="仿宋_GB2312" w:hAnsi="Courier New" w:eastAsia="仿宋_GB2312" w:cs="宋体"/>
                <w:sz w:val="28"/>
                <w:szCs w:val="28"/>
              </w:rPr>
              <w:t>区城管委</w:t>
            </w:r>
          </w:p>
        </w:tc>
        <w:tc>
          <w:tcPr>
            <w:tcW w:w="2040" w:type="dxa"/>
            <w:noWrap w:val="0"/>
            <w:vAlign w:val="center"/>
          </w:tcPr>
          <w:p>
            <w:pPr>
              <w:snapToGrid w:val="0"/>
              <w:spacing w:line="320" w:lineRule="exact"/>
              <w:jc w:val="center"/>
              <w:rPr>
                <w:rFonts w:hint="eastAsia" w:ascii="仿宋_GB2312" w:hAnsi="Courier New" w:eastAsia="仿宋_GB2312" w:cs="宋体"/>
                <w:sz w:val="28"/>
                <w:szCs w:val="28"/>
              </w:rPr>
            </w:pPr>
            <w:r>
              <w:rPr>
                <w:rFonts w:hint="eastAsia" w:ascii="仿宋_GB2312" w:hAnsi="Courier New" w:eastAsia="仿宋_GB2312"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8" w:hRule="atLeast"/>
          <w:jc w:val="center"/>
        </w:trPr>
        <w:tc>
          <w:tcPr>
            <w:tcW w:w="960" w:type="dxa"/>
            <w:vMerge w:val="continue"/>
            <w:noWrap w:val="0"/>
            <w:vAlign w:val="center"/>
          </w:tcPr>
          <w:p>
            <w:pPr>
              <w:snapToGrid w:val="0"/>
              <w:spacing w:line="320" w:lineRule="exact"/>
              <w:jc w:val="center"/>
              <w:rPr>
                <w:rFonts w:hint="eastAsia" w:ascii="仿宋_GB2312" w:eastAsia="仿宋_GB2312"/>
                <w:sz w:val="28"/>
                <w:szCs w:val="28"/>
              </w:rPr>
            </w:pPr>
          </w:p>
        </w:tc>
        <w:tc>
          <w:tcPr>
            <w:tcW w:w="1736" w:type="dxa"/>
            <w:vMerge w:val="continue"/>
            <w:noWrap w:val="0"/>
            <w:vAlign w:val="center"/>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hAnsi="Courier New" w:eastAsia="仿宋_GB2312" w:cs="宋体"/>
                <w:sz w:val="28"/>
                <w:szCs w:val="28"/>
              </w:rPr>
            </w:pPr>
            <w:r>
              <w:rPr>
                <w:rFonts w:hint="eastAsia" w:ascii="仿宋_GB2312" w:eastAsia="仿宋_GB2312"/>
                <w:spacing w:val="-6"/>
                <w:sz w:val="28"/>
                <w:szCs w:val="28"/>
              </w:rPr>
              <w:t>新增和更新的4.5吨以下环卫车为纯电动或氢燃料电池车；新增和更新的4.5吨以上环卫车中，纯电动或氢燃料电池车比例达到60%。到2023年底，纯电动或氢燃料电池车比例达到40%。</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年底前</w:t>
            </w:r>
          </w:p>
        </w:tc>
        <w:tc>
          <w:tcPr>
            <w:tcW w:w="1926" w:type="dxa"/>
            <w:gridSpan w:val="2"/>
            <w:noWrap w:val="0"/>
            <w:vAlign w:val="center"/>
          </w:tcPr>
          <w:p>
            <w:pPr>
              <w:snapToGrid w:val="0"/>
              <w:spacing w:line="320" w:lineRule="exact"/>
              <w:ind w:left="-105" w:leftChars="-50" w:right="-105" w:rightChars="-50"/>
              <w:jc w:val="center"/>
              <w:rPr>
                <w:rFonts w:hint="eastAsia" w:ascii="仿宋_GB2312" w:eastAsia="仿宋_GB2312"/>
                <w:sz w:val="28"/>
                <w:szCs w:val="28"/>
              </w:rPr>
            </w:pPr>
            <w:r>
              <w:rPr>
                <w:rFonts w:hint="eastAsia" w:ascii="仿宋_GB2312" w:eastAsia="仿宋_GB2312"/>
                <w:sz w:val="28"/>
                <w:szCs w:val="28"/>
              </w:rPr>
              <w:t>区城管委</w:t>
            </w:r>
          </w:p>
          <w:p>
            <w:pPr>
              <w:snapToGrid w:val="0"/>
              <w:spacing w:line="320" w:lineRule="exact"/>
              <w:ind w:left="-105" w:leftChars="-50" w:right="-105" w:rightChars="-50"/>
              <w:jc w:val="center"/>
              <w:rPr>
                <w:rFonts w:hint="eastAsia" w:ascii="仿宋_GB2312" w:hAnsi="Courier New" w:eastAsia="仿宋_GB2312" w:cs="宋体"/>
                <w:sz w:val="28"/>
                <w:szCs w:val="28"/>
              </w:rPr>
            </w:pPr>
            <w:r>
              <w:rPr>
                <w:rFonts w:hint="eastAsia" w:ascii="仿宋_GB2312" w:eastAsia="仿宋_GB2312"/>
                <w:sz w:val="28"/>
                <w:szCs w:val="28"/>
              </w:rPr>
              <w:t>区环卫中心</w:t>
            </w:r>
          </w:p>
        </w:tc>
        <w:tc>
          <w:tcPr>
            <w:tcW w:w="2040" w:type="dxa"/>
            <w:noWrap w:val="0"/>
            <w:vAlign w:val="center"/>
          </w:tcPr>
          <w:p>
            <w:pPr>
              <w:snapToGrid w:val="0"/>
              <w:spacing w:line="320" w:lineRule="exact"/>
              <w:ind w:left="-105" w:leftChars="-50" w:right="-105" w:rightChars="-50"/>
              <w:jc w:val="center"/>
              <w:rPr>
                <w:rFonts w:hint="eastAsia" w:ascii="仿宋_GB2312" w:eastAsia="仿宋_GB2312"/>
                <w:sz w:val="28"/>
                <w:szCs w:val="28"/>
              </w:rPr>
            </w:pPr>
            <w:r>
              <w:rPr>
                <w:rFonts w:hint="eastAsia" w:ascii="仿宋_GB2312" w:hAnsi="Courier New" w:eastAsia="仿宋_GB2312" w:cs="宋体"/>
                <w:sz w:val="28"/>
                <w:szCs w:val="28"/>
              </w:rPr>
              <w:t>区财政局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960" w:type="dxa"/>
            <w:vMerge w:val="continue"/>
            <w:noWrap w:val="0"/>
            <w:vAlign w:val="top"/>
          </w:tcPr>
          <w:p>
            <w:pPr>
              <w:snapToGrid w:val="0"/>
              <w:spacing w:line="320" w:lineRule="exact"/>
              <w:jc w:val="center"/>
              <w:rPr>
                <w:rFonts w:hint="eastAsia" w:ascii="仿宋_GB2312" w:eastAsia="仿宋_GB2312"/>
                <w:sz w:val="28"/>
                <w:szCs w:val="28"/>
              </w:rPr>
            </w:pPr>
          </w:p>
        </w:tc>
        <w:tc>
          <w:tcPr>
            <w:tcW w:w="1736" w:type="dxa"/>
            <w:vMerge w:val="continue"/>
            <w:noWrap w:val="0"/>
            <w:vAlign w:val="top"/>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hAnsi="Calibri" w:eastAsia="仿宋_GB2312"/>
                <w:sz w:val="28"/>
                <w:szCs w:val="28"/>
              </w:rPr>
            </w:pPr>
            <w:r>
              <w:rPr>
                <w:rFonts w:hint="eastAsia" w:ascii="仿宋_GB2312" w:hAnsi="Calibri" w:eastAsia="仿宋_GB2312"/>
                <w:sz w:val="28"/>
                <w:szCs w:val="28"/>
              </w:rPr>
              <w:t>新增和更新的4.5吨以下邮政车（不含机要通信车）为纯电动或氢燃料电池车，到2023年底，纯电动或氢燃料电池车比例达到50%。</w:t>
            </w:r>
          </w:p>
        </w:tc>
        <w:tc>
          <w:tcPr>
            <w:tcW w:w="1406" w:type="dxa"/>
            <w:noWrap w:val="0"/>
            <w:vAlign w:val="center"/>
          </w:tcPr>
          <w:p>
            <w:pPr>
              <w:snapToGrid w:val="0"/>
              <w:spacing w:line="320" w:lineRule="exact"/>
              <w:jc w:val="center"/>
              <w:rPr>
                <w:rFonts w:hint="eastAsia" w:ascii="仿宋_GB2312" w:hAnsi="Calibri" w:eastAsia="仿宋_GB2312"/>
                <w:sz w:val="28"/>
                <w:szCs w:val="28"/>
              </w:rPr>
            </w:pPr>
            <w:r>
              <w:rPr>
                <w:rFonts w:hint="eastAsia" w:ascii="仿宋_GB2312" w:hAnsi="Calibri" w:eastAsia="仿宋_GB2312"/>
                <w:sz w:val="28"/>
                <w:szCs w:val="28"/>
              </w:rPr>
              <w:t>年底前</w:t>
            </w:r>
          </w:p>
        </w:tc>
        <w:tc>
          <w:tcPr>
            <w:tcW w:w="1926" w:type="dxa"/>
            <w:gridSpan w:val="2"/>
            <w:noWrap w:val="0"/>
            <w:vAlign w:val="center"/>
          </w:tcPr>
          <w:p>
            <w:pPr>
              <w:snapToGrid w:val="0"/>
              <w:spacing w:line="320" w:lineRule="exact"/>
              <w:jc w:val="center"/>
              <w:rPr>
                <w:rFonts w:hint="eastAsia" w:ascii="仿宋_GB2312" w:hAnsi="Calibri" w:eastAsia="仿宋_GB2312"/>
                <w:sz w:val="28"/>
                <w:szCs w:val="28"/>
              </w:rPr>
            </w:pPr>
            <w:r>
              <w:rPr>
                <w:rFonts w:hint="eastAsia" w:ascii="仿宋_GB2312" w:hAnsi="Calibri" w:eastAsia="仿宋_GB2312"/>
                <w:sz w:val="28"/>
                <w:szCs w:val="28"/>
              </w:rPr>
              <w:t>中国邮政集团有限公司北京邮区中心</w:t>
            </w:r>
          </w:p>
        </w:tc>
        <w:tc>
          <w:tcPr>
            <w:tcW w:w="2040" w:type="dxa"/>
            <w:noWrap w:val="0"/>
            <w:vAlign w:val="center"/>
          </w:tcPr>
          <w:p>
            <w:pPr>
              <w:snapToGrid w:val="0"/>
              <w:spacing w:line="320" w:lineRule="exact"/>
              <w:jc w:val="center"/>
              <w:rPr>
                <w:rFonts w:hint="eastAsia" w:ascii="仿宋_GB2312" w:hAnsi="Calibri" w:eastAsia="仿宋_GB2312"/>
                <w:sz w:val="28"/>
                <w:szCs w:val="28"/>
              </w:rPr>
            </w:pPr>
            <w:r>
              <w:rPr>
                <w:rFonts w:hint="eastAsia" w:ascii="仿宋_GB2312" w:hAnsi="Calibri" w:eastAsia="仿宋_GB2312"/>
                <w:sz w:val="28"/>
                <w:szCs w:val="28"/>
              </w:rPr>
              <w:t>区生态环境局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1" w:hRule="atLeast"/>
          <w:jc w:val="center"/>
        </w:trPr>
        <w:tc>
          <w:tcPr>
            <w:tcW w:w="960" w:type="dxa"/>
            <w:vMerge w:val="continue"/>
            <w:noWrap w:val="0"/>
            <w:vAlign w:val="top"/>
          </w:tcPr>
          <w:p>
            <w:pPr>
              <w:snapToGrid w:val="0"/>
              <w:spacing w:line="320" w:lineRule="exact"/>
              <w:jc w:val="center"/>
              <w:rPr>
                <w:rFonts w:hint="eastAsia" w:ascii="仿宋_GB2312" w:eastAsia="仿宋_GB2312"/>
                <w:sz w:val="28"/>
                <w:szCs w:val="28"/>
              </w:rPr>
            </w:pPr>
          </w:p>
        </w:tc>
        <w:tc>
          <w:tcPr>
            <w:tcW w:w="1736" w:type="dxa"/>
            <w:vMerge w:val="continue"/>
            <w:noWrap w:val="0"/>
            <w:vAlign w:val="top"/>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pacing w:val="-6"/>
                <w:sz w:val="28"/>
                <w:szCs w:val="28"/>
              </w:rPr>
              <w:t>配合市级部门修订支持本市新能源物流配送车辆优先通行的政策，按照市级部门统一部署，进一步严格申请办理货车通行证的新能源化及联网要求，优先保障纯电动和氢燃料电池车辆申报。</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按时间</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节点完成</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运管分局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交通支队</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区商务局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7" w:hRule="atLeast"/>
          <w:jc w:val="center"/>
        </w:trPr>
        <w:tc>
          <w:tcPr>
            <w:tcW w:w="96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11</w:t>
            </w:r>
          </w:p>
        </w:tc>
        <w:tc>
          <w:tcPr>
            <w:tcW w:w="173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非道路移动机械综合治理</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严格实施国四非道路移动机械排放标准。</w:t>
            </w:r>
          </w:p>
          <w:p>
            <w:pPr>
              <w:snapToGrid w:val="0"/>
              <w:spacing w:line="320" w:lineRule="exact"/>
              <w:rPr>
                <w:rFonts w:hint="eastAsia" w:ascii="仿宋_GB2312" w:eastAsia="仿宋_GB2312"/>
                <w:sz w:val="28"/>
                <w:szCs w:val="28"/>
              </w:rPr>
            </w:pPr>
            <w:r>
              <w:rPr>
                <w:rFonts w:hint="eastAsia" w:ascii="仿宋_GB2312" w:eastAsia="仿宋_GB2312"/>
                <w:sz w:val="28"/>
                <w:szCs w:val="28"/>
              </w:rPr>
              <w:t>住建、城管、交通、水务、园林绿化等部门加强对本行业在用非道路移动机械监管，做好编码登记和进出场使用管理，要求企业使用规范合格油品，保证达标排放；鼓励本行业施工单位优先使用国三及以上排放标准机械，将机械使用情况纳入“绿牌”工地评定办法；推进本行业管理的施工工地优先使用纯电动或氢燃料电池非道路移动机械，鼓励国二及以下(含x阶段)排放标准非道路移动机械淘汰。政府投资建设项目优先使用国三及以上排放标准和纯电动或氢燃料电池机械。</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ind w:left="-105" w:leftChars="-50" w:right="-105" w:rightChars="-50"/>
              <w:jc w:val="center"/>
              <w:rPr>
                <w:rFonts w:hint="eastAsia" w:ascii="仿宋_GB2312" w:eastAsia="仿宋_GB2312"/>
                <w:spacing w:val="-20"/>
                <w:sz w:val="28"/>
                <w:szCs w:val="28"/>
              </w:rPr>
            </w:pPr>
            <w:r>
              <w:rPr>
                <w:rFonts w:hint="eastAsia" w:ascii="仿宋_GB2312" w:eastAsia="仿宋_GB2312"/>
                <w:spacing w:val="-20"/>
                <w:sz w:val="28"/>
                <w:szCs w:val="28"/>
              </w:rPr>
              <w:t>区住建委</w:t>
            </w:r>
          </w:p>
          <w:p>
            <w:pPr>
              <w:snapToGrid w:val="0"/>
              <w:spacing w:line="320" w:lineRule="exact"/>
              <w:ind w:left="-105" w:leftChars="-50" w:right="-105" w:rightChars="-50"/>
              <w:jc w:val="center"/>
              <w:rPr>
                <w:rFonts w:hint="eastAsia" w:ascii="仿宋_GB2312" w:eastAsia="仿宋_GB2312"/>
                <w:sz w:val="28"/>
                <w:szCs w:val="28"/>
              </w:rPr>
            </w:pPr>
            <w:r>
              <w:rPr>
                <w:rFonts w:hint="eastAsia" w:ascii="仿宋_GB2312" w:eastAsia="仿宋_GB2312"/>
                <w:sz w:val="28"/>
                <w:szCs w:val="28"/>
              </w:rPr>
              <w:t>区城管委</w:t>
            </w:r>
          </w:p>
          <w:p>
            <w:pPr>
              <w:snapToGrid w:val="0"/>
              <w:spacing w:line="320" w:lineRule="exact"/>
              <w:ind w:left="-105" w:leftChars="-50" w:right="-105" w:rightChars="-50"/>
              <w:jc w:val="center"/>
              <w:rPr>
                <w:rFonts w:hint="eastAsia" w:ascii="仿宋_GB2312" w:eastAsia="仿宋_GB2312"/>
                <w:sz w:val="28"/>
                <w:szCs w:val="28"/>
              </w:rPr>
            </w:pPr>
            <w:r>
              <w:rPr>
                <w:rFonts w:hint="eastAsia" w:ascii="仿宋_GB2312" w:eastAsia="仿宋_GB2312"/>
                <w:sz w:val="28"/>
                <w:szCs w:val="28"/>
              </w:rPr>
              <w:t>区园林绿化局</w:t>
            </w:r>
          </w:p>
        </w:tc>
        <w:tc>
          <w:tcPr>
            <w:tcW w:w="2040" w:type="dxa"/>
            <w:noWrap w:val="0"/>
            <w:vAlign w:val="center"/>
          </w:tcPr>
          <w:p>
            <w:pPr>
              <w:widowControl/>
              <w:snapToGrid w:val="0"/>
              <w:spacing w:line="320" w:lineRule="exact"/>
              <w:ind w:left="-105" w:leftChars="-50" w:right="-105" w:rightChars="-50"/>
              <w:jc w:val="center"/>
              <w:rPr>
                <w:rFonts w:hint="eastAsia" w:ascii="仿宋_GB2312" w:eastAsia="仿宋_GB2312"/>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1" w:hRule="atLeast"/>
          <w:jc w:val="center"/>
        </w:trPr>
        <w:tc>
          <w:tcPr>
            <w:tcW w:w="96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11</w:t>
            </w:r>
          </w:p>
        </w:tc>
        <w:tc>
          <w:tcPr>
            <w:tcW w:w="173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非道路移动机械综合治理</w:t>
            </w:r>
          </w:p>
        </w:tc>
        <w:tc>
          <w:tcPr>
            <w:tcW w:w="5904" w:type="dxa"/>
            <w:noWrap w:val="0"/>
            <w:vAlign w:val="center"/>
          </w:tcPr>
          <w:p>
            <w:pPr>
              <w:snapToGrid w:val="0"/>
              <w:spacing w:line="320" w:lineRule="exact"/>
              <w:rPr>
                <w:rFonts w:hint="eastAsia" w:ascii="仿宋_GB2312" w:eastAsia="仿宋_GB2312"/>
                <w:spacing w:val="-6"/>
                <w:sz w:val="28"/>
                <w:szCs w:val="28"/>
              </w:rPr>
            </w:pPr>
            <w:r>
              <w:rPr>
                <w:rFonts w:hint="eastAsia" w:ascii="仿宋_GB2312" w:eastAsia="仿宋_GB2312"/>
                <w:spacing w:val="-6"/>
                <w:sz w:val="28"/>
                <w:szCs w:val="28"/>
              </w:rPr>
              <w:t>组织推进重点企业的国四场内货车、国二及以下(含x阶段)排放标准非道路移动机械淘汰,加速自有及使用的机动车和非道路移动机械电动化。</w:t>
            </w:r>
          </w:p>
          <w:p>
            <w:pPr>
              <w:snapToGrid w:val="0"/>
              <w:spacing w:line="320" w:lineRule="exact"/>
              <w:rPr>
                <w:rFonts w:hint="eastAsia" w:ascii="仿宋_GB2312" w:eastAsia="仿宋_GB2312"/>
                <w:sz w:val="28"/>
                <w:szCs w:val="28"/>
              </w:rPr>
            </w:pPr>
            <w:r>
              <w:rPr>
                <w:rFonts w:hint="eastAsia" w:ascii="仿宋_GB2312" w:eastAsia="仿宋_GB2312"/>
                <w:sz w:val="28"/>
                <w:szCs w:val="28"/>
              </w:rPr>
              <w:t>区生态环境局加强对非道路移动机械排放、编码登记状况的监督检查。</w:t>
            </w:r>
          </w:p>
          <w:p>
            <w:pPr>
              <w:snapToGrid w:val="0"/>
              <w:spacing w:line="320" w:lineRule="exact"/>
              <w:rPr>
                <w:rFonts w:hint="eastAsia" w:ascii="仿宋_GB2312" w:eastAsia="仿宋_GB2312"/>
                <w:sz w:val="28"/>
                <w:szCs w:val="28"/>
              </w:rPr>
            </w:pPr>
            <w:r>
              <w:rPr>
                <w:rFonts w:hint="eastAsia" w:ascii="仿宋_GB2312" w:eastAsia="仿宋_GB2312"/>
                <w:spacing w:val="-6"/>
                <w:sz w:val="28"/>
                <w:szCs w:val="28"/>
              </w:rPr>
              <w:t>区住建委依法将使用未经信息编码登记或者不符合排放标准的非道路移动机械的建设单位或者施工单位，记入信用信息记录，并开展行业督导。</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区科信局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区住建委</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960"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12</w:t>
            </w:r>
          </w:p>
        </w:tc>
        <w:tc>
          <w:tcPr>
            <w:tcW w:w="1736"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强化移动源排放监管</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严格实施国六b机动车排放标准。按照市级部门统一部署，配合做好轻型汽油车新阶段标准实施的宣传引导、符合新阶段标准车辆的注册登记工作。</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交通支队</w:t>
            </w:r>
          </w:p>
          <w:p>
            <w:pPr>
              <w:snapToGrid w:val="0"/>
              <w:spacing w:line="320" w:lineRule="exact"/>
              <w:jc w:val="center"/>
              <w:rPr>
                <w:rFonts w:hint="eastAsia"/>
              </w:rPr>
            </w:pPr>
            <w:r>
              <w:rPr>
                <w:rFonts w:hint="eastAsia" w:ascii="仿宋_GB2312" w:eastAsia="仿宋_GB2312"/>
                <w:sz w:val="28"/>
                <w:szCs w:val="28"/>
              </w:rPr>
              <w:t>运管分局</w:t>
            </w:r>
          </w:p>
        </w:tc>
        <w:tc>
          <w:tcPr>
            <w:tcW w:w="2040" w:type="dxa"/>
            <w:noWrap w:val="0"/>
            <w:vAlign w:val="center"/>
          </w:tcPr>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1" w:hRule="atLeast"/>
          <w:jc w:val="center"/>
        </w:trPr>
        <w:tc>
          <w:tcPr>
            <w:tcW w:w="960" w:type="dxa"/>
            <w:vMerge w:val="continue"/>
            <w:noWrap w:val="0"/>
            <w:vAlign w:val="center"/>
          </w:tcPr>
          <w:p>
            <w:pPr>
              <w:snapToGrid w:val="0"/>
              <w:spacing w:line="320" w:lineRule="exact"/>
              <w:jc w:val="center"/>
              <w:rPr>
                <w:rFonts w:hint="eastAsia" w:ascii="仿宋_GB2312" w:eastAsia="仿宋_GB2312"/>
                <w:sz w:val="28"/>
                <w:szCs w:val="28"/>
              </w:rPr>
            </w:pPr>
          </w:p>
        </w:tc>
        <w:tc>
          <w:tcPr>
            <w:tcW w:w="1736" w:type="dxa"/>
            <w:vMerge w:val="continue"/>
            <w:noWrap w:val="0"/>
            <w:vAlign w:val="center"/>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东城交通支队、区生态环境局全年在辖区主要道路完成</w:t>
            </w:r>
            <w:r>
              <w:rPr>
                <w:rFonts w:hint="eastAsia" w:ascii="仿宋_GB2312" w:eastAsia="仿宋_GB2312"/>
                <w:kern w:val="0"/>
                <w:sz w:val="28"/>
                <w:szCs w:val="28"/>
              </w:rPr>
              <w:t>2.9万</w:t>
            </w:r>
            <w:r>
              <w:rPr>
                <w:rFonts w:hint="eastAsia" w:ascii="仿宋_GB2312" w:eastAsia="仿宋_GB2312"/>
                <w:sz w:val="28"/>
                <w:szCs w:val="28"/>
              </w:rPr>
              <w:t>辆次以上的重型柴油车和重型燃气车人工检查，加强对低速货车的路检抽查。东城交通支队加大对摩托车非法上路行驶和非法改装的执法处罚力度</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按时间</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节点完成</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东城交通支队</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7" w:hRule="atLeast"/>
          <w:jc w:val="center"/>
        </w:trPr>
        <w:tc>
          <w:tcPr>
            <w:tcW w:w="960" w:type="dxa"/>
            <w:vMerge w:val="continue"/>
            <w:noWrap w:val="0"/>
            <w:vAlign w:val="top"/>
          </w:tcPr>
          <w:p>
            <w:pPr>
              <w:snapToGrid w:val="0"/>
              <w:spacing w:line="320" w:lineRule="exact"/>
              <w:jc w:val="center"/>
              <w:rPr>
                <w:rFonts w:hint="eastAsia" w:ascii="仿宋_GB2312" w:eastAsia="仿宋_GB2312"/>
                <w:sz w:val="28"/>
                <w:szCs w:val="28"/>
              </w:rPr>
            </w:pPr>
          </w:p>
        </w:tc>
        <w:tc>
          <w:tcPr>
            <w:tcW w:w="1736" w:type="dxa"/>
            <w:vMerge w:val="continue"/>
            <w:noWrap w:val="0"/>
            <w:vAlign w:val="top"/>
          </w:tcPr>
          <w:p>
            <w:pPr>
              <w:snapToGrid w:val="0"/>
              <w:spacing w:line="320" w:lineRule="exact"/>
              <w:jc w:val="center"/>
              <w:rPr>
                <w:rFonts w:hint="eastAsia" w:ascii="仿宋_GB2312" w:eastAsia="仿宋_GB2312"/>
                <w:sz w:val="28"/>
                <w:szCs w:val="28"/>
              </w:rPr>
            </w:pPr>
          </w:p>
        </w:tc>
        <w:tc>
          <w:tcPr>
            <w:tcW w:w="5904" w:type="dxa"/>
            <w:noWrap w:val="0"/>
            <w:vAlign w:val="center"/>
          </w:tcPr>
          <w:p>
            <w:pPr>
              <w:spacing w:line="320" w:lineRule="exact"/>
              <w:rPr>
                <w:rFonts w:ascii="仿宋_GB2312" w:eastAsia="仿宋_GB2312"/>
                <w:sz w:val="28"/>
                <w:szCs w:val="28"/>
              </w:rPr>
            </w:pPr>
            <w:r>
              <w:rPr>
                <w:rFonts w:hint="eastAsia" w:ascii="仿宋_GB2312" w:eastAsia="仿宋_GB2312"/>
                <w:sz w:val="28"/>
                <w:szCs w:val="28"/>
              </w:rPr>
              <w:t>区市场监管局根据市级部门要求组织开展机动车检验领域专项整治行动，严惩违法违规行为，加大曝光力度。</w:t>
            </w:r>
          </w:p>
          <w:p>
            <w:pPr>
              <w:snapToGrid w:val="0"/>
              <w:spacing w:line="320" w:lineRule="exact"/>
              <w:rPr>
                <w:rFonts w:hint="eastAsia" w:ascii="仿宋_GB2312" w:eastAsia="仿宋_GB2312"/>
                <w:sz w:val="28"/>
                <w:szCs w:val="28"/>
              </w:rPr>
            </w:pPr>
            <w:r>
              <w:rPr>
                <w:rFonts w:hint="eastAsia" w:ascii="仿宋_GB2312" w:eastAsia="仿宋_GB2312"/>
                <w:spacing w:val="-6"/>
                <w:sz w:val="28"/>
                <w:szCs w:val="28"/>
              </w:rPr>
              <w:t>市场监管、生态环境等部门按照职责分工，对机动车检验机构的违法行为及其他不符合规范的行为进行记分。</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hAnsi="宋体" w:eastAsia="仿宋_GB2312"/>
                <w:spacing w:val="-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区市场监管局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96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13</w:t>
            </w:r>
          </w:p>
        </w:tc>
        <w:tc>
          <w:tcPr>
            <w:tcW w:w="173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推进运输结构调整工作</w:t>
            </w:r>
          </w:p>
        </w:tc>
        <w:tc>
          <w:tcPr>
            <w:tcW w:w="5904" w:type="dxa"/>
            <w:noWrap w:val="0"/>
            <w:vAlign w:val="center"/>
          </w:tcPr>
          <w:p>
            <w:pPr>
              <w:spacing w:line="320" w:lineRule="exact"/>
              <w:rPr>
                <w:rFonts w:hint="eastAsia" w:ascii="仿宋_GB2312" w:eastAsia="仿宋_GB2312"/>
                <w:spacing w:val="-6"/>
                <w:sz w:val="28"/>
                <w:szCs w:val="28"/>
              </w:rPr>
            </w:pPr>
            <w:r>
              <w:rPr>
                <w:rFonts w:hint="eastAsia" w:ascii="仿宋_GB2312" w:eastAsia="仿宋_GB2312" w:cs="仿宋_GB2312"/>
                <w:sz w:val="28"/>
                <w:szCs w:val="28"/>
              </w:rPr>
              <w:t>鼓励重点工业企业、商超、旅游等用车单位通过与运输企业（个人）签订合作协议等方式实现清洁运输。</w:t>
            </w:r>
          </w:p>
        </w:tc>
        <w:tc>
          <w:tcPr>
            <w:tcW w:w="1406" w:type="dxa"/>
            <w:noWrap w:val="0"/>
            <w:vAlign w:val="center"/>
          </w:tcPr>
          <w:p>
            <w:pPr>
              <w:snapToGrid w:val="0"/>
              <w:spacing w:line="320" w:lineRule="exact"/>
              <w:ind w:left="-105" w:leftChars="-50" w:right="-105" w:rightChars="-50"/>
              <w:jc w:val="center"/>
              <w:rPr>
                <w:rFonts w:hint="eastAsia" w:ascii="仿宋_GB2312" w:hAnsi="宋体" w:eastAsia="仿宋_GB2312"/>
                <w:spacing w:val="-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区科信局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区商务局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区国资委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区文旅局</w:t>
            </w:r>
          </w:p>
        </w:tc>
        <w:tc>
          <w:tcPr>
            <w:tcW w:w="2040" w:type="dxa"/>
            <w:noWrap w:val="0"/>
            <w:vAlign w:val="center"/>
          </w:tcPr>
          <w:p>
            <w:pPr>
              <w:spacing w:line="320" w:lineRule="exact"/>
              <w:jc w:val="center"/>
              <w:rPr>
                <w:rFonts w:hint="eastAsia" w:ascii="仿宋_GB2312" w:eastAsia="仿宋_GB2312"/>
                <w:spacing w:val="-26"/>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3972" w:type="dxa"/>
            <w:gridSpan w:val="7"/>
            <w:noWrap w:val="0"/>
            <w:vAlign w:val="center"/>
          </w:tcPr>
          <w:p>
            <w:pPr>
              <w:snapToGrid w:val="0"/>
              <w:spacing w:line="320" w:lineRule="exact"/>
              <w:jc w:val="center"/>
              <w:rPr>
                <w:rFonts w:hint="eastAsia" w:ascii="仿宋_GB2312" w:eastAsia="仿宋_GB2312"/>
                <w:sz w:val="28"/>
                <w:szCs w:val="28"/>
              </w:rPr>
            </w:pPr>
            <w:r>
              <w:rPr>
                <w:rFonts w:hint="eastAsia" w:ascii="黑体" w:hAnsi="黑体" w:eastAsia="黑体"/>
                <w:sz w:val="28"/>
                <w:szCs w:val="28"/>
              </w:rPr>
              <w:t>四、提升城市环境精细化管控水平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14</w:t>
            </w:r>
          </w:p>
        </w:tc>
        <w:tc>
          <w:tcPr>
            <w:tcW w:w="1736"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严控降尘量</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全区及各街道（地区）降尘量控制在5吨/平方公里·月以下（扣除沙尘影响）。</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年底前</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各街道（地区）</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区住建委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区园林绿化局</w:t>
            </w:r>
          </w:p>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区环卫中心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960" w:type="dxa"/>
            <w:vMerge w:val="continue"/>
            <w:noWrap w:val="0"/>
            <w:vAlign w:val="top"/>
          </w:tcPr>
          <w:p>
            <w:pPr>
              <w:snapToGrid w:val="0"/>
              <w:spacing w:line="320" w:lineRule="exact"/>
              <w:jc w:val="center"/>
              <w:rPr>
                <w:rFonts w:hint="eastAsia" w:ascii="仿宋_GB2312" w:eastAsia="仿宋_GB2312"/>
                <w:sz w:val="28"/>
                <w:szCs w:val="28"/>
              </w:rPr>
            </w:pPr>
          </w:p>
        </w:tc>
        <w:tc>
          <w:tcPr>
            <w:tcW w:w="1736" w:type="dxa"/>
            <w:vMerge w:val="continue"/>
            <w:noWrap w:val="0"/>
            <w:vAlign w:val="top"/>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定期对全区、各街道（地区）降尘量、粗颗粒物（TSP）浓度、道路尘土残存量、市监测道路尘负荷等排名情况进行通报。</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区城管委</w:t>
            </w:r>
          </w:p>
        </w:tc>
        <w:tc>
          <w:tcPr>
            <w:tcW w:w="2040" w:type="dxa"/>
            <w:noWrap w:val="0"/>
            <w:vAlign w:val="center"/>
          </w:tcPr>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8" w:hRule="atLeast"/>
          <w:jc w:val="center"/>
        </w:trPr>
        <w:tc>
          <w:tcPr>
            <w:tcW w:w="960"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15</w:t>
            </w:r>
          </w:p>
        </w:tc>
        <w:tc>
          <w:tcPr>
            <w:tcW w:w="1736"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强化施工扬尘精细化管控</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加强扬尘防治精细化管理，在重点地区及有条件的施工现场积极推行土石方施工阶段防尘天幕、预拌流态固化土代替常规灰土肥槽回填等抑尘措施；深入推进扬尘治理“绿牌”工地创建工作，充分发挥标杆引领、正向激励作用，有效推动扬尘治理水平整体提升。</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年底前</w:t>
            </w:r>
          </w:p>
        </w:tc>
        <w:tc>
          <w:tcPr>
            <w:tcW w:w="1926" w:type="dxa"/>
            <w:gridSpan w:val="2"/>
            <w:noWrap w:val="0"/>
            <w:vAlign w:val="center"/>
          </w:tcPr>
          <w:p>
            <w:pPr>
              <w:snapToGrid w:val="0"/>
              <w:spacing w:line="320" w:lineRule="exact"/>
              <w:ind w:left="-105" w:leftChars="-50" w:right="-105" w:rightChars="-50"/>
              <w:jc w:val="center"/>
              <w:rPr>
                <w:rFonts w:hint="eastAsia" w:ascii="仿宋_GB2312" w:eastAsia="仿宋_GB2312"/>
                <w:sz w:val="28"/>
                <w:szCs w:val="28"/>
              </w:rPr>
            </w:pPr>
            <w:r>
              <w:rPr>
                <w:rFonts w:hint="eastAsia" w:ascii="仿宋_GB2312" w:eastAsia="仿宋_GB2312"/>
                <w:sz w:val="28"/>
                <w:szCs w:val="28"/>
              </w:rPr>
              <w:t>区住建委</w:t>
            </w:r>
          </w:p>
        </w:tc>
        <w:tc>
          <w:tcPr>
            <w:tcW w:w="2040" w:type="dxa"/>
            <w:noWrap w:val="0"/>
            <w:vAlign w:val="center"/>
          </w:tcPr>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0" w:hRule="atLeast"/>
          <w:jc w:val="center"/>
        </w:trPr>
        <w:tc>
          <w:tcPr>
            <w:tcW w:w="960" w:type="dxa"/>
            <w:vMerge w:val="continue"/>
            <w:noWrap w:val="0"/>
            <w:vAlign w:val="top"/>
          </w:tcPr>
          <w:p>
            <w:pPr>
              <w:snapToGrid w:val="0"/>
              <w:spacing w:line="320" w:lineRule="exact"/>
              <w:jc w:val="center"/>
              <w:rPr>
                <w:rFonts w:hint="eastAsia" w:ascii="仿宋_GB2312" w:eastAsia="仿宋_GB2312"/>
                <w:sz w:val="28"/>
                <w:szCs w:val="28"/>
              </w:rPr>
            </w:pPr>
          </w:p>
        </w:tc>
        <w:tc>
          <w:tcPr>
            <w:tcW w:w="1736" w:type="dxa"/>
            <w:vMerge w:val="continue"/>
            <w:noWrap w:val="0"/>
            <w:vAlign w:val="top"/>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pacing w:val="-6"/>
                <w:sz w:val="28"/>
                <w:szCs w:val="28"/>
              </w:rPr>
            </w:pPr>
            <w:r>
              <w:rPr>
                <w:rFonts w:hint="eastAsia" w:ascii="仿宋_GB2312" w:eastAsia="仿宋_GB2312"/>
                <w:spacing w:val="-6"/>
                <w:sz w:val="28"/>
                <w:szCs w:val="28"/>
              </w:rPr>
              <w:t>在市住建委指导下，区住建委做好施工工地扬尘视频监管平台日常管理，市住建委通报的我区有关部门平台使用及通过平台发现的问题情况，及时向各行业主管部门及属地街道（地区）推送。</w:t>
            </w:r>
          </w:p>
          <w:p>
            <w:pPr>
              <w:snapToGrid w:val="0"/>
              <w:spacing w:line="320" w:lineRule="exact"/>
              <w:rPr>
                <w:rFonts w:hint="eastAsia" w:ascii="仿宋_GB2312" w:eastAsia="仿宋_GB2312"/>
                <w:sz w:val="28"/>
                <w:szCs w:val="28"/>
              </w:rPr>
            </w:pPr>
            <w:r>
              <w:rPr>
                <w:rFonts w:hint="eastAsia" w:ascii="仿宋_GB2312" w:eastAsia="仿宋_GB2312"/>
                <w:spacing w:val="-6"/>
                <w:sz w:val="28"/>
                <w:szCs w:val="28"/>
              </w:rPr>
              <w:t>有关部门加强扬尘视频监管平台使用，发现问题及时督促整改并移送城管执法部门依法处罚，同时抄送同级住房城乡建设、生态环境部门。</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年底前</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区住建委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区园林绿化局</w:t>
            </w:r>
          </w:p>
        </w:tc>
        <w:tc>
          <w:tcPr>
            <w:tcW w:w="2040" w:type="dxa"/>
            <w:noWrap w:val="0"/>
            <w:vAlign w:val="center"/>
          </w:tcPr>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区生态环境局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7" w:hRule="atLeast"/>
          <w:jc w:val="center"/>
        </w:trPr>
        <w:tc>
          <w:tcPr>
            <w:tcW w:w="960"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15</w:t>
            </w:r>
          </w:p>
        </w:tc>
        <w:tc>
          <w:tcPr>
            <w:tcW w:w="1736"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强化施工扬尘精细化管控</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行业主管部门组织土石方工程等安装建筑垃圾运输车辆车牌识别和洗轮机监测功能视频设备，并与市施工扬尘视频监管平台联网。</w:t>
            </w:r>
          </w:p>
          <w:p>
            <w:pPr>
              <w:snapToGrid w:val="0"/>
              <w:spacing w:line="320" w:lineRule="exact"/>
              <w:rPr>
                <w:rFonts w:hint="eastAsia" w:ascii="仿宋_GB2312" w:eastAsia="仿宋_GB2312"/>
                <w:sz w:val="28"/>
                <w:szCs w:val="28"/>
              </w:rPr>
            </w:pPr>
            <w:r>
              <w:rPr>
                <w:rFonts w:hint="eastAsia" w:ascii="仿宋_GB2312" w:eastAsia="仿宋_GB2312"/>
                <w:sz w:val="28"/>
                <w:szCs w:val="28"/>
              </w:rPr>
              <w:t>行业主管部门每季度更新施工工地管理台账，并与城管执法、生态环境、各街道等部门共享。组织工地严格落实扬尘管控措施及“门前三包”，强化工地出口100米范围内遗撒情况巡查，强化渣土车辆管控，做到“进门查证、出门查车”，杜绝车辆违规、带泥上路行驶。</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区住建委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区园林绿化局</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区城管执法局</w:t>
            </w:r>
          </w:p>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各街道（地区）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3" w:hRule="atLeast"/>
          <w:jc w:val="center"/>
        </w:trPr>
        <w:tc>
          <w:tcPr>
            <w:tcW w:w="960" w:type="dxa"/>
            <w:vMerge w:val="continue"/>
            <w:noWrap w:val="0"/>
            <w:vAlign w:val="center"/>
          </w:tcPr>
          <w:p>
            <w:pPr>
              <w:snapToGrid w:val="0"/>
              <w:spacing w:line="320" w:lineRule="exact"/>
              <w:jc w:val="center"/>
              <w:rPr>
                <w:rFonts w:hint="eastAsia" w:ascii="仿宋_GB2312" w:eastAsia="仿宋_GB2312"/>
                <w:sz w:val="28"/>
                <w:szCs w:val="28"/>
              </w:rPr>
            </w:pPr>
          </w:p>
        </w:tc>
        <w:tc>
          <w:tcPr>
            <w:tcW w:w="1736" w:type="dxa"/>
            <w:vMerge w:val="continue"/>
            <w:noWrap w:val="0"/>
            <w:vAlign w:val="center"/>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ascii="仿宋_GB2312" w:eastAsia="仿宋_GB2312"/>
                <w:sz w:val="28"/>
                <w:szCs w:val="28"/>
              </w:rPr>
            </w:pPr>
            <w:r>
              <w:rPr>
                <w:rFonts w:hint="eastAsia" w:ascii="仿宋_GB2312" w:eastAsia="仿宋_GB2312"/>
                <w:sz w:val="28"/>
                <w:szCs w:val="28"/>
              </w:rPr>
              <w:t>城管执法部门加强对属地扬尘执法工作的指导，提升属地扬尘执法效能，重点指导空气质量排名靠后街道（地区）加强执法检查，做好各类扬尘执法数据的汇总、分析、通报，并及时向同级相关行业主管部门推送。</w:t>
            </w:r>
          </w:p>
          <w:p>
            <w:pPr>
              <w:snapToGrid w:val="0"/>
              <w:spacing w:line="320" w:lineRule="exact"/>
              <w:rPr>
                <w:rFonts w:hint="eastAsia" w:ascii="仿宋_GB2312" w:eastAsia="仿宋_GB2312"/>
                <w:sz w:val="28"/>
                <w:szCs w:val="28"/>
              </w:rPr>
            </w:pPr>
            <w:r>
              <w:rPr>
                <w:rFonts w:hint="eastAsia" w:ascii="仿宋_GB2312" w:eastAsia="仿宋_GB2312"/>
                <w:sz w:val="28"/>
                <w:szCs w:val="28"/>
              </w:rPr>
              <w:t>依据《中华人民共和国大气污染防治法》《北京市大气污染防治条例》有关规定，加大对扬尘违法行为查处力度。曝光扬尘违法行为，营造扬尘执法高压态势。</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区城管执法局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各街道（地区）</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区住建委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区城管委</w:t>
            </w:r>
          </w:p>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区园林绿化局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9" w:hRule="atLeast"/>
          <w:jc w:val="center"/>
        </w:trPr>
        <w:tc>
          <w:tcPr>
            <w:tcW w:w="960" w:type="dxa"/>
            <w:vMerge w:val="continue"/>
            <w:noWrap w:val="0"/>
            <w:vAlign w:val="top"/>
          </w:tcPr>
          <w:p>
            <w:pPr>
              <w:snapToGrid w:val="0"/>
              <w:spacing w:line="320" w:lineRule="exact"/>
              <w:jc w:val="center"/>
              <w:rPr>
                <w:rFonts w:hint="eastAsia" w:ascii="仿宋_GB2312" w:eastAsia="仿宋_GB2312"/>
                <w:sz w:val="28"/>
                <w:szCs w:val="28"/>
              </w:rPr>
            </w:pPr>
          </w:p>
        </w:tc>
        <w:tc>
          <w:tcPr>
            <w:tcW w:w="1736" w:type="dxa"/>
            <w:vMerge w:val="continue"/>
            <w:noWrap w:val="0"/>
            <w:vAlign w:val="center"/>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街道（地区）定期更新辖区内房建、拆迁拆违、线性工程、“小微工程”等工地扬尘管控台账，按月开展全覆盖检查。</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各街道（地区）</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区住建委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区园林绿化局规自分局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区城管执法局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4" w:hRule="atLeast"/>
          <w:jc w:val="center"/>
        </w:trPr>
        <w:tc>
          <w:tcPr>
            <w:tcW w:w="96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16</w:t>
            </w:r>
          </w:p>
        </w:tc>
        <w:tc>
          <w:tcPr>
            <w:tcW w:w="173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强化道路扬尘管控</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按照市级部门要求，提升道路清扫保洁水平，不断降低道路尘土残存量。区城管委、环卫中心和街道（地区）推进辖区道路街巷规范化清扫保洁工作。</w:t>
            </w:r>
          </w:p>
          <w:p>
            <w:pPr>
              <w:snapToGrid w:val="0"/>
              <w:spacing w:line="320" w:lineRule="exact"/>
              <w:rPr>
                <w:rFonts w:hint="eastAsia" w:ascii="仿宋_GB2312" w:eastAsia="仿宋_GB2312"/>
                <w:sz w:val="28"/>
                <w:szCs w:val="28"/>
              </w:rPr>
            </w:pPr>
            <w:r>
              <w:rPr>
                <w:rFonts w:hint="eastAsia" w:ascii="仿宋_GB2312" w:eastAsia="仿宋_GB2312"/>
                <w:sz w:val="28"/>
                <w:szCs w:val="28"/>
              </w:rPr>
              <w:t>区生态环境局、区城管委定期通报道路尘负荷和道路尘土残存量情况；各街道、环卫中心按通报情况及时整改。</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各街道（地区）</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区环卫中心</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960"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17</w:t>
            </w:r>
          </w:p>
        </w:tc>
        <w:tc>
          <w:tcPr>
            <w:tcW w:w="1736"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强化裸地扬尘管控</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区园林绿化局强化绿化过程技术指导，开展裸地生态治理和林下植被种植。对短期无建设或利用计划的裸地通过硬化、绿化等方式减少扬尘。</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区园林绿化局</w:t>
            </w:r>
          </w:p>
        </w:tc>
        <w:tc>
          <w:tcPr>
            <w:tcW w:w="2040" w:type="dxa"/>
            <w:noWrap w:val="0"/>
            <w:vAlign w:val="center"/>
          </w:tcPr>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各街道（地区）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atLeast"/>
          <w:jc w:val="center"/>
        </w:trPr>
        <w:tc>
          <w:tcPr>
            <w:tcW w:w="960" w:type="dxa"/>
            <w:vMerge w:val="continue"/>
            <w:noWrap w:val="0"/>
            <w:vAlign w:val="top"/>
          </w:tcPr>
          <w:p>
            <w:pPr>
              <w:snapToGrid w:val="0"/>
              <w:spacing w:line="320" w:lineRule="exact"/>
              <w:jc w:val="center"/>
              <w:rPr>
                <w:rFonts w:hint="eastAsia" w:ascii="仿宋_GB2312" w:eastAsia="仿宋_GB2312"/>
                <w:sz w:val="28"/>
                <w:szCs w:val="28"/>
              </w:rPr>
            </w:pPr>
          </w:p>
        </w:tc>
        <w:tc>
          <w:tcPr>
            <w:tcW w:w="1736" w:type="dxa"/>
            <w:vMerge w:val="continue"/>
            <w:noWrap w:val="0"/>
            <w:vAlign w:val="top"/>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街道（地区）定期更新裸地台账，新增裸地采取绿化、硬化、苫盖、喷洒抑尘剂等措施防止扬尘，做好扬尘精细化管理，实现裸地“动态清零”。</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各街道（地区）</w:t>
            </w:r>
          </w:p>
        </w:tc>
        <w:tc>
          <w:tcPr>
            <w:tcW w:w="2040" w:type="dxa"/>
            <w:noWrap w:val="0"/>
            <w:vAlign w:val="center"/>
          </w:tcPr>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0" w:hRule="atLeast"/>
          <w:jc w:val="center"/>
        </w:trPr>
        <w:tc>
          <w:tcPr>
            <w:tcW w:w="96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18</w:t>
            </w:r>
          </w:p>
        </w:tc>
        <w:tc>
          <w:tcPr>
            <w:tcW w:w="173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强化重点管控</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进一步提升辖区精细化管理水平，结合“周末卫生日”等活动组织开展屋顶清扫保洁，提升辖区洁净度。加强属地小微工地全封闭施工监管，背街小巷深度清扫保洁，健全街道自主巡查工作机制，及时发现污染问题，立即整改。</w:t>
            </w:r>
          </w:p>
          <w:p>
            <w:pPr>
              <w:snapToGrid w:val="0"/>
              <w:spacing w:line="320" w:lineRule="exact"/>
              <w:rPr>
                <w:rFonts w:hint="eastAsia" w:ascii="仿宋_GB2312" w:eastAsia="仿宋_GB2312"/>
                <w:sz w:val="28"/>
                <w:szCs w:val="28"/>
              </w:rPr>
            </w:pPr>
            <w:r>
              <w:rPr>
                <w:rFonts w:hint="eastAsia" w:ascii="仿宋_GB2312" w:eastAsia="仿宋_GB2312"/>
                <w:sz w:val="28"/>
                <w:szCs w:val="28"/>
              </w:rPr>
              <w:t>结合辖区重点工程开展相应执法检查，针对渣土车、柴油车、扬尘等夜间多发问题，增大执法检查力度，相关执法部门将执法力量向夜间倾斜调整。</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区住建委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区城管执法局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各街道（地区）</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市交通运输综合执法总队三支队</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东城交通支队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9" w:hRule="atLeast"/>
          <w:jc w:val="center"/>
        </w:trPr>
        <w:tc>
          <w:tcPr>
            <w:tcW w:w="96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19</w:t>
            </w:r>
          </w:p>
        </w:tc>
        <w:tc>
          <w:tcPr>
            <w:tcW w:w="173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加强餐饮油烟源头管控</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依据《北京市新增产业的禁止和限制目录（2022年版）》中关于餐饮业生态环境保护管理措施的有关要求，市场监管部门与生态环境部门依托大数据平台加强餐饮项目办理营业执照、食品经营许可证等信息的共享。生态环境部门加强研判，结合实际情况开展事前帮扶指导，并做好事中事后监管。</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区市场监管局</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各街道（地区）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3" w:hRule="atLeast"/>
          <w:jc w:val="center"/>
        </w:trPr>
        <w:tc>
          <w:tcPr>
            <w:tcW w:w="96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20</w:t>
            </w:r>
          </w:p>
        </w:tc>
        <w:tc>
          <w:tcPr>
            <w:tcW w:w="173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加强餐饮油烟精细化治理</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加强餐饮行业升级整治，加大执法处罚力度，督促定期清洗、达标排放。</w:t>
            </w:r>
          </w:p>
          <w:p>
            <w:pPr>
              <w:snapToGrid w:val="0"/>
              <w:spacing w:line="320" w:lineRule="exact"/>
              <w:rPr>
                <w:rFonts w:hint="eastAsia" w:ascii="仿宋_GB2312" w:eastAsia="仿宋_GB2312"/>
                <w:sz w:val="28"/>
                <w:szCs w:val="28"/>
              </w:rPr>
            </w:pPr>
            <w:r>
              <w:rPr>
                <w:rFonts w:hint="eastAsia" w:ascii="仿宋_GB2312" w:eastAsia="仿宋_GB2312"/>
                <w:sz w:val="28"/>
                <w:szCs w:val="28"/>
              </w:rPr>
              <w:t>充分发挥油烟在线监控作用，及时掌握餐饮油烟净化设施使用情况，提高执法效率。</w:t>
            </w:r>
          </w:p>
          <w:p>
            <w:pPr>
              <w:snapToGrid w:val="0"/>
              <w:spacing w:line="320" w:lineRule="exact"/>
              <w:rPr>
                <w:rFonts w:hint="eastAsia" w:ascii="仿宋_GB2312" w:eastAsia="仿宋_GB2312"/>
                <w:sz w:val="28"/>
                <w:szCs w:val="28"/>
              </w:rPr>
            </w:pPr>
            <w:r>
              <w:rPr>
                <w:rFonts w:hint="eastAsia" w:ascii="仿宋_GB2312" w:eastAsia="仿宋_GB2312"/>
                <w:sz w:val="28"/>
                <w:szCs w:val="28"/>
              </w:rPr>
              <w:t>街道加大巡查检查力度，做好油烟“四查”（查安装、查开启使用、查破损、查清洗），自主开展油烟检测。</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各街道（地区）</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5" w:hRule="atLeast"/>
          <w:jc w:val="center"/>
        </w:trPr>
        <w:tc>
          <w:tcPr>
            <w:tcW w:w="960" w:type="dxa"/>
            <w:noWrap w:val="0"/>
            <w:vAlign w:val="center"/>
          </w:tcPr>
          <w:p>
            <w:pPr>
              <w:snapToGrid w:val="0"/>
              <w:spacing w:line="320" w:lineRule="exact"/>
              <w:jc w:val="center"/>
              <w:rPr>
                <w:rFonts w:hint="eastAsia" w:ascii="仿宋_GB2312" w:eastAsia="仿宋_GB2312"/>
                <w:sz w:val="28"/>
                <w:szCs w:val="28"/>
              </w:rPr>
            </w:pPr>
            <w:r>
              <w:rPr>
                <w:rFonts w:ascii="仿宋_GB2312" w:eastAsia="仿宋_GB2312"/>
                <w:sz w:val="28"/>
                <w:szCs w:val="28"/>
              </w:rPr>
              <w:t>2</w:t>
            </w:r>
            <w:r>
              <w:rPr>
                <w:rFonts w:hint="eastAsia" w:ascii="仿宋_GB2312" w:eastAsia="仿宋_GB2312"/>
                <w:sz w:val="28"/>
                <w:szCs w:val="28"/>
              </w:rPr>
              <w:t>1</w:t>
            </w:r>
          </w:p>
        </w:tc>
        <w:tc>
          <w:tcPr>
            <w:tcW w:w="173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开展帮扶指导</w:t>
            </w:r>
          </w:p>
        </w:tc>
        <w:tc>
          <w:tcPr>
            <w:tcW w:w="5904" w:type="dxa"/>
            <w:noWrap w:val="0"/>
            <w:vAlign w:val="center"/>
          </w:tcPr>
          <w:p>
            <w:pPr>
              <w:snapToGrid w:val="0"/>
              <w:spacing w:line="320" w:lineRule="exact"/>
              <w:rPr>
                <w:rFonts w:ascii="仿宋_GB2312" w:eastAsia="仿宋_GB2312"/>
                <w:sz w:val="28"/>
                <w:szCs w:val="28"/>
              </w:rPr>
            </w:pPr>
            <w:r>
              <w:rPr>
                <w:rFonts w:hint="eastAsia" w:ascii="仿宋_GB2312" w:eastAsia="仿宋_GB2312"/>
                <w:sz w:val="28"/>
                <w:szCs w:val="28"/>
              </w:rPr>
              <w:t>对空气质量全市后30名的街道进行区领导约谈，加强督查督导力度。</w:t>
            </w:r>
          </w:p>
          <w:p>
            <w:pPr>
              <w:snapToGrid w:val="0"/>
              <w:spacing w:line="320" w:lineRule="exact"/>
              <w:rPr>
                <w:rFonts w:hint="eastAsia" w:ascii="仿宋_GB2312" w:eastAsia="仿宋_GB2312"/>
                <w:sz w:val="28"/>
                <w:szCs w:val="28"/>
              </w:rPr>
            </w:pPr>
            <w:r>
              <w:rPr>
                <w:rFonts w:hint="eastAsia" w:ascii="仿宋_GB2312" w:eastAsia="仿宋_GB2312"/>
                <w:sz w:val="28"/>
                <w:szCs w:val="28"/>
              </w:rPr>
              <w:t>持续深化街道精细化治理能力，加强对空气质量落后街道帮扶指导力度，强化空气质量改善科技支撑，利用社区小微站点、走航监测等强化数据分析；依托专业技术团队开展一对一帮扶指导，推动区域空气质量持续改善。</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tc>
        <w:tc>
          <w:tcPr>
            <w:tcW w:w="2040" w:type="dxa"/>
            <w:noWrap w:val="0"/>
            <w:vAlign w:val="center"/>
          </w:tcPr>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相关街道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960"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22</w:t>
            </w:r>
          </w:p>
        </w:tc>
        <w:tc>
          <w:tcPr>
            <w:tcW w:w="1736"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加强臭氧、烟花爆竹等管控</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pacing w:val="-6"/>
                <w:sz w:val="28"/>
                <w:szCs w:val="28"/>
              </w:rPr>
              <w:t>持续做好消耗臭氧层物质企业备案管理，加强对使用未备案及淘汰物质违法行为的执法检查。</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tc>
        <w:tc>
          <w:tcPr>
            <w:tcW w:w="2040" w:type="dxa"/>
            <w:noWrap w:val="0"/>
            <w:vAlign w:val="center"/>
          </w:tcPr>
          <w:p>
            <w:pPr>
              <w:widowControl/>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960" w:type="dxa"/>
            <w:vMerge w:val="continue"/>
            <w:noWrap w:val="0"/>
            <w:vAlign w:val="center"/>
          </w:tcPr>
          <w:p>
            <w:pPr>
              <w:snapToGrid w:val="0"/>
              <w:spacing w:line="320" w:lineRule="exact"/>
              <w:jc w:val="center"/>
              <w:rPr>
                <w:rFonts w:hint="eastAsia" w:ascii="仿宋_GB2312" w:eastAsia="仿宋_GB2312"/>
                <w:sz w:val="28"/>
                <w:szCs w:val="28"/>
              </w:rPr>
            </w:pPr>
          </w:p>
        </w:tc>
        <w:tc>
          <w:tcPr>
            <w:tcW w:w="1736" w:type="dxa"/>
            <w:vMerge w:val="continue"/>
            <w:noWrap w:val="0"/>
            <w:vAlign w:val="center"/>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落实《北京市烟花爆竹安全管理规定》和关于禁止燃放烟花爆竹区域的规定，东城区全域禁止销售、燃放烟花爆竹。</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公安分局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区应急局</w:t>
            </w:r>
          </w:p>
        </w:tc>
        <w:tc>
          <w:tcPr>
            <w:tcW w:w="2040" w:type="dxa"/>
            <w:noWrap w:val="0"/>
            <w:vAlign w:val="center"/>
          </w:tcPr>
          <w:p>
            <w:pPr>
              <w:snapToGrid w:val="0"/>
              <w:spacing w:line="320" w:lineRule="exact"/>
              <w:ind w:right="-124" w:rightChars="-59"/>
              <w:jc w:val="center"/>
              <w:rPr>
                <w:rFonts w:hint="eastAsia" w:ascii="仿宋_GB2312" w:eastAsia="仿宋_GB2312"/>
                <w:spacing w:val="-26"/>
                <w:sz w:val="28"/>
                <w:szCs w:val="28"/>
              </w:rPr>
            </w:pPr>
            <w:r>
              <w:rPr>
                <w:rFonts w:hint="eastAsia" w:ascii="仿宋_GB2312" w:eastAsia="仿宋_GB2312"/>
                <w:sz w:val="28"/>
                <w:szCs w:val="28"/>
              </w:rPr>
              <w:t>各</w:t>
            </w:r>
            <w:r>
              <w:rPr>
                <w:rFonts w:hint="eastAsia" w:ascii="仿宋_GB2312" w:eastAsia="仿宋_GB2312"/>
                <w:spacing w:val="-14"/>
                <w:sz w:val="28"/>
                <w:szCs w:val="28"/>
              </w:rPr>
              <w:t>街道（地区）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jc w:val="center"/>
        </w:trPr>
        <w:tc>
          <w:tcPr>
            <w:tcW w:w="960" w:type="dxa"/>
            <w:vMerge w:val="continue"/>
            <w:noWrap w:val="0"/>
            <w:vAlign w:val="center"/>
          </w:tcPr>
          <w:p>
            <w:pPr>
              <w:snapToGrid w:val="0"/>
              <w:spacing w:line="320" w:lineRule="exact"/>
              <w:jc w:val="center"/>
              <w:rPr>
                <w:rFonts w:hint="eastAsia" w:ascii="仿宋_GB2312" w:eastAsia="仿宋_GB2312"/>
                <w:sz w:val="28"/>
                <w:szCs w:val="28"/>
              </w:rPr>
            </w:pPr>
          </w:p>
        </w:tc>
        <w:tc>
          <w:tcPr>
            <w:tcW w:w="1736" w:type="dxa"/>
            <w:vMerge w:val="continue"/>
            <w:noWrap w:val="0"/>
            <w:vAlign w:val="center"/>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按照《东城区推进文明祭祀杜绝露天焚烧工作方案》，积极开展文明祭祀宣传，引导市民遵守文明行为规范，倡导文明、低碳、绿色祭祀。</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widowControl/>
              <w:snapToGrid w:val="0"/>
              <w:spacing w:line="320" w:lineRule="exact"/>
              <w:jc w:val="center"/>
              <w:rPr>
                <w:rFonts w:hint="eastAsia" w:ascii="仿宋_GB2312" w:eastAsia="仿宋_GB2312"/>
                <w:sz w:val="28"/>
                <w:szCs w:val="28"/>
              </w:rPr>
            </w:pPr>
            <w:r>
              <w:rPr>
                <w:rFonts w:hint="eastAsia" w:ascii="仿宋_GB2312" w:eastAsia="仿宋_GB2312"/>
                <w:sz w:val="28"/>
                <w:szCs w:val="28"/>
              </w:rPr>
              <w:t>区民政局</w:t>
            </w:r>
          </w:p>
          <w:p>
            <w:pPr>
              <w:widowControl/>
              <w:snapToGrid w:val="0"/>
              <w:spacing w:line="320" w:lineRule="exact"/>
              <w:jc w:val="center"/>
              <w:rPr>
                <w:rFonts w:hint="eastAsia" w:ascii="仿宋_GB2312" w:eastAsia="仿宋_GB2312"/>
                <w:sz w:val="28"/>
                <w:szCs w:val="28"/>
              </w:rPr>
            </w:pPr>
            <w:r>
              <w:rPr>
                <w:rFonts w:hint="eastAsia" w:ascii="仿宋_GB2312" w:eastAsia="仿宋_GB2312"/>
                <w:sz w:val="28"/>
                <w:szCs w:val="28"/>
              </w:rPr>
              <w:t>区委宣传部</w:t>
            </w:r>
          </w:p>
          <w:p>
            <w:pPr>
              <w:widowControl/>
              <w:snapToGrid w:val="0"/>
              <w:spacing w:line="320" w:lineRule="exact"/>
              <w:jc w:val="center"/>
              <w:rPr>
                <w:rFonts w:hint="eastAsia" w:ascii="仿宋_GB2312" w:eastAsia="仿宋_GB2312"/>
                <w:sz w:val="28"/>
                <w:szCs w:val="28"/>
              </w:rPr>
            </w:pPr>
            <w:r>
              <w:rPr>
                <w:rFonts w:hint="eastAsia" w:ascii="仿宋_GB2312" w:eastAsia="仿宋_GB2312"/>
                <w:sz w:val="28"/>
                <w:szCs w:val="28"/>
              </w:rPr>
              <w:t>各街道（地区）</w:t>
            </w:r>
          </w:p>
        </w:tc>
        <w:tc>
          <w:tcPr>
            <w:tcW w:w="2040" w:type="dxa"/>
            <w:noWrap w:val="0"/>
            <w:vAlign w:val="center"/>
          </w:tcPr>
          <w:p>
            <w:pPr>
              <w:widowControl/>
              <w:snapToGrid w:val="0"/>
              <w:spacing w:line="320" w:lineRule="exact"/>
              <w:jc w:val="center"/>
              <w:rPr>
                <w:rFonts w:hint="eastAsia" w:ascii="仿宋_GB2312" w:eastAsia="仿宋_GB2312"/>
                <w:sz w:val="28"/>
                <w:szCs w:val="28"/>
              </w:rPr>
            </w:pPr>
            <w:r>
              <w:rPr>
                <w:rFonts w:eastAsia="仿宋_GB2312"/>
                <w:sz w:val="28"/>
                <w:szCs w:val="28"/>
              </w:rPr>
              <w:t>区</w:t>
            </w:r>
            <w:r>
              <w:rPr>
                <w:rFonts w:hint="eastAsia" w:ascii="仿宋_GB2312" w:eastAsia="仿宋_GB2312"/>
                <w:sz w:val="28"/>
                <w:szCs w:val="28"/>
              </w:rPr>
              <w:t>城管执法局</w:t>
            </w:r>
          </w:p>
          <w:p>
            <w:pPr>
              <w:widowControl/>
              <w:snapToGrid w:val="0"/>
              <w:spacing w:line="320" w:lineRule="exact"/>
              <w:jc w:val="center"/>
              <w:rPr>
                <w:rFonts w:hint="eastAsia" w:ascii="仿宋_GB2312" w:eastAsia="仿宋_GB2312"/>
                <w:sz w:val="28"/>
                <w:szCs w:val="28"/>
              </w:rPr>
            </w:pPr>
            <w:r>
              <w:rPr>
                <w:rFonts w:hint="eastAsia" w:ascii="仿宋_GB2312" w:eastAsia="仿宋_GB2312"/>
                <w:sz w:val="28"/>
                <w:szCs w:val="28"/>
              </w:rPr>
              <w:t>区应急局</w:t>
            </w:r>
          </w:p>
          <w:p>
            <w:pPr>
              <w:widowControl/>
              <w:snapToGrid w:val="0"/>
              <w:spacing w:line="320" w:lineRule="exact"/>
              <w:jc w:val="center"/>
              <w:rPr>
                <w:rFonts w:hint="eastAsia" w:ascii="仿宋_GB2312" w:eastAsia="仿宋_GB2312"/>
                <w:sz w:val="28"/>
                <w:szCs w:val="28"/>
              </w:rPr>
            </w:pPr>
            <w:r>
              <w:rPr>
                <w:rFonts w:hint="eastAsia" w:ascii="仿宋_GB2312" w:eastAsia="仿宋_GB2312"/>
                <w:sz w:val="28"/>
                <w:szCs w:val="28"/>
              </w:rPr>
              <w:t>消防支队</w:t>
            </w:r>
          </w:p>
          <w:p>
            <w:pPr>
              <w:widowControl/>
              <w:snapToGrid w:val="0"/>
              <w:spacing w:line="320" w:lineRule="exact"/>
              <w:jc w:val="center"/>
              <w:rPr>
                <w:rFonts w:hint="eastAsia" w:ascii="仿宋_GB2312" w:eastAsia="仿宋_GB2312"/>
                <w:sz w:val="28"/>
                <w:szCs w:val="28"/>
              </w:rPr>
            </w:pPr>
            <w:r>
              <w:rPr>
                <w:rFonts w:hint="eastAsia" w:ascii="仿宋_GB2312" w:eastAsia="仿宋_GB2312"/>
                <w:sz w:val="28"/>
                <w:szCs w:val="28"/>
              </w:rPr>
              <w:t>区环卫中心</w:t>
            </w:r>
          </w:p>
          <w:p>
            <w:pPr>
              <w:widowControl/>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区生态环境局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960"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23</w:t>
            </w:r>
          </w:p>
        </w:tc>
        <w:tc>
          <w:tcPr>
            <w:tcW w:w="1736"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加强噪声污染治理</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完成声环境功能区划分情况评估工作；完成国家声环境质量监测站点布设、调整。</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6月底</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规自分局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各街道（地区）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0" w:hRule="atLeast"/>
          <w:jc w:val="center"/>
        </w:trPr>
        <w:tc>
          <w:tcPr>
            <w:tcW w:w="960" w:type="dxa"/>
            <w:vMerge w:val="continue"/>
            <w:noWrap w:val="0"/>
            <w:vAlign w:val="center"/>
          </w:tcPr>
          <w:p>
            <w:pPr>
              <w:snapToGrid w:val="0"/>
              <w:spacing w:line="320" w:lineRule="exact"/>
              <w:jc w:val="center"/>
              <w:rPr>
                <w:rFonts w:hint="eastAsia" w:ascii="仿宋_GB2312" w:eastAsia="仿宋_GB2312"/>
                <w:sz w:val="28"/>
                <w:szCs w:val="28"/>
              </w:rPr>
            </w:pPr>
          </w:p>
        </w:tc>
        <w:tc>
          <w:tcPr>
            <w:tcW w:w="1736" w:type="dxa"/>
            <w:vMerge w:val="continue"/>
            <w:noWrap w:val="0"/>
            <w:vAlign w:val="center"/>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pacing w:val="-6"/>
                <w:sz w:val="28"/>
                <w:szCs w:val="28"/>
              </w:rPr>
              <w:t>优化夜间施工证明办理条件和程序，加大服务指导力度。按照重大项目建筑垃圾运输通行保障工作方案要求，缓解建筑垃圾夜间运输噪声扰民。制定房屋建筑和市政基础设施工程施工现场绿色施工考核评价办法，将夜间施工扰民纳入考核及信用评价。加大违法夜间施工的查处力度。</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年底前</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区住建委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区城管执法局</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各街道（地区）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6" w:hRule="atLeast"/>
          <w:jc w:val="center"/>
        </w:trPr>
        <w:tc>
          <w:tcPr>
            <w:tcW w:w="960" w:type="dxa"/>
            <w:vMerge w:val="continue"/>
            <w:noWrap w:val="0"/>
            <w:vAlign w:val="center"/>
          </w:tcPr>
          <w:p>
            <w:pPr>
              <w:snapToGrid w:val="0"/>
              <w:spacing w:line="320" w:lineRule="exact"/>
              <w:jc w:val="center"/>
              <w:rPr>
                <w:rFonts w:hint="eastAsia" w:ascii="仿宋_GB2312" w:eastAsia="仿宋_GB2312"/>
                <w:sz w:val="28"/>
                <w:szCs w:val="28"/>
              </w:rPr>
            </w:pPr>
          </w:p>
        </w:tc>
        <w:tc>
          <w:tcPr>
            <w:tcW w:w="1736" w:type="dxa"/>
            <w:vMerge w:val="continue"/>
            <w:noWrap w:val="0"/>
            <w:vAlign w:val="center"/>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对交通噪声投诉严重的区域开展调查，摸清受影响的敏感建筑数量、人口、户数、噪声污染、可采取的降噪措施、群众意愿等现状情况，积极争取专项资金，缓解重点路段交通噪声污染，配合市级交通噪声治理工程的实施。</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年底前</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（交通委）</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区财政局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区住建委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各街道（地区）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96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24</w:t>
            </w:r>
          </w:p>
        </w:tc>
        <w:tc>
          <w:tcPr>
            <w:tcW w:w="173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提升生态环境类接诉即办工作成效</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加强生态环境类诉求办理工作，结合生态环境治理工作，健全生态环境接诉即办“管家”机制，落实属地责任，加强日常巡查检查，重点解决市民反映集中的油烟、噪声等共性问题，进一步提升诉求办理解决率和满意率。</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各街道（地区）</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区城指中心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3972" w:type="dxa"/>
            <w:gridSpan w:val="7"/>
            <w:noWrap w:val="0"/>
            <w:vAlign w:val="center"/>
          </w:tcPr>
          <w:p>
            <w:pPr>
              <w:snapToGrid w:val="0"/>
              <w:spacing w:line="320" w:lineRule="exact"/>
              <w:jc w:val="center"/>
              <w:rPr>
                <w:rFonts w:hint="eastAsia" w:ascii="仿宋_GB2312" w:eastAsia="仿宋_GB2312"/>
                <w:sz w:val="28"/>
                <w:szCs w:val="28"/>
              </w:rPr>
            </w:pPr>
            <w:r>
              <w:rPr>
                <w:rFonts w:hint="eastAsia" w:ascii="黑体" w:hAnsi="黑体" w:eastAsia="黑体"/>
                <w:sz w:val="28"/>
                <w:szCs w:val="28"/>
              </w:rPr>
              <w:t>五、“一微克”行动区级示范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96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25</w:t>
            </w:r>
          </w:p>
        </w:tc>
        <w:tc>
          <w:tcPr>
            <w:tcW w:w="173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提升重点街道空气质量</w:t>
            </w:r>
          </w:p>
        </w:tc>
        <w:tc>
          <w:tcPr>
            <w:tcW w:w="5904" w:type="dxa"/>
            <w:noWrap w:val="0"/>
            <w:vAlign w:val="center"/>
          </w:tcPr>
          <w:p>
            <w:pPr>
              <w:pStyle w:val="2"/>
              <w:snapToGrid w:val="0"/>
              <w:spacing w:line="320" w:lineRule="exact"/>
              <w:rPr>
                <w:rFonts w:hint="eastAsia" w:ascii="仿宋_GB2312" w:eastAsia="仿宋_GB2312"/>
                <w:sz w:val="28"/>
                <w:szCs w:val="28"/>
              </w:rPr>
            </w:pPr>
            <w:r>
              <w:rPr>
                <w:rFonts w:hint="eastAsia" w:ascii="仿宋_GB2312" w:hAnsi="Calibri" w:eastAsia="仿宋_GB2312" w:cs="Times New Roman"/>
                <w:sz w:val="28"/>
                <w:szCs w:val="28"/>
              </w:rPr>
              <w:t>按照首都功能核心区定位要求，组织街道强化精细化治理；努力提高环卫、绿化、市政领域车辆和机械设备电动化率；开展居民餐饮油烟治理设施升级改造试点。各街道TSP、PM</w:t>
            </w:r>
            <w:r>
              <w:rPr>
                <w:rFonts w:hint="eastAsia" w:ascii="仿宋_GB2312" w:hAnsi="Calibri" w:eastAsia="仿宋_GB2312" w:cs="Times New Roman"/>
                <w:sz w:val="28"/>
                <w:szCs w:val="28"/>
                <w:vertAlign w:val="subscript"/>
              </w:rPr>
              <w:t>2.5</w:t>
            </w:r>
            <w:r>
              <w:rPr>
                <w:rFonts w:hint="eastAsia" w:ascii="仿宋_GB2312" w:hAnsi="Calibri" w:eastAsia="仿宋_GB2312" w:cs="Times New Roman"/>
                <w:sz w:val="28"/>
                <w:szCs w:val="28"/>
              </w:rPr>
              <w:t>浓度排名不进入全市后30名。</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年底前</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区环卫中心</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区园林绿化局</w:t>
            </w:r>
          </w:p>
          <w:p>
            <w:pPr>
              <w:snapToGrid w:val="0"/>
              <w:spacing w:line="320" w:lineRule="exact"/>
              <w:jc w:val="center"/>
              <w:rPr>
                <w:rFonts w:hint="eastAsia"/>
                <w:sz w:val="28"/>
                <w:szCs w:val="28"/>
              </w:rPr>
            </w:pPr>
            <w:r>
              <w:rPr>
                <w:rFonts w:hint="eastAsia" w:ascii="仿宋_GB2312" w:eastAsia="仿宋_GB2312"/>
                <w:sz w:val="28"/>
                <w:szCs w:val="28"/>
              </w:rPr>
              <w:t>各街道</w:t>
            </w:r>
          </w:p>
        </w:tc>
        <w:tc>
          <w:tcPr>
            <w:tcW w:w="2040" w:type="dxa"/>
            <w:noWrap w:val="0"/>
            <w:vAlign w:val="center"/>
          </w:tcPr>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6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26</w:t>
            </w:r>
          </w:p>
        </w:tc>
        <w:tc>
          <w:tcPr>
            <w:tcW w:w="173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燃气锅炉深度治理示范项目</w:t>
            </w:r>
          </w:p>
        </w:tc>
        <w:tc>
          <w:tcPr>
            <w:tcW w:w="5904" w:type="dxa"/>
            <w:noWrap w:val="0"/>
            <w:vAlign w:val="center"/>
          </w:tcPr>
          <w:p>
            <w:pPr>
              <w:snapToGrid w:val="0"/>
              <w:spacing w:line="320" w:lineRule="exact"/>
              <w:rPr>
                <w:rFonts w:hint="eastAsia" w:ascii="黑体" w:hAnsi="黑体" w:eastAsia="黑体"/>
                <w:sz w:val="28"/>
                <w:szCs w:val="28"/>
              </w:rPr>
            </w:pPr>
            <w:r>
              <w:rPr>
                <w:rFonts w:hint="eastAsia" w:ascii="仿宋_GB2312" w:eastAsia="仿宋_GB2312"/>
                <w:sz w:val="28"/>
                <w:szCs w:val="28"/>
              </w:rPr>
              <w:t>鼓励区内燃气锅炉开展深度低氮改造。</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年底前</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区城管委</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960" w:type="dxa"/>
            <w:noWrap w:val="0"/>
            <w:vAlign w:val="center"/>
          </w:tcPr>
          <w:p>
            <w:pPr>
              <w:snapToGrid w:val="0"/>
              <w:spacing w:line="320" w:lineRule="exact"/>
              <w:jc w:val="center"/>
              <w:rPr>
                <w:rFonts w:ascii="仿宋_GB2312" w:eastAsia="仿宋_GB2312"/>
                <w:sz w:val="28"/>
                <w:szCs w:val="28"/>
              </w:rPr>
            </w:pPr>
            <w:r>
              <w:rPr>
                <w:rFonts w:hint="eastAsia" w:ascii="仿宋_GB2312" w:eastAsia="仿宋_GB2312"/>
                <w:sz w:val="28"/>
                <w:szCs w:val="28"/>
              </w:rPr>
              <w:t>27</w:t>
            </w:r>
          </w:p>
        </w:tc>
        <w:tc>
          <w:tcPr>
            <w:tcW w:w="173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“油换电（氢）”示范项目</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推进区属商超、快递等轻型物流配送车辆更换为纯电动或氢燃料电池车。</w:t>
            </w:r>
          </w:p>
          <w:p>
            <w:pPr>
              <w:snapToGrid w:val="0"/>
              <w:spacing w:line="320" w:lineRule="exact"/>
              <w:rPr>
                <w:rFonts w:hint="eastAsia" w:ascii="仿宋_GB2312" w:eastAsia="仿宋_GB2312"/>
                <w:sz w:val="28"/>
                <w:szCs w:val="28"/>
              </w:rPr>
            </w:pPr>
            <w:r>
              <w:rPr>
                <w:rFonts w:hint="eastAsia" w:ascii="仿宋_GB2312" w:eastAsia="仿宋_GB2312"/>
                <w:sz w:val="28"/>
                <w:szCs w:val="28"/>
              </w:rPr>
              <w:t>推进环卫中心非作业车辆更换纯电动或氢燃料电池车。</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cs="仿宋_GB2312"/>
                <w:sz w:val="28"/>
                <w:szCs w:val="28"/>
              </w:rPr>
              <w:t>年底前</w:t>
            </w:r>
          </w:p>
        </w:tc>
        <w:tc>
          <w:tcPr>
            <w:tcW w:w="1926" w:type="dxa"/>
            <w:gridSpan w:val="2"/>
            <w:noWrap w:val="0"/>
            <w:vAlign w:val="center"/>
          </w:tcPr>
          <w:p>
            <w:pPr>
              <w:snapToGrid w:val="0"/>
              <w:spacing w:line="320" w:lineRule="exact"/>
              <w:jc w:val="center"/>
              <w:rPr>
                <w:rFonts w:hint="eastAsia" w:ascii="仿宋_GB2312" w:hAnsi="Courier New" w:eastAsia="仿宋_GB2312" w:cs="宋体"/>
                <w:sz w:val="28"/>
                <w:szCs w:val="28"/>
              </w:rPr>
            </w:pPr>
            <w:r>
              <w:rPr>
                <w:rFonts w:hint="eastAsia" w:ascii="仿宋_GB2312" w:hAnsi="Courier New" w:eastAsia="仿宋_GB2312" w:cs="宋体"/>
                <w:sz w:val="28"/>
                <w:szCs w:val="28"/>
              </w:rPr>
              <w:t>区商务局</w:t>
            </w:r>
          </w:p>
          <w:p>
            <w:pPr>
              <w:snapToGrid w:val="0"/>
              <w:spacing w:line="320" w:lineRule="exact"/>
              <w:jc w:val="center"/>
              <w:rPr>
                <w:rFonts w:hint="eastAsia" w:ascii="仿宋_GB2312" w:hAnsi="Courier New" w:eastAsia="仿宋_GB2312" w:cs="宋体"/>
                <w:sz w:val="28"/>
                <w:szCs w:val="28"/>
              </w:rPr>
            </w:pPr>
            <w:r>
              <w:rPr>
                <w:rFonts w:hint="eastAsia" w:ascii="仿宋_GB2312" w:hAnsi="Courier New" w:eastAsia="仿宋_GB2312" w:cs="宋体"/>
                <w:sz w:val="28"/>
                <w:szCs w:val="28"/>
              </w:rPr>
              <w:t>区国资委</w:t>
            </w:r>
          </w:p>
          <w:p>
            <w:pPr>
              <w:snapToGrid w:val="0"/>
              <w:spacing w:line="320" w:lineRule="exact"/>
              <w:jc w:val="center"/>
              <w:rPr>
                <w:rFonts w:hint="eastAsia" w:ascii="仿宋_GB2312" w:hAnsi="Courier New" w:eastAsia="仿宋_GB2312" w:cs="宋体"/>
                <w:sz w:val="28"/>
                <w:szCs w:val="28"/>
              </w:rPr>
            </w:pPr>
            <w:r>
              <w:rPr>
                <w:rFonts w:hint="eastAsia" w:ascii="仿宋_GB2312" w:hAnsi="Courier New" w:eastAsia="仿宋_GB2312" w:cs="宋体"/>
                <w:sz w:val="28"/>
                <w:szCs w:val="28"/>
              </w:rPr>
              <w:t>区城管委</w:t>
            </w:r>
          </w:p>
          <w:p>
            <w:pPr>
              <w:snapToGrid w:val="0"/>
              <w:spacing w:line="320" w:lineRule="exact"/>
              <w:jc w:val="center"/>
              <w:rPr>
                <w:rFonts w:hint="eastAsia" w:ascii="仿宋_GB2312" w:hAnsi="Courier New" w:eastAsia="仿宋_GB2312" w:cs="宋体"/>
                <w:sz w:val="28"/>
                <w:szCs w:val="28"/>
              </w:rPr>
            </w:pPr>
            <w:r>
              <w:rPr>
                <w:rFonts w:hint="eastAsia" w:ascii="仿宋_GB2312" w:hAnsi="Courier New" w:eastAsia="仿宋_GB2312" w:cs="宋体"/>
                <w:sz w:val="28"/>
                <w:szCs w:val="28"/>
              </w:rPr>
              <w:t>（交通委）</w:t>
            </w:r>
          </w:p>
          <w:p>
            <w:pPr>
              <w:snapToGrid w:val="0"/>
              <w:spacing w:line="320" w:lineRule="exact"/>
              <w:jc w:val="center"/>
              <w:rPr>
                <w:rFonts w:hint="eastAsia" w:ascii="仿宋_GB2312" w:hAnsi="Courier New" w:eastAsia="仿宋_GB2312" w:cs="宋体"/>
                <w:sz w:val="28"/>
                <w:szCs w:val="28"/>
              </w:rPr>
            </w:pPr>
            <w:r>
              <w:rPr>
                <w:rFonts w:hint="eastAsia" w:ascii="仿宋_GB2312" w:hAnsi="Courier New" w:eastAsia="仿宋_GB2312" w:cs="宋体"/>
                <w:sz w:val="28"/>
                <w:szCs w:val="28"/>
              </w:rPr>
              <w:t>区环卫中心</w:t>
            </w:r>
          </w:p>
        </w:tc>
        <w:tc>
          <w:tcPr>
            <w:tcW w:w="2040" w:type="dxa"/>
            <w:noWrap w:val="0"/>
            <w:vAlign w:val="center"/>
          </w:tcPr>
          <w:p>
            <w:pPr>
              <w:snapToGrid w:val="0"/>
              <w:spacing w:line="320" w:lineRule="exact"/>
              <w:ind w:right="-65" w:rightChars="-31"/>
              <w:jc w:val="center"/>
              <w:rPr>
                <w:rFonts w:hint="eastAsia" w:ascii="仿宋_GB2312" w:eastAsia="仿宋_GB2312"/>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3972" w:type="dxa"/>
            <w:gridSpan w:val="7"/>
            <w:noWrap w:val="0"/>
            <w:vAlign w:val="center"/>
          </w:tcPr>
          <w:p>
            <w:pPr>
              <w:snapToGrid w:val="0"/>
              <w:spacing w:line="320" w:lineRule="exact"/>
              <w:jc w:val="center"/>
              <w:rPr>
                <w:rFonts w:hint="eastAsia" w:ascii="仿宋_GB2312" w:eastAsia="仿宋_GB2312"/>
                <w:spacing w:val="-26"/>
                <w:sz w:val="28"/>
                <w:szCs w:val="28"/>
              </w:rPr>
            </w:pPr>
            <w:r>
              <w:rPr>
                <w:rFonts w:hint="eastAsia" w:ascii="黑体" w:hAnsi="黑体" w:eastAsia="黑体"/>
                <w:sz w:val="28"/>
                <w:szCs w:val="28"/>
              </w:rPr>
              <w:t>六、加强大气环境治理能力建设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7" w:hRule="atLeast"/>
          <w:jc w:val="center"/>
        </w:trPr>
        <w:tc>
          <w:tcPr>
            <w:tcW w:w="96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28</w:t>
            </w:r>
          </w:p>
        </w:tc>
        <w:tc>
          <w:tcPr>
            <w:tcW w:w="173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加强区域联防联控</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强化区域空气重污染应对；完善空气重污染绩效分级管理，更新应急减排清单。</w:t>
            </w:r>
          </w:p>
          <w:p>
            <w:pPr>
              <w:snapToGrid w:val="0"/>
              <w:spacing w:line="320" w:lineRule="exact"/>
              <w:rPr>
                <w:rFonts w:hint="eastAsia" w:ascii="黑体" w:hAnsi="黑体" w:eastAsia="黑体"/>
                <w:sz w:val="28"/>
                <w:szCs w:val="28"/>
              </w:rPr>
            </w:pPr>
            <w:r>
              <w:rPr>
                <w:rFonts w:hint="eastAsia" w:ascii="仿宋_GB2312" w:eastAsia="仿宋_GB2312"/>
                <w:sz w:val="28"/>
                <w:szCs w:val="28"/>
              </w:rPr>
              <w:t>按照市级部门要求依法依规启动重污染天气预警。空气重污染期间，各成员单位组织落实各项减排措施，并加强督查检查执法。</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长期实施</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tc>
        <w:tc>
          <w:tcPr>
            <w:tcW w:w="2040" w:type="dxa"/>
            <w:noWrap w:val="0"/>
            <w:vAlign w:val="center"/>
          </w:tcPr>
          <w:p>
            <w:pPr>
              <w:snapToGrid w:val="0"/>
              <w:spacing w:line="320" w:lineRule="exact"/>
              <w:ind w:left="-105" w:leftChars="-50" w:right="-105" w:rightChars="-50"/>
              <w:jc w:val="center"/>
              <w:rPr>
                <w:rFonts w:hint="eastAsia" w:ascii="仿宋_GB2312" w:eastAsia="仿宋_GB2312"/>
                <w:sz w:val="28"/>
                <w:szCs w:val="28"/>
              </w:rPr>
            </w:pPr>
            <w:r>
              <w:rPr>
                <w:rFonts w:hint="eastAsia" w:ascii="仿宋_GB2312" w:eastAsia="仿宋_GB2312"/>
                <w:sz w:val="28"/>
                <w:szCs w:val="28"/>
              </w:rPr>
              <w:t>区空气重污染</w:t>
            </w:r>
          </w:p>
          <w:p>
            <w:pPr>
              <w:snapToGrid w:val="0"/>
              <w:spacing w:line="320" w:lineRule="exact"/>
              <w:ind w:left="-105" w:leftChars="-50" w:right="-105" w:rightChars="-50"/>
              <w:jc w:val="center"/>
              <w:rPr>
                <w:rFonts w:hint="eastAsia" w:ascii="仿宋_GB2312" w:eastAsia="仿宋_GB2312"/>
                <w:sz w:val="28"/>
                <w:szCs w:val="28"/>
              </w:rPr>
            </w:pPr>
            <w:r>
              <w:rPr>
                <w:rFonts w:hint="eastAsia" w:ascii="仿宋_GB2312" w:eastAsia="仿宋_GB2312"/>
                <w:sz w:val="28"/>
                <w:szCs w:val="28"/>
              </w:rPr>
              <w:t>应急指挥部</w:t>
            </w:r>
          </w:p>
          <w:p>
            <w:pPr>
              <w:snapToGrid w:val="0"/>
              <w:spacing w:line="320" w:lineRule="exact"/>
              <w:ind w:left="-105" w:leftChars="-50" w:right="-105" w:rightChars="-50"/>
              <w:jc w:val="center"/>
              <w:rPr>
                <w:rFonts w:hint="eastAsia" w:ascii="仿宋_GB2312" w:eastAsia="仿宋_GB2312"/>
                <w:sz w:val="28"/>
                <w:szCs w:val="28"/>
              </w:rPr>
            </w:pPr>
            <w:r>
              <w:rPr>
                <w:rFonts w:hint="eastAsia" w:ascii="仿宋_GB2312" w:eastAsia="仿宋_GB2312"/>
                <w:sz w:val="28"/>
                <w:szCs w:val="28"/>
              </w:rPr>
              <w:t>成员单位</w:t>
            </w:r>
          </w:p>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区应急局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0" w:hRule="atLeast"/>
          <w:jc w:val="center"/>
        </w:trPr>
        <w:tc>
          <w:tcPr>
            <w:tcW w:w="96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29</w:t>
            </w:r>
          </w:p>
        </w:tc>
        <w:tc>
          <w:tcPr>
            <w:tcW w:w="173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强化督导、执法和信息公开</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根据市生态环境局通报的污染物浓度高值地区情况，组织对排名靠后的街道（地区）、高值地区等开展溯源排查整改，推动精准治理。</w:t>
            </w:r>
          </w:p>
          <w:p>
            <w:pPr>
              <w:snapToGrid w:val="0"/>
              <w:spacing w:line="320" w:lineRule="exact"/>
              <w:rPr>
                <w:rFonts w:hint="eastAsia" w:ascii="仿宋_GB2312" w:eastAsia="仿宋_GB2312"/>
                <w:sz w:val="28"/>
                <w:szCs w:val="28"/>
              </w:rPr>
            </w:pPr>
            <w:r>
              <w:rPr>
                <w:rFonts w:hint="eastAsia" w:ascii="仿宋_GB2312" w:eastAsia="仿宋_GB2312"/>
                <w:sz w:val="28"/>
                <w:szCs w:val="28"/>
              </w:rPr>
              <w:t>生态环境、公安、城管执法等部门依据职责，</w:t>
            </w:r>
            <w:r>
              <w:rPr>
                <w:rFonts w:hint="eastAsia" w:ascii="仿宋_GB2312" w:eastAsia="仿宋_GB2312"/>
                <w:spacing w:val="-6"/>
                <w:sz w:val="28"/>
                <w:szCs w:val="28"/>
              </w:rPr>
              <w:t>组织开展贯穿全年的环境问题执法检查专项，重点加强对餐饮、汽修、VOCs和NOx排放重点企业、施工工地等单位的执法检查。强化排污许可证后监管执法，严格查处无证和不按证排污行为。</w:t>
            </w:r>
          </w:p>
          <w:p>
            <w:pPr>
              <w:pStyle w:val="2"/>
              <w:snapToGrid w:val="0"/>
              <w:spacing w:line="320" w:lineRule="exact"/>
              <w:rPr>
                <w:rFonts w:hint="eastAsia" w:eastAsia="仿宋_GB2312"/>
                <w:sz w:val="28"/>
                <w:szCs w:val="28"/>
              </w:rPr>
            </w:pPr>
            <w:r>
              <w:rPr>
                <w:rFonts w:hint="eastAsia" w:ascii="仿宋_GB2312" w:eastAsia="仿宋_GB2312" w:cs="仿宋_GB2312"/>
                <w:sz w:val="28"/>
                <w:szCs w:val="28"/>
              </w:rPr>
              <w:t>区城管委牵头，整治建筑垃圾违法违规行为，对违法行为依法处理处置，对典型案例加强宣传曝光，形成震慑。</w:t>
            </w:r>
          </w:p>
          <w:p>
            <w:pPr>
              <w:snapToGrid w:val="0"/>
              <w:spacing w:line="320" w:lineRule="exact"/>
              <w:rPr>
                <w:rFonts w:hint="eastAsia" w:ascii="仿宋_GB2312" w:eastAsia="仿宋_GB2312"/>
                <w:sz w:val="28"/>
                <w:szCs w:val="28"/>
              </w:rPr>
            </w:pPr>
            <w:r>
              <w:rPr>
                <w:rFonts w:hint="eastAsia" w:ascii="仿宋_GB2312" w:eastAsia="仿宋_GB2312"/>
                <w:sz w:val="28"/>
                <w:szCs w:val="28"/>
              </w:rPr>
              <w:t>落实环境信息依法披露改革要求，督促重点排污单位、实施强制性清洁生产审核企业等依法披露年度报告等环境信息。</w:t>
            </w:r>
          </w:p>
        </w:tc>
        <w:tc>
          <w:tcPr>
            <w:tcW w:w="1406" w:type="dxa"/>
            <w:noWrap w:val="0"/>
            <w:vAlign w:val="center"/>
          </w:tcPr>
          <w:p>
            <w:pPr>
              <w:snapToGrid w:val="0"/>
              <w:spacing w:line="320" w:lineRule="exact"/>
              <w:ind w:left="-105" w:leftChars="-50" w:right="-105" w:rightChars="-50"/>
              <w:jc w:val="center"/>
              <w:rPr>
                <w:rFonts w:hint="eastAsia" w:ascii="仿宋_GB2312" w:eastAsia="仿宋_GB2312"/>
                <w:sz w:val="28"/>
                <w:szCs w:val="28"/>
              </w:rPr>
            </w:pPr>
            <w:r>
              <w:rPr>
                <w:rFonts w:hint="eastAsia" w:ascii="仿宋_GB2312" w:eastAsia="仿宋_GB2312"/>
                <w:sz w:val="28"/>
                <w:szCs w:val="28"/>
              </w:rPr>
              <w:t>年底前</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ind w:left="-105" w:leftChars="-50" w:right="-105" w:rightChars="-50"/>
              <w:jc w:val="center"/>
              <w:rPr>
                <w:rFonts w:hint="eastAsia" w:ascii="仿宋_GB2312" w:eastAsia="仿宋_GB2312"/>
                <w:sz w:val="28"/>
                <w:szCs w:val="28"/>
              </w:rPr>
            </w:pPr>
            <w:r>
              <w:rPr>
                <w:rFonts w:hint="eastAsia" w:ascii="仿宋_GB2312" w:eastAsia="仿宋_GB2312"/>
                <w:sz w:val="28"/>
                <w:szCs w:val="28"/>
              </w:rPr>
              <w:t>公安分局</w:t>
            </w:r>
          </w:p>
          <w:p>
            <w:pPr>
              <w:snapToGrid w:val="0"/>
              <w:spacing w:line="320" w:lineRule="exact"/>
              <w:ind w:left="-105" w:leftChars="-50" w:right="-105" w:rightChars="-50"/>
              <w:jc w:val="center"/>
              <w:rPr>
                <w:rFonts w:hint="eastAsia" w:ascii="仿宋_GB2312" w:eastAsia="仿宋_GB2312"/>
                <w:sz w:val="28"/>
                <w:szCs w:val="28"/>
              </w:rPr>
            </w:pPr>
            <w:r>
              <w:rPr>
                <w:rFonts w:hint="eastAsia" w:ascii="仿宋_GB2312" w:eastAsia="仿宋_GB2312"/>
                <w:sz w:val="28"/>
                <w:szCs w:val="28"/>
              </w:rPr>
              <w:t>（环食药旅）</w:t>
            </w:r>
          </w:p>
          <w:p>
            <w:pPr>
              <w:snapToGrid w:val="0"/>
              <w:spacing w:line="320" w:lineRule="exact"/>
              <w:ind w:left="-105" w:leftChars="-50" w:right="-105" w:rightChars="-50"/>
              <w:jc w:val="center"/>
              <w:rPr>
                <w:rFonts w:hint="eastAsia" w:ascii="仿宋_GB2312" w:eastAsia="仿宋_GB2312"/>
                <w:sz w:val="28"/>
                <w:szCs w:val="28"/>
              </w:rPr>
            </w:pPr>
            <w:r>
              <w:rPr>
                <w:rFonts w:hint="eastAsia" w:ascii="仿宋_GB2312" w:eastAsia="仿宋_GB2312"/>
                <w:sz w:val="28"/>
                <w:szCs w:val="28"/>
              </w:rPr>
              <w:t>交通支队</w:t>
            </w:r>
          </w:p>
          <w:p>
            <w:pPr>
              <w:snapToGrid w:val="0"/>
              <w:spacing w:line="320" w:lineRule="exact"/>
              <w:ind w:left="-105" w:leftChars="-50" w:right="-105" w:rightChars="-50"/>
              <w:jc w:val="center"/>
              <w:rPr>
                <w:rFonts w:hint="eastAsia" w:ascii="仿宋_GB2312" w:eastAsia="仿宋_GB2312"/>
                <w:sz w:val="28"/>
                <w:szCs w:val="28"/>
              </w:rPr>
            </w:pPr>
            <w:r>
              <w:rPr>
                <w:rFonts w:hint="eastAsia" w:ascii="仿宋_GB2312" w:eastAsia="仿宋_GB2312"/>
                <w:sz w:val="28"/>
                <w:szCs w:val="28"/>
              </w:rPr>
              <w:t>区城管委</w:t>
            </w:r>
          </w:p>
          <w:p>
            <w:pPr>
              <w:snapToGrid w:val="0"/>
              <w:spacing w:line="320" w:lineRule="exact"/>
              <w:ind w:left="-105" w:leftChars="-50" w:right="-105" w:rightChars="-50"/>
              <w:jc w:val="center"/>
              <w:rPr>
                <w:rFonts w:hint="eastAsia" w:ascii="仿宋_GB2312" w:eastAsia="仿宋_GB2312"/>
                <w:sz w:val="28"/>
                <w:szCs w:val="28"/>
              </w:rPr>
            </w:pPr>
            <w:r>
              <w:rPr>
                <w:rFonts w:hint="eastAsia" w:ascii="仿宋_GB2312" w:eastAsia="仿宋_GB2312"/>
                <w:sz w:val="28"/>
                <w:szCs w:val="28"/>
              </w:rPr>
              <w:t>各街道（地区）</w:t>
            </w:r>
          </w:p>
        </w:tc>
        <w:tc>
          <w:tcPr>
            <w:tcW w:w="2040" w:type="dxa"/>
            <w:noWrap w:val="0"/>
            <w:vAlign w:val="center"/>
          </w:tcPr>
          <w:p>
            <w:pPr>
              <w:snapToGrid w:val="0"/>
              <w:spacing w:line="320" w:lineRule="exact"/>
              <w:ind w:left="-105" w:leftChars="-50" w:right="-105" w:rightChars="-50"/>
              <w:jc w:val="center"/>
              <w:rPr>
                <w:rFonts w:hint="eastAsia" w:ascii="仿宋_GB2312" w:eastAsia="仿宋_GB2312"/>
                <w:sz w:val="28"/>
                <w:szCs w:val="28"/>
              </w:rPr>
            </w:pPr>
            <w:r>
              <w:rPr>
                <w:rFonts w:hint="eastAsia" w:ascii="仿宋_GB2312" w:eastAsia="仿宋_GB2312"/>
                <w:sz w:val="28"/>
                <w:szCs w:val="28"/>
              </w:rPr>
              <w:t>区城管执法局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960" w:type="dxa"/>
            <w:vMerge w:val="restart"/>
            <w:noWrap w:val="0"/>
            <w:vAlign w:val="center"/>
          </w:tcPr>
          <w:p>
            <w:pPr>
              <w:snapToGrid w:val="0"/>
              <w:spacing w:line="320" w:lineRule="exact"/>
              <w:jc w:val="center"/>
              <w:rPr>
                <w:rFonts w:ascii="仿宋_GB2312" w:eastAsia="仿宋_GB2312"/>
                <w:sz w:val="28"/>
                <w:szCs w:val="28"/>
              </w:rPr>
            </w:pPr>
            <w:r>
              <w:rPr>
                <w:rFonts w:hint="eastAsia" w:ascii="仿宋_GB2312" w:eastAsia="仿宋_GB2312"/>
                <w:sz w:val="28"/>
                <w:szCs w:val="28"/>
              </w:rPr>
              <w:t>30</w:t>
            </w:r>
          </w:p>
        </w:tc>
        <w:tc>
          <w:tcPr>
            <w:tcW w:w="1736" w:type="dxa"/>
            <w:vMerge w:val="restart"/>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发挥生态环境经济激励引导作用</w:t>
            </w: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按照市级部门要求，根据市</w:t>
            </w:r>
            <w:r>
              <w:rPr>
                <w:rFonts w:hint="eastAsia" w:ascii="仿宋_GB2312" w:eastAsia="仿宋_GB2312"/>
                <w:spacing w:val="-14"/>
                <w:sz w:val="28"/>
                <w:szCs w:val="28"/>
              </w:rPr>
              <w:t>经济和信息化</w:t>
            </w:r>
            <w:r>
              <w:rPr>
                <w:rFonts w:hint="eastAsia" w:ascii="仿宋_GB2312" w:eastAsia="仿宋_GB2312"/>
                <w:sz w:val="28"/>
                <w:szCs w:val="28"/>
              </w:rPr>
              <w:t>、生态环境等部门形成的绿色引领企业名录或清单，通过绿色金融政策鼓励引领企业绿色发展。</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年底前</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区科信局</w:t>
            </w:r>
          </w:p>
        </w:tc>
        <w:tc>
          <w:tcPr>
            <w:tcW w:w="2040"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960" w:type="dxa"/>
            <w:vMerge w:val="continue"/>
            <w:noWrap w:val="0"/>
            <w:vAlign w:val="center"/>
          </w:tcPr>
          <w:p>
            <w:pPr>
              <w:snapToGrid w:val="0"/>
              <w:spacing w:line="320" w:lineRule="exact"/>
              <w:jc w:val="center"/>
              <w:rPr>
                <w:rFonts w:hint="eastAsia" w:ascii="仿宋_GB2312" w:eastAsia="仿宋_GB2312"/>
                <w:sz w:val="28"/>
                <w:szCs w:val="28"/>
              </w:rPr>
            </w:pPr>
          </w:p>
        </w:tc>
        <w:tc>
          <w:tcPr>
            <w:tcW w:w="1736" w:type="dxa"/>
            <w:vMerge w:val="continue"/>
            <w:noWrap w:val="0"/>
            <w:vAlign w:val="center"/>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区生态环境局加强市级资金统筹，按照污染防治专项转移支付资金管理办法，向环境质量改善情况好、污染防治任务重的街道予以倾斜。</w:t>
            </w:r>
          </w:p>
          <w:p>
            <w:pPr>
              <w:snapToGrid w:val="0"/>
              <w:spacing w:line="320" w:lineRule="exact"/>
              <w:rPr>
                <w:rFonts w:hint="eastAsia" w:ascii="仿宋_GB2312" w:eastAsia="仿宋_GB2312"/>
                <w:sz w:val="28"/>
                <w:szCs w:val="28"/>
              </w:rPr>
            </w:pPr>
            <w:r>
              <w:rPr>
                <w:rFonts w:hint="eastAsia" w:ascii="仿宋_GB2312" w:eastAsia="仿宋_GB2312"/>
                <w:sz w:val="28"/>
                <w:szCs w:val="28"/>
              </w:rPr>
              <w:t>加强项目储备与资金使用管理，并结合辖区实际，相应加大区级财政投入力度。</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年底前</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区生态环境局</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区财政局</w:t>
            </w:r>
          </w:p>
        </w:tc>
        <w:tc>
          <w:tcPr>
            <w:tcW w:w="2040" w:type="dxa"/>
            <w:noWrap w:val="0"/>
            <w:vAlign w:val="center"/>
          </w:tcPr>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960" w:type="dxa"/>
            <w:vMerge w:val="continue"/>
            <w:noWrap w:val="0"/>
            <w:vAlign w:val="center"/>
          </w:tcPr>
          <w:p>
            <w:pPr>
              <w:snapToGrid w:val="0"/>
              <w:spacing w:line="320" w:lineRule="exact"/>
              <w:jc w:val="center"/>
              <w:rPr>
                <w:rFonts w:hint="eastAsia" w:ascii="仿宋_GB2312" w:eastAsia="仿宋_GB2312"/>
                <w:sz w:val="28"/>
                <w:szCs w:val="28"/>
              </w:rPr>
            </w:pPr>
          </w:p>
        </w:tc>
        <w:tc>
          <w:tcPr>
            <w:tcW w:w="1736" w:type="dxa"/>
            <w:vMerge w:val="continue"/>
            <w:noWrap w:val="0"/>
            <w:vAlign w:val="center"/>
          </w:tcPr>
          <w:p>
            <w:pPr>
              <w:snapToGrid w:val="0"/>
              <w:spacing w:line="320" w:lineRule="exact"/>
              <w:jc w:val="center"/>
              <w:rPr>
                <w:rFonts w:hint="eastAsia" w:ascii="仿宋_GB2312" w:eastAsia="仿宋_GB2312"/>
                <w:sz w:val="28"/>
                <w:szCs w:val="28"/>
              </w:rPr>
            </w:pPr>
          </w:p>
        </w:tc>
        <w:tc>
          <w:tcPr>
            <w:tcW w:w="5904" w:type="dxa"/>
            <w:noWrap w:val="0"/>
            <w:vAlign w:val="center"/>
          </w:tcPr>
          <w:p>
            <w:pPr>
              <w:snapToGrid w:val="0"/>
              <w:spacing w:line="320" w:lineRule="exact"/>
              <w:rPr>
                <w:rFonts w:hint="eastAsia" w:ascii="仿宋_GB2312" w:eastAsia="仿宋_GB2312"/>
                <w:sz w:val="28"/>
                <w:szCs w:val="28"/>
              </w:rPr>
            </w:pPr>
            <w:r>
              <w:rPr>
                <w:rFonts w:hint="eastAsia" w:ascii="仿宋_GB2312" w:eastAsia="仿宋_GB2312"/>
                <w:sz w:val="28"/>
                <w:szCs w:val="28"/>
              </w:rPr>
              <w:t>充分发挥施工扬尘环保税调控作用，区住建委、区城管委和税务局依托“绿牌”工地表彰和施工扬尘处罚等信息共享机制，推动实现纳税主体和施工主体信息畅通，确保依法足额征收施工扬尘环保税。</w:t>
            </w:r>
          </w:p>
        </w:tc>
        <w:tc>
          <w:tcPr>
            <w:tcW w:w="1406" w:type="dxa"/>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年底前</w:t>
            </w:r>
          </w:p>
        </w:tc>
        <w:tc>
          <w:tcPr>
            <w:tcW w:w="1926" w:type="dxa"/>
            <w:gridSpan w:val="2"/>
            <w:noWrap w:val="0"/>
            <w:vAlign w:val="center"/>
          </w:tcPr>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区住建委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区城管委</w:t>
            </w:r>
          </w:p>
          <w:p>
            <w:pPr>
              <w:snapToGrid w:val="0"/>
              <w:spacing w:line="320" w:lineRule="exact"/>
              <w:jc w:val="center"/>
              <w:rPr>
                <w:rFonts w:hint="eastAsia" w:ascii="仿宋_GB2312" w:eastAsia="仿宋_GB2312"/>
                <w:sz w:val="28"/>
                <w:szCs w:val="28"/>
              </w:rPr>
            </w:pPr>
            <w:r>
              <w:rPr>
                <w:rFonts w:hint="eastAsia" w:ascii="仿宋_GB2312" w:eastAsia="仿宋_GB2312"/>
                <w:sz w:val="28"/>
                <w:szCs w:val="28"/>
              </w:rPr>
              <w:t>区税务局</w:t>
            </w:r>
          </w:p>
        </w:tc>
        <w:tc>
          <w:tcPr>
            <w:tcW w:w="2040" w:type="dxa"/>
            <w:noWrap w:val="0"/>
            <w:vAlign w:val="center"/>
          </w:tcPr>
          <w:p>
            <w:pPr>
              <w:snapToGrid w:val="0"/>
              <w:spacing w:line="320" w:lineRule="exact"/>
              <w:jc w:val="center"/>
              <w:rPr>
                <w:rFonts w:hint="eastAsia" w:ascii="仿宋_GB2312" w:eastAsia="仿宋_GB2312"/>
                <w:spacing w:val="-26"/>
                <w:sz w:val="28"/>
                <w:szCs w:val="28"/>
              </w:rPr>
            </w:pPr>
            <w:r>
              <w:rPr>
                <w:rFonts w:hint="eastAsia" w:ascii="仿宋_GB2312" w:eastAsia="仿宋_GB2312"/>
                <w:sz w:val="28"/>
                <w:szCs w:val="28"/>
              </w:rPr>
              <w:t>区生态环境局</w:t>
            </w:r>
          </w:p>
        </w:tc>
      </w:tr>
    </w:tbl>
    <w:p>
      <w:r>
        <w:br w:type="page"/>
      </w:r>
    </w:p>
    <w:p>
      <w:pPr>
        <w:pStyle w:val="7"/>
        <w:spacing w:line="560" w:lineRule="exact"/>
        <w:ind w:firstLine="0" w:firstLineChars="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2023年各街道空气质量目标</w:t>
      </w:r>
    </w:p>
    <w:p>
      <w:pPr>
        <w:pStyle w:val="7"/>
        <w:spacing w:line="560" w:lineRule="exact"/>
        <w:ind w:firstLine="0" w:firstLineChars="0"/>
        <w:jc w:val="center"/>
        <w:rPr>
          <w:rFonts w:hint="eastAsia" w:ascii="方正小标宋简体" w:hAnsi="方正小标宋简体" w:eastAsia="方正小标宋简体" w:cs="方正小标宋简体"/>
          <w:sz w:val="32"/>
          <w:szCs w:val="32"/>
        </w:rPr>
      </w:pPr>
    </w:p>
    <w:tbl>
      <w:tblPr>
        <w:tblStyle w:val="4"/>
        <w:tblW w:w="0" w:type="auto"/>
        <w:jc w:val="center"/>
        <w:tblLayout w:type="fixed"/>
        <w:tblCellMar>
          <w:top w:w="0" w:type="dxa"/>
          <w:left w:w="108" w:type="dxa"/>
          <w:bottom w:w="0" w:type="dxa"/>
          <w:right w:w="108" w:type="dxa"/>
        </w:tblCellMar>
      </w:tblPr>
      <w:tblGrid>
        <w:gridCol w:w="2556"/>
        <w:gridCol w:w="3009"/>
        <w:gridCol w:w="3051"/>
      </w:tblGrid>
      <w:tr>
        <w:tblPrEx>
          <w:tblCellMar>
            <w:top w:w="0" w:type="dxa"/>
            <w:left w:w="108" w:type="dxa"/>
            <w:bottom w:w="0" w:type="dxa"/>
            <w:right w:w="108" w:type="dxa"/>
          </w:tblCellMar>
        </w:tblPrEx>
        <w:trPr>
          <w:trHeight w:val="482"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b/>
                <w:color w:val="000000"/>
                <w:sz w:val="28"/>
                <w:szCs w:val="28"/>
              </w:rPr>
            </w:pPr>
            <w:bookmarkStart w:id="0" w:name="_GoBack"/>
            <w:bookmarkEnd w:id="0"/>
            <w:r>
              <w:rPr>
                <w:rFonts w:hint="eastAsia" w:ascii="仿宋_GB2312" w:hAnsi="仿宋_GB2312" w:eastAsia="仿宋_GB2312" w:cs="仿宋_GB2312"/>
                <w:b/>
                <w:color w:val="000000"/>
                <w:sz w:val="28"/>
                <w:szCs w:val="28"/>
              </w:rPr>
              <w:t>街道（地区）</w:t>
            </w:r>
          </w:p>
        </w:tc>
        <w:tc>
          <w:tcPr>
            <w:tcW w:w="3009" w:type="dxa"/>
            <w:tcBorders>
              <w:top w:val="single" w:color="auto" w:sz="6" w:space="0"/>
              <w:left w:val="single" w:color="auto" w:sz="6" w:space="0"/>
              <w:bottom w:val="single" w:color="auto" w:sz="6" w:space="0"/>
              <w:right w:val="single" w:color="auto" w:sz="6" w:space="0"/>
            </w:tcBorders>
            <w:noWrap w:val="0"/>
            <w:vAlign w:val="center"/>
          </w:tcPr>
          <w:p>
            <w:pPr>
              <w:spacing w:line="360" w:lineRule="exact"/>
              <w:jc w:val="center"/>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PM</w:t>
            </w:r>
            <w:r>
              <w:rPr>
                <w:rFonts w:hint="eastAsia" w:ascii="仿宋_GB2312" w:hAnsi="仿宋_GB2312" w:eastAsia="仿宋_GB2312" w:cs="仿宋_GB2312"/>
                <w:b/>
                <w:color w:val="000000"/>
                <w:sz w:val="28"/>
                <w:szCs w:val="28"/>
                <w:vertAlign w:val="subscript"/>
              </w:rPr>
              <w:t>2.5</w:t>
            </w:r>
            <w:r>
              <w:rPr>
                <w:rFonts w:hint="eastAsia" w:ascii="仿宋_GB2312" w:hAnsi="仿宋_GB2312" w:eastAsia="仿宋_GB2312" w:cs="仿宋_GB2312"/>
                <w:b/>
                <w:color w:val="000000"/>
                <w:sz w:val="28"/>
                <w:szCs w:val="28"/>
              </w:rPr>
              <w:t>累计浓度</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spacing w:line="360" w:lineRule="exact"/>
              <w:jc w:val="center"/>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累计降尘量</w:t>
            </w:r>
          </w:p>
        </w:tc>
      </w:tr>
      <w:tr>
        <w:tblPrEx>
          <w:tblCellMar>
            <w:top w:w="0" w:type="dxa"/>
            <w:left w:w="108" w:type="dxa"/>
            <w:bottom w:w="0" w:type="dxa"/>
            <w:right w:w="108" w:type="dxa"/>
          </w:tblCellMar>
        </w:tblPrEx>
        <w:trPr>
          <w:trHeight w:val="90"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天坛街道</w:t>
            </w:r>
          </w:p>
        </w:tc>
        <w:tc>
          <w:tcPr>
            <w:tcW w:w="3009"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PM</w:t>
            </w:r>
            <w:r>
              <w:rPr>
                <w:rFonts w:hint="eastAsia" w:ascii="仿宋_GB2312" w:hAnsi="仿宋_GB2312" w:eastAsia="仿宋_GB2312" w:cs="仿宋_GB2312"/>
                <w:color w:val="000000"/>
                <w:sz w:val="24"/>
                <w:vertAlign w:val="subscript"/>
              </w:rPr>
              <w:t>2.5</w:t>
            </w:r>
            <w:r>
              <w:rPr>
                <w:rFonts w:hint="eastAsia" w:ascii="仿宋_GB2312" w:hAnsi="仿宋_GB2312" w:eastAsia="仿宋_GB2312" w:cs="仿宋_GB2312"/>
                <w:color w:val="000000"/>
                <w:sz w:val="24"/>
              </w:rPr>
              <w:t>浓度持续下降，</w:t>
            </w:r>
          </w:p>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4"/>
              </w:rPr>
              <w:t>不高于31微克/立方米。</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5.0吨/平方公里·月以下</w:t>
            </w:r>
          </w:p>
        </w:tc>
      </w:tr>
      <w:tr>
        <w:tblPrEx>
          <w:tblCellMar>
            <w:top w:w="0" w:type="dxa"/>
            <w:left w:w="108" w:type="dxa"/>
            <w:bottom w:w="0" w:type="dxa"/>
            <w:right w:w="108" w:type="dxa"/>
          </w:tblCellMar>
        </w:tblPrEx>
        <w:trPr>
          <w:trHeight w:val="482"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崇文门外街道</w:t>
            </w:r>
          </w:p>
        </w:tc>
        <w:tc>
          <w:tcPr>
            <w:tcW w:w="3009"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PM</w:t>
            </w:r>
            <w:r>
              <w:rPr>
                <w:rFonts w:hint="eastAsia" w:ascii="仿宋_GB2312" w:hAnsi="仿宋_GB2312" w:eastAsia="仿宋_GB2312" w:cs="仿宋_GB2312"/>
                <w:color w:val="000000"/>
                <w:sz w:val="24"/>
                <w:vertAlign w:val="subscript"/>
              </w:rPr>
              <w:t>2.5</w:t>
            </w:r>
            <w:r>
              <w:rPr>
                <w:rFonts w:hint="eastAsia" w:ascii="仿宋_GB2312" w:hAnsi="仿宋_GB2312" w:eastAsia="仿宋_GB2312" w:cs="仿宋_GB2312"/>
                <w:color w:val="000000"/>
                <w:sz w:val="24"/>
              </w:rPr>
              <w:t>浓度持续下降，</w:t>
            </w:r>
          </w:p>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4"/>
              </w:rPr>
              <w:t>不高于31微克/立方米。</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5.0吨/平方公里·月以下</w:t>
            </w:r>
          </w:p>
        </w:tc>
      </w:tr>
      <w:tr>
        <w:tblPrEx>
          <w:tblCellMar>
            <w:top w:w="0" w:type="dxa"/>
            <w:left w:w="108" w:type="dxa"/>
            <w:bottom w:w="0" w:type="dxa"/>
            <w:right w:w="108" w:type="dxa"/>
          </w:tblCellMar>
        </w:tblPrEx>
        <w:trPr>
          <w:trHeight w:val="482"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前门街道</w:t>
            </w:r>
          </w:p>
        </w:tc>
        <w:tc>
          <w:tcPr>
            <w:tcW w:w="3009"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PM</w:t>
            </w:r>
            <w:r>
              <w:rPr>
                <w:rFonts w:hint="eastAsia" w:ascii="仿宋_GB2312" w:hAnsi="仿宋_GB2312" w:eastAsia="仿宋_GB2312" w:cs="仿宋_GB2312"/>
                <w:color w:val="000000"/>
                <w:sz w:val="24"/>
                <w:vertAlign w:val="subscript"/>
              </w:rPr>
              <w:t>2.5</w:t>
            </w:r>
            <w:r>
              <w:rPr>
                <w:rFonts w:hint="eastAsia" w:ascii="仿宋_GB2312" w:hAnsi="仿宋_GB2312" w:eastAsia="仿宋_GB2312" w:cs="仿宋_GB2312"/>
                <w:color w:val="000000"/>
                <w:sz w:val="24"/>
              </w:rPr>
              <w:t>浓度持续下降，</w:t>
            </w:r>
          </w:p>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4"/>
              </w:rPr>
              <w:t>不高于31微克/立方米。</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5.0吨/平方公里·月以下</w:t>
            </w:r>
          </w:p>
        </w:tc>
      </w:tr>
      <w:tr>
        <w:tblPrEx>
          <w:tblCellMar>
            <w:top w:w="0" w:type="dxa"/>
            <w:left w:w="108" w:type="dxa"/>
            <w:bottom w:w="0" w:type="dxa"/>
            <w:right w:w="108" w:type="dxa"/>
          </w:tblCellMar>
        </w:tblPrEx>
        <w:trPr>
          <w:trHeight w:val="482"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东花市街道</w:t>
            </w:r>
          </w:p>
        </w:tc>
        <w:tc>
          <w:tcPr>
            <w:tcW w:w="3009"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PM</w:t>
            </w:r>
            <w:r>
              <w:rPr>
                <w:rFonts w:hint="eastAsia" w:ascii="仿宋_GB2312" w:hAnsi="仿宋_GB2312" w:eastAsia="仿宋_GB2312" w:cs="仿宋_GB2312"/>
                <w:color w:val="000000"/>
                <w:sz w:val="24"/>
                <w:vertAlign w:val="subscript"/>
              </w:rPr>
              <w:t>2.5</w:t>
            </w:r>
            <w:r>
              <w:rPr>
                <w:rFonts w:hint="eastAsia" w:ascii="仿宋_GB2312" w:hAnsi="仿宋_GB2312" w:eastAsia="仿宋_GB2312" w:cs="仿宋_GB2312"/>
                <w:color w:val="000000"/>
                <w:sz w:val="24"/>
              </w:rPr>
              <w:t>浓度持续下降，</w:t>
            </w:r>
          </w:p>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4"/>
              </w:rPr>
              <w:t>不高于30微克/立方米。</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5.0吨/平方公里·月以下</w:t>
            </w:r>
          </w:p>
        </w:tc>
      </w:tr>
      <w:tr>
        <w:tblPrEx>
          <w:tblCellMar>
            <w:top w:w="0" w:type="dxa"/>
            <w:left w:w="108" w:type="dxa"/>
            <w:bottom w:w="0" w:type="dxa"/>
            <w:right w:w="108" w:type="dxa"/>
          </w:tblCellMar>
        </w:tblPrEx>
        <w:trPr>
          <w:trHeight w:val="482"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龙潭街道</w:t>
            </w:r>
          </w:p>
        </w:tc>
        <w:tc>
          <w:tcPr>
            <w:tcW w:w="3009"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PM</w:t>
            </w:r>
            <w:r>
              <w:rPr>
                <w:rFonts w:hint="eastAsia" w:ascii="仿宋_GB2312" w:hAnsi="仿宋_GB2312" w:eastAsia="仿宋_GB2312" w:cs="仿宋_GB2312"/>
                <w:color w:val="000000"/>
                <w:sz w:val="24"/>
                <w:vertAlign w:val="subscript"/>
              </w:rPr>
              <w:t>2.5</w:t>
            </w:r>
            <w:r>
              <w:rPr>
                <w:rFonts w:hint="eastAsia" w:ascii="仿宋_GB2312" w:hAnsi="仿宋_GB2312" w:eastAsia="仿宋_GB2312" w:cs="仿宋_GB2312"/>
                <w:color w:val="000000"/>
                <w:sz w:val="24"/>
              </w:rPr>
              <w:t>浓度持续下降，</w:t>
            </w:r>
          </w:p>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4"/>
              </w:rPr>
              <w:t>不高于30微克/立方米。</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5.0吨/平方公里·月以下</w:t>
            </w:r>
          </w:p>
        </w:tc>
      </w:tr>
      <w:tr>
        <w:tblPrEx>
          <w:tblCellMar>
            <w:top w:w="0" w:type="dxa"/>
            <w:left w:w="108" w:type="dxa"/>
            <w:bottom w:w="0" w:type="dxa"/>
            <w:right w:w="108" w:type="dxa"/>
          </w:tblCellMar>
        </w:tblPrEx>
        <w:trPr>
          <w:trHeight w:val="482"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交道口街道</w:t>
            </w:r>
          </w:p>
        </w:tc>
        <w:tc>
          <w:tcPr>
            <w:tcW w:w="3009"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PM</w:t>
            </w:r>
            <w:r>
              <w:rPr>
                <w:rFonts w:hint="eastAsia" w:ascii="仿宋_GB2312" w:hAnsi="仿宋_GB2312" w:eastAsia="仿宋_GB2312" w:cs="仿宋_GB2312"/>
                <w:color w:val="000000"/>
                <w:sz w:val="24"/>
                <w:vertAlign w:val="subscript"/>
              </w:rPr>
              <w:t>2.5</w:t>
            </w:r>
            <w:r>
              <w:rPr>
                <w:rFonts w:hint="eastAsia" w:ascii="仿宋_GB2312" w:hAnsi="仿宋_GB2312" w:eastAsia="仿宋_GB2312" w:cs="仿宋_GB2312"/>
                <w:color w:val="000000"/>
                <w:sz w:val="24"/>
              </w:rPr>
              <w:t>浓度持续下降，</w:t>
            </w:r>
          </w:p>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4"/>
              </w:rPr>
              <w:t>不高于30微克/立方米。</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5.0吨/平方公里·月以下</w:t>
            </w:r>
          </w:p>
        </w:tc>
      </w:tr>
      <w:tr>
        <w:tblPrEx>
          <w:tblCellMar>
            <w:top w:w="0" w:type="dxa"/>
            <w:left w:w="108" w:type="dxa"/>
            <w:bottom w:w="0" w:type="dxa"/>
            <w:right w:w="108" w:type="dxa"/>
          </w:tblCellMar>
        </w:tblPrEx>
        <w:trPr>
          <w:trHeight w:val="482"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朝阳门街道</w:t>
            </w:r>
          </w:p>
        </w:tc>
        <w:tc>
          <w:tcPr>
            <w:tcW w:w="3009"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PM</w:t>
            </w:r>
            <w:r>
              <w:rPr>
                <w:rFonts w:hint="eastAsia" w:ascii="仿宋_GB2312" w:hAnsi="仿宋_GB2312" w:eastAsia="仿宋_GB2312" w:cs="仿宋_GB2312"/>
                <w:color w:val="000000"/>
                <w:sz w:val="24"/>
                <w:vertAlign w:val="subscript"/>
              </w:rPr>
              <w:t>2.5</w:t>
            </w:r>
            <w:r>
              <w:rPr>
                <w:rFonts w:hint="eastAsia" w:ascii="仿宋_GB2312" w:hAnsi="仿宋_GB2312" w:eastAsia="仿宋_GB2312" w:cs="仿宋_GB2312"/>
                <w:color w:val="000000"/>
                <w:sz w:val="24"/>
              </w:rPr>
              <w:t>浓度持续下降，</w:t>
            </w:r>
          </w:p>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4"/>
              </w:rPr>
              <w:t>不高于30微克/立方米。</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5.0吨/平方公里·月以下</w:t>
            </w:r>
          </w:p>
        </w:tc>
      </w:tr>
      <w:tr>
        <w:tblPrEx>
          <w:tblCellMar>
            <w:top w:w="0" w:type="dxa"/>
            <w:left w:w="108" w:type="dxa"/>
            <w:bottom w:w="0" w:type="dxa"/>
            <w:right w:w="108" w:type="dxa"/>
          </w:tblCellMar>
        </w:tblPrEx>
        <w:trPr>
          <w:trHeight w:val="482"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东华门街道</w:t>
            </w:r>
          </w:p>
        </w:tc>
        <w:tc>
          <w:tcPr>
            <w:tcW w:w="3009"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PM</w:t>
            </w:r>
            <w:r>
              <w:rPr>
                <w:rFonts w:hint="eastAsia" w:ascii="仿宋_GB2312" w:hAnsi="仿宋_GB2312" w:eastAsia="仿宋_GB2312" w:cs="仿宋_GB2312"/>
                <w:color w:val="000000"/>
                <w:sz w:val="24"/>
                <w:vertAlign w:val="subscript"/>
              </w:rPr>
              <w:t>2.5</w:t>
            </w:r>
            <w:r>
              <w:rPr>
                <w:rFonts w:hint="eastAsia" w:ascii="仿宋_GB2312" w:hAnsi="仿宋_GB2312" w:eastAsia="仿宋_GB2312" w:cs="仿宋_GB2312"/>
                <w:color w:val="000000"/>
                <w:sz w:val="24"/>
              </w:rPr>
              <w:t>浓度持续下降，</w:t>
            </w:r>
          </w:p>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4"/>
              </w:rPr>
              <w:t>不高于30微克/立方米。</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5.0吨/平方公里·月以下</w:t>
            </w:r>
          </w:p>
        </w:tc>
      </w:tr>
      <w:tr>
        <w:tblPrEx>
          <w:tblCellMar>
            <w:top w:w="0" w:type="dxa"/>
            <w:left w:w="108" w:type="dxa"/>
            <w:bottom w:w="0" w:type="dxa"/>
            <w:right w:w="108" w:type="dxa"/>
          </w:tblCellMar>
        </w:tblPrEx>
        <w:trPr>
          <w:trHeight w:val="482"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体育馆路街道</w:t>
            </w:r>
          </w:p>
        </w:tc>
        <w:tc>
          <w:tcPr>
            <w:tcW w:w="3009"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PM</w:t>
            </w:r>
            <w:r>
              <w:rPr>
                <w:rFonts w:hint="eastAsia" w:ascii="仿宋_GB2312" w:hAnsi="仿宋_GB2312" w:eastAsia="仿宋_GB2312" w:cs="仿宋_GB2312"/>
                <w:color w:val="000000"/>
                <w:sz w:val="24"/>
                <w:vertAlign w:val="subscript"/>
              </w:rPr>
              <w:t>2.5</w:t>
            </w:r>
            <w:r>
              <w:rPr>
                <w:rFonts w:hint="eastAsia" w:ascii="仿宋_GB2312" w:hAnsi="仿宋_GB2312" w:eastAsia="仿宋_GB2312" w:cs="仿宋_GB2312"/>
                <w:color w:val="000000"/>
                <w:sz w:val="24"/>
              </w:rPr>
              <w:t>浓度持续下降，</w:t>
            </w:r>
          </w:p>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4"/>
              </w:rPr>
              <w:t>不高于30微克/立方米。</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5.0吨/平方公里·月以下</w:t>
            </w:r>
          </w:p>
        </w:tc>
      </w:tr>
      <w:tr>
        <w:tblPrEx>
          <w:tblCellMar>
            <w:top w:w="0" w:type="dxa"/>
            <w:left w:w="108" w:type="dxa"/>
            <w:bottom w:w="0" w:type="dxa"/>
            <w:right w:w="108" w:type="dxa"/>
          </w:tblCellMar>
        </w:tblPrEx>
        <w:trPr>
          <w:trHeight w:val="482"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东四街道</w:t>
            </w:r>
          </w:p>
        </w:tc>
        <w:tc>
          <w:tcPr>
            <w:tcW w:w="3009"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PM</w:t>
            </w:r>
            <w:r>
              <w:rPr>
                <w:rFonts w:hint="eastAsia" w:ascii="仿宋_GB2312" w:hAnsi="仿宋_GB2312" w:eastAsia="仿宋_GB2312" w:cs="仿宋_GB2312"/>
                <w:color w:val="000000"/>
                <w:sz w:val="24"/>
                <w:vertAlign w:val="subscript"/>
              </w:rPr>
              <w:t>2.5</w:t>
            </w:r>
            <w:r>
              <w:rPr>
                <w:rFonts w:hint="eastAsia" w:ascii="仿宋_GB2312" w:hAnsi="仿宋_GB2312" w:eastAsia="仿宋_GB2312" w:cs="仿宋_GB2312"/>
                <w:color w:val="000000"/>
                <w:sz w:val="24"/>
              </w:rPr>
              <w:t>浓度持续下降，</w:t>
            </w:r>
          </w:p>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4"/>
              </w:rPr>
              <w:t>不高于30微克/立方米。</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5.0吨/平方公里·月以下</w:t>
            </w:r>
          </w:p>
        </w:tc>
      </w:tr>
      <w:tr>
        <w:tblPrEx>
          <w:tblCellMar>
            <w:top w:w="0" w:type="dxa"/>
            <w:left w:w="108" w:type="dxa"/>
            <w:bottom w:w="0" w:type="dxa"/>
            <w:right w:w="108" w:type="dxa"/>
          </w:tblCellMar>
        </w:tblPrEx>
        <w:trPr>
          <w:trHeight w:val="482"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永定门外街道</w:t>
            </w:r>
          </w:p>
        </w:tc>
        <w:tc>
          <w:tcPr>
            <w:tcW w:w="3009"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PM</w:t>
            </w:r>
            <w:r>
              <w:rPr>
                <w:rFonts w:hint="eastAsia" w:ascii="仿宋_GB2312" w:hAnsi="仿宋_GB2312" w:eastAsia="仿宋_GB2312" w:cs="仿宋_GB2312"/>
                <w:color w:val="000000"/>
                <w:sz w:val="24"/>
                <w:vertAlign w:val="subscript"/>
              </w:rPr>
              <w:t>2.5</w:t>
            </w:r>
            <w:r>
              <w:rPr>
                <w:rFonts w:hint="eastAsia" w:ascii="仿宋_GB2312" w:hAnsi="仿宋_GB2312" w:eastAsia="仿宋_GB2312" w:cs="仿宋_GB2312"/>
                <w:color w:val="000000"/>
                <w:sz w:val="24"/>
              </w:rPr>
              <w:t>浓度持续下降，</w:t>
            </w:r>
          </w:p>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4"/>
              </w:rPr>
              <w:t>不高于30微克/立方米。</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5.0吨/平方公里·月以下</w:t>
            </w:r>
          </w:p>
        </w:tc>
      </w:tr>
      <w:tr>
        <w:tblPrEx>
          <w:tblCellMar>
            <w:top w:w="0" w:type="dxa"/>
            <w:left w:w="108" w:type="dxa"/>
            <w:bottom w:w="0" w:type="dxa"/>
            <w:right w:w="108" w:type="dxa"/>
          </w:tblCellMar>
        </w:tblPrEx>
        <w:trPr>
          <w:trHeight w:val="482"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景山街道</w:t>
            </w:r>
          </w:p>
        </w:tc>
        <w:tc>
          <w:tcPr>
            <w:tcW w:w="3009"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PM</w:t>
            </w:r>
            <w:r>
              <w:rPr>
                <w:rFonts w:hint="eastAsia" w:ascii="仿宋_GB2312" w:hAnsi="仿宋_GB2312" w:eastAsia="仿宋_GB2312" w:cs="仿宋_GB2312"/>
                <w:color w:val="000000"/>
                <w:sz w:val="24"/>
                <w:vertAlign w:val="subscript"/>
              </w:rPr>
              <w:t>2.5</w:t>
            </w:r>
            <w:r>
              <w:rPr>
                <w:rFonts w:hint="eastAsia" w:ascii="仿宋_GB2312" w:hAnsi="仿宋_GB2312" w:eastAsia="仿宋_GB2312" w:cs="仿宋_GB2312"/>
                <w:color w:val="000000"/>
                <w:sz w:val="24"/>
              </w:rPr>
              <w:t>浓度稳中有降，</w:t>
            </w:r>
          </w:p>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4"/>
              </w:rPr>
              <w:t>不高于29微克/立方米。</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5.0吨/平方公里·月以下</w:t>
            </w:r>
          </w:p>
        </w:tc>
      </w:tr>
      <w:tr>
        <w:tblPrEx>
          <w:tblCellMar>
            <w:top w:w="0" w:type="dxa"/>
            <w:left w:w="108" w:type="dxa"/>
            <w:bottom w:w="0" w:type="dxa"/>
            <w:right w:w="108" w:type="dxa"/>
          </w:tblCellMar>
        </w:tblPrEx>
        <w:trPr>
          <w:trHeight w:val="482"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建国门街道</w:t>
            </w:r>
          </w:p>
        </w:tc>
        <w:tc>
          <w:tcPr>
            <w:tcW w:w="3009"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PM</w:t>
            </w:r>
            <w:r>
              <w:rPr>
                <w:rFonts w:hint="eastAsia" w:ascii="仿宋_GB2312" w:hAnsi="仿宋_GB2312" w:eastAsia="仿宋_GB2312" w:cs="仿宋_GB2312"/>
                <w:color w:val="000000"/>
                <w:sz w:val="24"/>
                <w:vertAlign w:val="subscript"/>
              </w:rPr>
              <w:t>2.5</w:t>
            </w:r>
            <w:r>
              <w:rPr>
                <w:rFonts w:hint="eastAsia" w:ascii="仿宋_GB2312" w:hAnsi="仿宋_GB2312" w:eastAsia="仿宋_GB2312" w:cs="仿宋_GB2312"/>
                <w:color w:val="000000"/>
                <w:sz w:val="24"/>
              </w:rPr>
              <w:t>浓度稳中有降，</w:t>
            </w:r>
          </w:p>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4"/>
              </w:rPr>
              <w:t>不高于29微克/立方米。</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5.0吨/平方公里·月以下</w:t>
            </w:r>
          </w:p>
        </w:tc>
      </w:tr>
      <w:tr>
        <w:tblPrEx>
          <w:tblCellMar>
            <w:top w:w="0" w:type="dxa"/>
            <w:left w:w="108" w:type="dxa"/>
            <w:bottom w:w="0" w:type="dxa"/>
            <w:right w:w="108" w:type="dxa"/>
          </w:tblCellMar>
        </w:tblPrEx>
        <w:trPr>
          <w:trHeight w:val="482"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安定门街道</w:t>
            </w:r>
          </w:p>
        </w:tc>
        <w:tc>
          <w:tcPr>
            <w:tcW w:w="3009"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PM</w:t>
            </w:r>
            <w:r>
              <w:rPr>
                <w:rFonts w:hint="eastAsia" w:ascii="仿宋_GB2312" w:hAnsi="仿宋_GB2312" w:eastAsia="仿宋_GB2312" w:cs="仿宋_GB2312"/>
                <w:color w:val="000000"/>
                <w:sz w:val="24"/>
                <w:vertAlign w:val="subscript"/>
              </w:rPr>
              <w:t>2.5</w:t>
            </w:r>
            <w:r>
              <w:rPr>
                <w:rFonts w:hint="eastAsia" w:ascii="仿宋_GB2312" w:hAnsi="仿宋_GB2312" w:eastAsia="仿宋_GB2312" w:cs="仿宋_GB2312"/>
                <w:color w:val="000000"/>
                <w:sz w:val="24"/>
              </w:rPr>
              <w:t>浓度稳中有降，</w:t>
            </w:r>
          </w:p>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4"/>
              </w:rPr>
              <w:t>不高于29微克/立方米。</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5.0吨/平方公里·月以下</w:t>
            </w:r>
          </w:p>
        </w:tc>
      </w:tr>
      <w:tr>
        <w:tblPrEx>
          <w:tblCellMar>
            <w:top w:w="0" w:type="dxa"/>
            <w:left w:w="108" w:type="dxa"/>
            <w:bottom w:w="0" w:type="dxa"/>
            <w:right w:w="108" w:type="dxa"/>
          </w:tblCellMar>
        </w:tblPrEx>
        <w:trPr>
          <w:trHeight w:val="482"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和平里街道</w:t>
            </w:r>
          </w:p>
        </w:tc>
        <w:tc>
          <w:tcPr>
            <w:tcW w:w="3009"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PM</w:t>
            </w:r>
            <w:r>
              <w:rPr>
                <w:rFonts w:hint="eastAsia" w:ascii="仿宋_GB2312" w:hAnsi="仿宋_GB2312" w:eastAsia="仿宋_GB2312" w:cs="仿宋_GB2312"/>
                <w:color w:val="000000"/>
                <w:sz w:val="24"/>
                <w:vertAlign w:val="subscript"/>
              </w:rPr>
              <w:t>2.5</w:t>
            </w:r>
            <w:r>
              <w:rPr>
                <w:rFonts w:hint="eastAsia" w:ascii="仿宋_GB2312" w:hAnsi="仿宋_GB2312" w:eastAsia="仿宋_GB2312" w:cs="仿宋_GB2312"/>
                <w:color w:val="000000"/>
                <w:sz w:val="24"/>
              </w:rPr>
              <w:t>浓度稳中有降，</w:t>
            </w:r>
          </w:p>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4"/>
              </w:rPr>
              <w:t>不高于29微克/立方米。</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5.0吨/平方公里·月以下</w:t>
            </w:r>
          </w:p>
        </w:tc>
      </w:tr>
      <w:tr>
        <w:tblPrEx>
          <w:tblCellMar>
            <w:top w:w="0" w:type="dxa"/>
            <w:left w:w="108" w:type="dxa"/>
            <w:bottom w:w="0" w:type="dxa"/>
            <w:right w:w="108" w:type="dxa"/>
          </w:tblCellMar>
        </w:tblPrEx>
        <w:trPr>
          <w:trHeight w:val="482"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北新桥街道</w:t>
            </w:r>
          </w:p>
        </w:tc>
        <w:tc>
          <w:tcPr>
            <w:tcW w:w="3009"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PM</w:t>
            </w:r>
            <w:r>
              <w:rPr>
                <w:rFonts w:hint="eastAsia" w:ascii="仿宋_GB2312" w:hAnsi="仿宋_GB2312" w:eastAsia="仿宋_GB2312" w:cs="仿宋_GB2312"/>
                <w:color w:val="000000"/>
                <w:sz w:val="24"/>
                <w:vertAlign w:val="subscript"/>
              </w:rPr>
              <w:t>2.5</w:t>
            </w:r>
            <w:r>
              <w:rPr>
                <w:rFonts w:hint="eastAsia" w:ascii="仿宋_GB2312" w:hAnsi="仿宋_GB2312" w:eastAsia="仿宋_GB2312" w:cs="仿宋_GB2312"/>
                <w:color w:val="000000"/>
                <w:sz w:val="24"/>
              </w:rPr>
              <w:t>浓度稳中有降，</w:t>
            </w:r>
          </w:p>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4"/>
              </w:rPr>
              <w:t>不高于28微克/立方米。</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5.0吨/平方公里·月以下</w:t>
            </w:r>
          </w:p>
        </w:tc>
      </w:tr>
      <w:tr>
        <w:tblPrEx>
          <w:tblCellMar>
            <w:top w:w="0" w:type="dxa"/>
            <w:left w:w="108" w:type="dxa"/>
            <w:bottom w:w="0" w:type="dxa"/>
            <w:right w:w="108" w:type="dxa"/>
          </w:tblCellMar>
        </w:tblPrEx>
        <w:trPr>
          <w:trHeight w:val="482"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东直门街道</w:t>
            </w:r>
          </w:p>
        </w:tc>
        <w:tc>
          <w:tcPr>
            <w:tcW w:w="3009"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PM</w:t>
            </w:r>
            <w:r>
              <w:rPr>
                <w:rFonts w:hint="eastAsia" w:ascii="仿宋_GB2312" w:hAnsi="仿宋_GB2312" w:eastAsia="仿宋_GB2312" w:cs="仿宋_GB2312"/>
                <w:color w:val="000000"/>
                <w:sz w:val="24"/>
                <w:vertAlign w:val="subscript"/>
              </w:rPr>
              <w:t>2.5</w:t>
            </w:r>
            <w:r>
              <w:rPr>
                <w:rFonts w:hint="eastAsia" w:ascii="仿宋_GB2312" w:hAnsi="仿宋_GB2312" w:eastAsia="仿宋_GB2312" w:cs="仿宋_GB2312"/>
                <w:color w:val="000000"/>
                <w:sz w:val="24"/>
              </w:rPr>
              <w:t>浓度稳中有降，</w:t>
            </w:r>
          </w:p>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4"/>
              </w:rPr>
              <w:t>不高于27微克/立方米。</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5.0吨/平方公里·月以下</w:t>
            </w:r>
          </w:p>
        </w:tc>
      </w:tr>
      <w:tr>
        <w:tblPrEx>
          <w:tblCellMar>
            <w:top w:w="0" w:type="dxa"/>
            <w:left w:w="108" w:type="dxa"/>
            <w:bottom w:w="0" w:type="dxa"/>
            <w:right w:w="108" w:type="dxa"/>
          </w:tblCellMar>
        </w:tblPrEx>
        <w:trPr>
          <w:trHeight w:val="482" w:hRule="atLeast"/>
          <w:jc w:val="center"/>
        </w:trPr>
        <w:tc>
          <w:tcPr>
            <w:tcW w:w="2556"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王府井地区</w:t>
            </w:r>
          </w:p>
        </w:tc>
        <w:tc>
          <w:tcPr>
            <w:tcW w:w="3009" w:type="dxa"/>
            <w:tcBorders>
              <w:top w:val="single" w:color="auto" w:sz="6" w:space="0"/>
              <w:left w:val="single" w:color="auto" w:sz="6" w:space="0"/>
              <w:bottom w:val="single" w:color="auto" w:sz="6" w:space="0"/>
              <w:right w:val="single" w:color="auto" w:sz="6" w:space="0"/>
            </w:tcBorders>
            <w:noWrap w:val="0"/>
            <w:vAlign w:val="top"/>
          </w:tcPr>
          <w:p>
            <w:pPr>
              <w:jc w:val="center"/>
              <w:rPr>
                <w:rFonts w:hint="eastAsia" w:ascii="仿宋_GB2312" w:hAnsi="仿宋_GB2312" w:eastAsia="仿宋_GB2312" w:cs="仿宋_GB2312"/>
                <w:color w:val="000000"/>
                <w:sz w:val="28"/>
                <w:szCs w:val="28"/>
              </w:rPr>
            </w:pPr>
            <w:r>
              <w:rPr>
                <w:rFonts w:hint="eastAsia" w:ascii="仿宋_GB2312" w:eastAsia="仿宋_GB2312"/>
                <w:sz w:val="28"/>
                <w:szCs w:val="28"/>
              </w:rPr>
              <w:t>——</w:t>
            </w:r>
          </w:p>
        </w:tc>
        <w:tc>
          <w:tcPr>
            <w:tcW w:w="305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5.0吨/平方公里·月以下</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zOWM2ODlkOGIxNDU4YWZhMGU0OGY1MmM0MDZiYjIifQ=="/>
  </w:docVars>
  <w:rsids>
    <w:rsidRoot w:val="12C76790"/>
    <w:rsid w:val="12C767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Plain Text"/>
    <w:basedOn w:val="1"/>
    <w:unhideWhenUsed/>
    <w:qFormat/>
    <w:uiPriority w:val="99"/>
    <w:rPr>
      <w:rFonts w:ascii="宋体" w:hAnsi="Courier New" w:cs="Courier New"/>
      <w:szCs w:val="21"/>
    </w:rPr>
  </w:style>
  <w:style w:type="paragraph" w:styleId="3">
    <w:name w:val="footer"/>
    <w:basedOn w:val="1"/>
    <w:qFormat/>
    <w:uiPriority w:val="0"/>
    <w:pPr>
      <w:tabs>
        <w:tab w:val="center" w:pos="4153"/>
        <w:tab w:val="right" w:pos="8306"/>
      </w:tabs>
      <w:snapToGrid w:val="0"/>
      <w:jc w:val="left"/>
    </w:pPr>
    <w:rPr>
      <w:sz w:val="18"/>
      <w:szCs w:val="18"/>
    </w:rPr>
  </w:style>
  <w:style w:type="character" w:styleId="6">
    <w:name w:val="page number"/>
    <w:qFormat/>
    <w:uiPriority w:val="99"/>
  </w:style>
  <w:style w:type="paragraph" w:customStyle="1" w:styleId="7">
    <w:name w:val="公文"/>
    <w:basedOn w:val="1"/>
    <w:qFormat/>
    <w:uiPriority w:val="0"/>
    <w:pPr>
      <w:ind w:firstLine="200" w:firstLineChars="200"/>
    </w:pPr>
    <w:rPr>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2023-05-04T03:47:00Z</dcterms:created>
  <dc:creator>名字不重要</dc:creator>
  <cp:lastModifiedBy>名字不重要</cp:lastModifiedBy>
  <dcterms:modified xsi:type="dcterms:W3CDTF">2023-05-04T03:49:25Z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CAE4468242D04204A6EC964B4FA0CDE2_11</vt:lpwstr>
  </property>
</Properties>
</file>