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before="156" w:beforeLines="50" w:after="156" w:afterLines="50"/>
        <w:outlineLvl w:val="0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附件1</w:t>
      </w:r>
    </w:p>
    <w:p>
      <w:pPr>
        <w:adjustRightInd w:val="0"/>
        <w:snapToGrid w:val="0"/>
        <w:spacing w:before="156" w:beforeLines="50" w:after="156" w:afterLines="50"/>
        <w:jc w:val="center"/>
        <w:outlineLvl w:val="0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东城区应对气候变化2023年行动计划</w:t>
      </w:r>
    </w:p>
    <w:tbl>
      <w:tblPr>
        <w:tblStyle w:val="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1"/>
        <w:gridCol w:w="1378"/>
        <w:gridCol w:w="6530"/>
        <w:gridCol w:w="1192"/>
        <w:gridCol w:w="2101"/>
        <w:gridCol w:w="208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  <w:tblHeader/>
          <w:jc w:val="center"/>
        </w:trPr>
        <w:tc>
          <w:tcPr>
            <w:tcW w:w="7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黑体" w:hAnsi="黑体" w:eastAsia="黑体"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/>
                <w:kern w:val="0"/>
                <w:sz w:val="28"/>
                <w:szCs w:val="28"/>
              </w:rPr>
              <w:t>序号</w:t>
            </w:r>
          </w:p>
        </w:tc>
        <w:tc>
          <w:tcPr>
            <w:tcW w:w="137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黑体" w:hAnsi="黑体" w:eastAsia="黑体"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/>
                <w:kern w:val="0"/>
                <w:sz w:val="28"/>
                <w:szCs w:val="28"/>
              </w:rPr>
              <w:t>重点任务</w:t>
            </w:r>
          </w:p>
        </w:tc>
        <w:tc>
          <w:tcPr>
            <w:tcW w:w="65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黑体" w:hAnsi="黑体" w:eastAsia="黑体"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/>
                <w:kern w:val="0"/>
                <w:sz w:val="28"/>
                <w:szCs w:val="28"/>
              </w:rPr>
              <w:t>工作措施</w:t>
            </w:r>
          </w:p>
        </w:tc>
        <w:tc>
          <w:tcPr>
            <w:tcW w:w="11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snapToGrid w:val="0"/>
              <w:jc w:val="center"/>
              <w:rPr>
                <w:rFonts w:hint="eastAsia" w:ascii="黑体" w:hAnsi="黑体" w:eastAsia="黑体"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/>
                <w:kern w:val="0"/>
                <w:sz w:val="28"/>
                <w:szCs w:val="28"/>
              </w:rPr>
              <w:t>完成</w:t>
            </w:r>
          </w:p>
          <w:p>
            <w:pPr>
              <w:snapToGrid w:val="0"/>
              <w:jc w:val="center"/>
              <w:rPr>
                <w:rFonts w:hint="eastAsia" w:ascii="黑体" w:hAnsi="黑体" w:eastAsia="黑体"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/>
                <w:kern w:val="0"/>
                <w:sz w:val="28"/>
                <w:szCs w:val="28"/>
              </w:rPr>
              <w:t>时限</w:t>
            </w:r>
          </w:p>
        </w:tc>
        <w:tc>
          <w:tcPr>
            <w:tcW w:w="21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utoSpaceDE w:val="0"/>
              <w:snapToGrid w:val="0"/>
              <w:jc w:val="center"/>
              <w:rPr>
                <w:rFonts w:hint="eastAsia" w:ascii="黑体" w:hAnsi="黑体" w:eastAsia="黑体"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/>
                <w:kern w:val="0"/>
                <w:sz w:val="28"/>
                <w:szCs w:val="28"/>
              </w:rPr>
              <w:t>牵头部门</w:t>
            </w:r>
          </w:p>
        </w:tc>
        <w:tc>
          <w:tcPr>
            <w:tcW w:w="208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utoSpaceDE w:val="0"/>
              <w:snapToGrid w:val="0"/>
              <w:jc w:val="center"/>
              <w:rPr>
                <w:rFonts w:hint="eastAsia" w:ascii="黑体" w:hAnsi="黑体" w:eastAsia="黑体"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/>
                <w:kern w:val="0"/>
                <w:sz w:val="28"/>
                <w:szCs w:val="28"/>
              </w:rPr>
              <w:t>责任单位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1" w:hRule="atLeast"/>
          <w:jc w:val="center"/>
        </w:trPr>
        <w:tc>
          <w:tcPr>
            <w:tcW w:w="14014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utoSpaceDE w:val="0"/>
              <w:snapToGrid w:val="0"/>
              <w:spacing w:line="320" w:lineRule="exact"/>
              <w:jc w:val="center"/>
              <w:rPr>
                <w:rFonts w:hint="eastAsia" w:ascii="仿宋_GB2312" w:eastAsia="仿宋_GB2312"/>
                <w:b/>
                <w:bCs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/>
                <w:kern w:val="0"/>
                <w:sz w:val="28"/>
                <w:szCs w:val="28"/>
              </w:rPr>
              <w:t>一、温室气体排放控制目标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34" w:hRule="atLeast"/>
          <w:jc w:val="center"/>
        </w:trPr>
        <w:tc>
          <w:tcPr>
            <w:tcW w:w="7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1</w:t>
            </w:r>
          </w:p>
        </w:tc>
        <w:tc>
          <w:tcPr>
            <w:tcW w:w="137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温室气体排放控制目标</w:t>
            </w:r>
          </w:p>
        </w:tc>
        <w:tc>
          <w:tcPr>
            <w:tcW w:w="65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切实控制温室气体排放,碳排放强度较2020年下降12%左右，碳排放总量得到有效控制。</w:t>
            </w:r>
          </w:p>
        </w:tc>
        <w:tc>
          <w:tcPr>
            <w:tcW w:w="11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年底前</w:t>
            </w:r>
          </w:p>
        </w:tc>
        <w:tc>
          <w:tcPr>
            <w:tcW w:w="21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utoSpaceDE w:val="0"/>
              <w:snapToGrid w:val="0"/>
              <w:spacing w:line="320" w:lineRule="exac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区生态环境局</w:t>
            </w:r>
          </w:p>
        </w:tc>
        <w:tc>
          <w:tcPr>
            <w:tcW w:w="208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utoSpaceDE w:val="0"/>
              <w:snapToGrid w:val="0"/>
              <w:spacing w:line="320" w:lineRule="exac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区发改委</w:t>
            </w:r>
          </w:p>
          <w:p>
            <w:pPr>
              <w:autoSpaceDE w:val="0"/>
              <w:snapToGrid w:val="0"/>
              <w:spacing w:line="320" w:lineRule="exac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区科信局</w:t>
            </w:r>
          </w:p>
          <w:p>
            <w:pPr>
              <w:autoSpaceDE w:val="0"/>
              <w:snapToGrid w:val="0"/>
              <w:spacing w:line="320" w:lineRule="exac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区住建委</w:t>
            </w:r>
          </w:p>
          <w:p>
            <w:pPr>
              <w:autoSpaceDE w:val="0"/>
              <w:snapToGrid w:val="0"/>
              <w:spacing w:line="320" w:lineRule="exac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区城管委</w:t>
            </w:r>
          </w:p>
          <w:p>
            <w:pPr>
              <w:autoSpaceDE w:val="0"/>
              <w:snapToGrid w:val="0"/>
              <w:spacing w:line="320" w:lineRule="exac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各街道（地区）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14014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utoSpaceDE w:val="0"/>
              <w:snapToGrid w:val="0"/>
              <w:spacing w:line="320" w:lineRule="exac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/>
                <w:kern w:val="0"/>
                <w:sz w:val="28"/>
                <w:szCs w:val="28"/>
              </w:rPr>
              <w:t>二、完善应对气候变化综合管理制度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32" w:hRule="atLeast"/>
          <w:jc w:val="center"/>
        </w:trPr>
        <w:tc>
          <w:tcPr>
            <w:tcW w:w="7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2</w:t>
            </w:r>
          </w:p>
        </w:tc>
        <w:tc>
          <w:tcPr>
            <w:tcW w:w="137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构建碳达峰碳中和政策体系</w:t>
            </w:r>
          </w:p>
        </w:tc>
        <w:tc>
          <w:tcPr>
            <w:tcW w:w="65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按照国家部署和本市要求，推动出台本区碳达峰碳中和系列政策文件，推动产业和能源低碳转型，切实控制温室气体排放。</w:t>
            </w:r>
          </w:p>
        </w:tc>
        <w:tc>
          <w:tcPr>
            <w:tcW w:w="11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年底前</w:t>
            </w:r>
          </w:p>
        </w:tc>
        <w:tc>
          <w:tcPr>
            <w:tcW w:w="21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utoSpaceDE w:val="0"/>
              <w:snapToGrid w:val="0"/>
              <w:spacing w:line="320" w:lineRule="exac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区发改委</w:t>
            </w:r>
          </w:p>
        </w:tc>
        <w:tc>
          <w:tcPr>
            <w:tcW w:w="208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utoSpaceDE w:val="0"/>
              <w:snapToGrid w:val="0"/>
              <w:spacing w:line="320" w:lineRule="exac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区生态环境局</w:t>
            </w:r>
          </w:p>
          <w:p>
            <w:pPr>
              <w:autoSpaceDE w:val="0"/>
              <w:snapToGrid w:val="0"/>
              <w:spacing w:line="320" w:lineRule="exac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区科信局</w:t>
            </w:r>
          </w:p>
          <w:p>
            <w:pPr>
              <w:autoSpaceDE w:val="0"/>
              <w:snapToGrid w:val="0"/>
              <w:spacing w:line="320" w:lineRule="exac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区住建委</w:t>
            </w:r>
          </w:p>
          <w:p>
            <w:pPr>
              <w:autoSpaceDE w:val="0"/>
              <w:snapToGrid w:val="0"/>
              <w:spacing w:line="320" w:lineRule="exac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区城管委等相关部门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14" w:hRule="atLeast"/>
          <w:jc w:val="center"/>
        </w:trPr>
        <w:tc>
          <w:tcPr>
            <w:tcW w:w="7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3</w:t>
            </w:r>
          </w:p>
        </w:tc>
        <w:tc>
          <w:tcPr>
            <w:tcW w:w="137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落实强化碳排放“双控”制度</w:t>
            </w:r>
          </w:p>
        </w:tc>
        <w:tc>
          <w:tcPr>
            <w:tcW w:w="65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按照全市统一要求，强化碳排放控制目标约束作用，配合市级部门推进将能耗“双控”向碳排放总量和强度“双控”转变，逐步推进在建设项目环境影响评价中开展碳排放评价。</w:t>
            </w:r>
          </w:p>
        </w:tc>
        <w:tc>
          <w:tcPr>
            <w:tcW w:w="11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年底前</w:t>
            </w:r>
          </w:p>
        </w:tc>
        <w:tc>
          <w:tcPr>
            <w:tcW w:w="21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ind w:left="-105" w:leftChars="-50" w:right="-105" w:rightChars="-50"/>
              <w:jc w:val="center"/>
              <w:rPr>
                <w:rFonts w:eastAsia="仿宋_GB2312"/>
                <w:kern w:val="0"/>
                <w:sz w:val="28"/>
                <w:szCs w:val="28"/>
              </w:rPr>
            </w:pPr>
            <w:r>
              <w:rPr>
                <w:rFonts w:eastAsia="仿宋_GB2312"/>
                <w:kern w:val="0"/>
                <w:sz w:val="28"/>
                <w:szCs w:val="28"/>
              </w:rPr>
              <w:t>区生态环境局</w:t>
            </w:r>
          </w:p>
          <w:p>
            <w:pPr>
              <w:autoSpaceDE w:val="0"/>
              <w:snapToGrid w:val="0"/>
              <w:spacing w:line="320" w:lineRule="exac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  <w:r>
              <w:rPr>
                <w:rFonts w:eastAsia="仿宋_GB2312"/>
                <w:kern w:val="0"/>
                <w:sz w:val="28"/>
                <w:szCs w:val="28"/>
              </w:rPr>
              <w:t>区发改委</w:t>
            </w:r>
          </w:p>
        </w:tc>
        <w:tc>
          <w:tcPr>
            <w:tcW w:w="208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utoSpaceDE w:val="0"/>
              <w:snapToGrid w:val="0"/>
              <w:spacing w:line="320" w:lineRule="exac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区统计局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5" w:hRule="atLeast"/>
          <w:jc w:val="center"/>
        </w:trPr>
        <w:tc>
          <w:tcPr>
            <w:tcW w:w="7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4</w:t>
            </w:r>
          </w:p>
        </w:tc>
        <w:tc>
          <w:tcPr>
            <w:tcW w:w="137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积极推进碳排放权交易市场建设</w:t>
            </w:r>
          </w:p>
        </w:tc>
        <w:tc>
          <w:tcPr>
            <w:tcW w:w="65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按照全市要求开展2023年度本市碳排放权交易工作，确定重点排放单位名单，组织本区重点排放单位完成数据报送和核查工作，提升数据质量，按期完成北京碳市场履约。</w:t>
            </w:r>
          </w:p>
          <w:p>
            <w:pPr>
              <w:spacing w:line="320" w:lineRule="exact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加强重点排放单位管理，引导重点排放单位以节能减碳为目标，建立碳排放管理制度、加强技术更新改造、提升企业减排能力等。</w:t>
            </w:r>
          </w:p>
        </w:tc>
        <w:tc>
          <w:tcPr>
            <w:tcW w:w="11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年底前</w:t>
            </w:r>
          </w:p>
        </w:tc>
        <w:tc>
          <w:tcPr>
            <w:tcW w:w="21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utoSpaceDE w:val="0"/>
              <w:snapToGrid w:val="0"/>
              <w:spacing w:line="320" w:lineRule="exac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区生态环境局</w:t>
            </w:r>
          </w:p>
        </w:tc>
        <w:tc>
          <w:tcPr>
            <w:tcW w:w="208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utoSpaceDE w:val="0"/>
              <w:snapToGrid w:val="0"/>
              <w:spacing w:line="320" w:lineRule="exac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相关单位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2" w:hRule="atLeast"/>
          <w:jc w:val="center"/>
        </w:trPr>
        <w:tc>
          <w:tcPr>
            <w:tcW w:w="14014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autoSpaceDE w:val="0"/>
              <w:snapToGrid w:val="0"/>
              <w:spacing w:line="320" w:lineRule="exact"/>
              <w:jc w:val="center"/>
              <w:rPr>
                <w:rFonts w:hint="eastAsia" w:ascii="黑体" w:hAnsi="黑体" w:eastAsia="黑体"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/>
                <w:kern w:val="0"/>
                <w:sz w:val="28"/>
                <w:szCs w:val="28"/>
              </w:rPr>
              <w:t>三、深入推进重点领域和重点区域温室气体排放控制工作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3" w:hRule="atLeast"/>
          <w:jc w:val="center"/>
        </w:trPr>
        <w:tc>
          <w:tcPr>
            <w:tcW w:w="731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5</w:t>
            </w:r>
          </w:p>
        </w:tc>
        <w:tc>
          <w:tcPr>
            <w:tcW w:w="1378" w:type="dxa"/>
            <w:vMerge w:val="restar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推进能源低碳化发展</w:t>
            </w:r>
          </w:p>
        </w:tc>
        <w:tc>
          <w:tcPr>
            <w:tcW w:w="65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大力开展能源节约和能效提升，万元GDP能耗力争持续下降，严控化石能源消费总量。</w:t>
            </w:r>
          </w:p>
        </w:tc>
        <w:tc>
          <w:tcPr>
            <w:tcW w:w="11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年底前</w:t>
            </w:r>
          </w:p>
        </w:tc>
        <w:tc>
          <w:tcPr>
            <w:tcW w:w="21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28" w:type="dxa"/>
            </w:tcMar>
            <w:vAlign w:val="center"/>
          </w:tcPr>
          <w:p>
            <w:pPr>
              <w:autoSpaceDE w:val="0"/>
              <w:snapToGrid w:val="0"/>
              <w:spacing w:line="320" w:lineRule="exac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区发改委</w:t>
            </w:r>
          </w:p>
        </w:tc>
        <w:tc>
          <w:tcPr>
            <w:tcW w:w="208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autoSpaceDE w:val="0"/>
              <w:snapToGrid w:val="0"/>
              <w:spacing w:line="320" w:lineRule="exac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区相关部门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8" w:hRule="atLeast"/>
          <w:jc w:val="center"/>
        </w:trPr>
        <w:tc>
          <w:tcPr>
            <w:tcW w:w="731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20" w:lineRule="exact"/>
              <w:jc w:val="left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  <w:tc>
          <w:tcPr>
            <w:tcW w:w="1378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20" w:lineRule="exact"/>
              <w:jc w:val="left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  <w:tc>
          <w:tcPr>
            <w:tcW w:w="65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按照市级部门要求落实北京市可再生能源替代方案，新增能源消费优先由可再生能源提供，</w:t>
            </w:r>
            <w:r>
              <w:rPr>
                <w:rFonts w:hint="eastAsia" w:ascii="仿宋_GB2312" w:eastAsia="仿宋_GB2312"/>
                <w:sz w:val="28"/>
                <w:szCs w:val="28"/>
              </w:rPr>
              <w:t>可再生能源消费占比达到市级要求。</w:t>
            </w:r>
          </w:p>
        </w:tc>
        <w:tc>
          <w:tcPr>
            <w:tcW w:w="11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年底前</w:t>
            </w:r>
          </w:p>
        </w:tc>
        <w:tc>
          <w:tcPr>
            <w:tcW w:w="21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28" w:type="dxa"/>
            </w:tcMar>
            <w:vAlign w:val="center"/>
          </w:tcPr>
          <w:p>
            <w:pPr>
              <w:widowControl/>
              <w:autoSpaceDE w:val="0"/>
              <w:snapToGrid w:val="0"/>
              <w:spacing w:line="320" w:lineRule="exac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区发改委</w:t>
            </w:r>
          </w:p>
          <w:p>
            <w:pPr>
              <w:widowControl/>
              <w:autoSpaceDE w:val="0"/>
              <w:snapToGrid w:val="0"/>
              <w:spacing w:line="320" w:lineRule="exac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区城管委</w:t>
            </w:r>
          </w:p>
        </w:tc>
        <w:tc>
          <w:tcPr>
            <w:tcW w:w="208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autoSpaceDE w:val="0"/>
              <w:snapToGrid w:val="0"/>
              <w:spacing w:line="32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区相关部门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86" w:hRule="atLeast"/>
          <w:jc w:val="center"/>
        </w:trPr>
        <w:tc>
          <w:tcPr>
            <w:tcW w:w="731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20" w:lineRule="exact"/>
              <w:jc w:val="left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  <w:tc>
          <w:tcPr>
            <w:tcW w:w="1378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20" w:lineRule="exact"/>
              <w:jc w:val="left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  <w:tc>
          <w:tcPr>
            <w:tcW w:w="65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因地制宜发展本地热泵、光伏系统。</w:t>
            </w:r>
          </w:p>
          <w:p>
            <w:pPr>
              <w:spacing w:line="320" w:lineRule="exact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配合市级部门完善绿电交易机制，组织开展市场化绿电交易。</w:t>
            </w:r>
          </w:p>
        </w:tc>
        <w:tc>
          <w:tcPr>
            <w:tcW w:w="11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年底前</w:t>
            </w:r>
          </w:p>
        </w:tc>
        <w:tc>
          <w:tcPr>
            <w:tcW w:w="21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28" w:type="dxa"/>
            </w:tcMar>
            <w:vAlign w:val="center"/>
          </w:tcPr>
          <w:p>
            <w:pPr>
              <w:widowControl/>
              <w:autoSpaceDE w:val="0"/>
              <w:snapToGrid w:val="0"/>
              <w:spacing w:line="320" w:lineRule="exac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区发改委</w:t>
            </w:r>
          </w:p>
          <w:p>
            <w:pPr>
              <w:widowControl/>
              <w:autoSpaceDE w:val="0"/>
              <w:snapToGrid w:val="0"/>
              <w:spacing w:line="320" w:lineRule="exac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区城管委</w:t>
            </w:r>
          </w:p>
        </w:tc>
        <w:tc>
          <w:tcPr>
            <w:tcW w:w="208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autoSpaceDE w:val="0"/>
              <w:snapToGrid w:val="0"/>
              <w:spacing w:line="32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——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8" w:hRule="atLeast"/>
          <w:jc w:val="center"/>
        </w:trPr>
        <w:tc>
          <w:tcPr>
            <w:tcW w:w="7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6</w:t>
            </w:r>
          </w:p>
        </w:tc>
        <w:tc>
          <w:tcPr>
            <w:tcW w:w="137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构建绿色低碳产业体系</w:t>
            </w:r>
          </w:p>
        </w:tc>
        <w:tc>
          <w:tcPr>
            <w:tcW w:w="65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 xml:space="preserve">推进传统行业的低碳化改造。 </w:t>
            </w:r>
          </w:p>
          <w:p>
            <w:pPr>
              <w:spacing w:line="320" w:lineRule="exact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落实数据中心减碳要求，有序关闭腾退低效数据中心。进一步整合存量数据中心，强化存量数据中心绿色技术应用和改造，推进氢能、液体冷却、可再生能源等应用。鼓励数据中心采用余热回收利用措施为周边建筑提供热源。</w:t>
            </w:r>
          </w:p>
        </w:tc>
        <w:tc>
          <w:tcPr>
            <w:tcW w:w="11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年底前</w:t>
            </w:r>
          </w:p>
        </w:tc>
        <w:tc>
          <w:tcPr>
            <w:tcW w:w="21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28" w:type="dxa"/>
            </w:tcMar>
            <w:vAlign w:val="center"/>
          </w:tcPr>
          <w:p>
            <w:pPr>
              <w:autoSpaceDE w:val="0"/>
              <w:snapToGrid w:val="0"/>
              <w:spacing w:line="320" w:lineRule="exac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区发改委</w:t>
            </w:r>
          </w:p>
          <w:p>
            <w:pPr>
              <w:autoSpaceDE w:val="0"/>
              <w:snapToGrid w:val="0"/>
              <w:spacing w:line="320" w:lineRule="exac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区科信局</w:t>
            </w:r>
          </w:p>
        </w:tc>
        <w:tc>
          <w:tcPr>
            <w:tcW w:w="208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autoSpaceDE w:val="0"/>
              <w:snapToGrid w:val="0"/>
              <w:spacing w:line="320" w:lineRule="exac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区相关部门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0" w:hRule="atLeast"/>
          <w:jc w:val="center"/>
        </w:trPr>
        <w:tc>
          <w:tcPr>
            <w:tcW w:w="7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7</w:t>
            </w:r>
          </w:p>
        </w:tc>
        <w:tc>
          <w:tcPr>
            <w:tcW w:w="137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大力发展循环经济</w:t>
            </w:r>
          </w:p>
        </w:tc>
        <w:tc>
          <w:tcPr>
            <w:tcW w:w="65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构建资源循环型产业体系，全面推行绿色设计和清洁生产。</w:t>
            </w:r>
          </w:p>
          <w:p>
            <w:pPr>
              <w:spacing w:line="320" w:lineRule="exact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推动具备条件的园区开展绿色低碳循环化改造升级，强化园区资源梯级利用和系统优化。</w:t>
            </w:r>
          </w:p>
          <w:p>
            <w:pPr>
              <w:spacing w:line="320" w:lineRule="exact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推进固体废弃物协同处置，提升资源综合利用能力，提高再生资源回收率，加强建筑垃圾源头减量和分类回收，生活垃圾资源化利用率达到市级要求。</w:t>
            </w:r>
          </w:p>
        </w:tc>
        <w:tc>
          <w:tcPr>
            <w:tcW w:w="11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年底前</w:t>
            </w:r>
          </w:p>
        </w:tc>
        <w:tc>
          <w:tcPr>
            <w:tcW w:w="21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28" w:type="dxa"/>
            </w:tcMar>
            <w:vAlign w:val="center"/>
          </w:tcPr>
          <w:p>
            <w:pPr>
              <w:autoSpaceDE w:val="0"/>
              <w:snapToGrid w:val="0"/>
              <w:spacing w:line="320" w:lineRule="exac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东城园管委会</w:t>
            </w:r>
          </w:p>
          <w:p>
            <w:pPr>
              <w:autoSpaceDE w:val="0"/>
              <w:snapToGrid w:val="0"/>
              <w:spacing w:line="320" w:lineRule="exac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区发改委</w:t>
            </w:r>
          </w:p>
          <w:p>
            <w:pPr>
              <w:autoSpaceDE w:val="0"/>
              <w:snapToGrid w:val="0"/>
              <w:spacing w:line="320" w:lineRule="exac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区生态环境局</w:t>
            </w:r>
          </w:p>
          <w:p>
            <w:pPr>
              <w:autoSpaceDE w:val="0"/>
              <w:snapToGrid w:val="0"/>
              <w:spacing w:line="320" w:lineRule="exac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区城管委</w:t>
            </w:r>
          </w:p>
          <w:p>
            <w:pPr>
              <w:autoSpaceDE w:val="0"/>
              <w:snapToGrid w:val="0"/>
              <w:spacing w:line="320" w:lineRule="exac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区住建委</w:t>
            </w:r>
          </w:p>
        </w:tc>
        <w:tc>
          <w:tcPr>
            <w:tcW w:w="208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autoSpaceDE w:val="0"/>
              <w:snapToGrid w:val="0"/>
              <w:spacing w:line="320" w:lineRule="exac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区相关部门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5" w:hRule="atLeast"/>
          <w:jc w:val="center"/>
        </w:trPr>
        <w:tc>
          <w:tcPr>
            <w:tcW w:w="7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8</w:t>
            </w:r>
          </w:p>
        </w:tc>
        <w:tc>
          <w:tcPr>
            <w:tcW w:w="137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推进建筑领域低碳化</w:t>
            </w:r>
          </w:p>
        </w:tc>
        <w:tc>
          <w:tcPr>
            <w:tcW w:w="65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spacing w:line="320" w:lineRule="exact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新建政府投资和公共建筑执行绿色建筑二星级及以上标准。大力推广超低能耗建筑。完成50万平方米非节能公共建筑节能绿色改造，不断提高装配式建筑占新建建筑面积比例，建筑领域碳排放持续下降。</w:t>
            </w:r>
          </w:p>
          <w:p>
            <w:pPr>
              <w:snapToGrid w:val="0"/>
              <w:spacing w:line="320" w:lineRule="exact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推广绿色低碳建材以及太阳能光伏、光热和热泵技术应用，研究建立既有建筑绿色改造长效机制。</w:t>
            </w:r>
          </w:p>
        </w:tc>
        <w:tc>
          <w:tcPr>
            <w:tcW w:w="11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年底前</w:t>
            </w:r>
          </w:p>
        </w:tc>
        <w:tc>
          <w:tcPr>
            <w:tcW w:w="21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28" w:type="dxa"/>
            </w:tcMar>
            <w:vAlign w:val="center"/>
          </w:tcPr>
          <w:p>
            <w:pPr>
              <w:widowControl/>
              <w:autoSpaceDE w:val="0"/>
              <w:snapToGrid w:val="0"/>
              <w:spacing w:line="320" w:lineRule="exac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规自分局</w:t>
            </w:r>
          </w:p>
          <w:p>
            <w:pPr>
              <w:widowControl/>
              <w:autoSpaceDE w:val="0"/>
              <w:snapToGrid w:val="0"/>
              <w:spacing w:line="320" w:lineRule="exac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区住建委</w:t>
            </w:r>
          </w:p>
          <w:p>
            <w:pPr>
              <w:autoSpaceDE w:val="0"/>
              <w:snapToGrid w:val="0"/>
              <w:spacing w:line="320" w:lineRule="exact"/>
              <w:jc w:val="center"/>
              <w:rPr>
                <w:rFonts w:hint="eastAsia" w:ascii="仿宋_GB2312" w:eastAsia="仿宋_GB2312"/>
                <w:spacing w:val="-24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区发改委</w:t>
            </w:r>
          </w:p>
        </w:tc>
        <w:tc>
          <w:tcPr>
            <w:tcW w:w="208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utoSpaceDE w:val="0"/>
              <w:snapToGrid w:val="0"/>
              <w:spacing w:line="32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——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1" w:hRule="atLeast"/>
          <w:jc w:val="center"/>
        </w:trPr>
        <w:tc>
          <w:tcPr>
            <w:tcW w:w="73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9</w:t>
            </w:r>
          </w:p>
        </w:tc>
        <w:tc>
          <w:tcPr>
            <w:tcW w:w="1378" w:type="dxa"/>
            <w:vMerge w:val="restar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创建绿色智能供热体系</w:t>
            </w:r>
          </w:p>
        </w:tc>
        <w:tc>
          <w:tcPr>
            <w:tcW w:w="65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spacing w:line="320" w:lineRule="exact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根据全市统一安排，分步骤实施供热系统重构，全面布局新能源和可再生能源分布式供热，禁止新建和扩建燃气独立供暖系统，全区单位建筑面积供热能耗下降达到市级要求，建立绿色低碳热源结构，大力推进供热系统节能改造。</w:t>
            </w:r>
          </w:p>
          <w:p>
            <w:pPr>
              <w:snapToGrid w:val="0"/>
              <w:spacing w:line="320" w:lineRule="exact"/>
              <w:rPr>
                <w:rFonts w:hint="eastAsia" w:ascii="仿宋_GB2312" w:eastAsia="仿宋_GB2312"/>
                <w:kern w:val="0"/>
                <w:sz w:val="28"/>
                <w:szCs w:val="28"/>
                <w:highlight w:val="yellow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配合市级部门统筹实施供热智能化控制、供热资源整合、热网系统重组等，有序推进散小热源整合联网及新能源和可再生能源耦合供热替代。</w:t>
            </w:r>
          </w:p>
        </w:tc>
        <w:tc>
          <w:tcPr>
            <w:tcW w:w="11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年底前</w:t>
            </w:r>
          </w:p>
        </w:tc>
        <w:tc>
          <w:tcPr>
            <w:tcW w:w="21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28" w:type="dxa"/>
            </w:tcMar>
            <w:vAlign w:val="center"/>
          </w:tcPr>
          <w:p>
            <w:pPr>
              <w:autoSpaceDE w:val="0"/>
              <w:snapToGrid w:val="0"/>
              <w:spacing w:line="320" w:lineRule="exac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区城管委</w:t>
            </w:r>
          </w:p>
          <w:p>
            <w:pPr>
              <w:autoSpaceDE w:val="0"/>
              <w:snapToGrid w:val="0"/>
              <w:spacing w:line="32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区发改委</w:t>
            </w:r>
          </w:p>
        </w:tc>
        <w:tc>
          <w:tcPr>
            <w:tcW w:w="208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utoSpaceDE w:val="0"/>
              <w:snapToGrid w:val="0"/>
              <w:spacing w:line="32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——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4" w:hRule="atLeast"/>
          <w:jc w:val="center"/>
        </w:trPr>
        <w:tc>
          <w:tcPr>
            <w:tcW w:w="73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20" w:lineRule="exact"/>
              <w:jc w:val="left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  <w:tc>
          <w:tcPr>
            <w:tcW w:w="1378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20" w:lineRule="exact"/>
              <w:jc w:val="left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  <w:tc>
          <w:tcPr>
            <w:tcW w:w="65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spacing w:line="320" w:lineRule="exact"/>
              <w:rPr>
                <w:rFonts w:hint="eastAsia" w:ascii="仿宋_GB2312" w:eastAsia="仿宋_GB2312"/>
                <w:kern w:val="0"/>
                <w:sz w:val="28"/>
                <w:szCs w:val="28"/>
                <w:highlight w:val="yellow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新建建筑供暖采用电力、可再生能源等多能耦合供热占比达到市级要求。推进既有燃气供热系统“零碳”改造示范。配合市级部门推进既有建筑智能化供热改造。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大力推动可再生能源供热规模化应用，</w:t>
            </w: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新增再生能源供热面积持续增长。</w:t>
            </w:r>
          </w:p>
        </w:tc>
        <w:tc>
          <w:tcPr>
            <w:tcW w:w="11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年底前</w:t>
            </w:r>
          </w:p>
        </w:tc>
        <w:tc>
          <w:tcPr>
            <w:tcW w:w="21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28" w:type="dxa"/>
            </w:tcMar>
            <w:vAlign w:val="center"/>
          </w:tcPr>
          <w:p>
            <w:pPr>
              <w:autoSpaceDE w:val="0"/>
              <w:snapToGrid w:val="0"/>
              <w:spacing w:line="320" w:lineRule="exac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区城管委</w:t>
            </w:r>
          </w:p>
          <w:p>
            <w:pPr>
              <w:autoSpaceDE w:val="0"/>
              <w:snapToGrid w:val="0"/>
              <w:spacing w:line="320" w:lineRule="exac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区发改委</w:t>
            </w:r>
          </w:p>
          <w:p>
            <w:pPr>
              <w:autoSpaceDE w:val="0"/>
              <w:snapToGrid w:val="0"/>
              <w:spacing w:line="320" w:lineRule="exac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规自分局</w:t>
            </w:r>
          </w:p>
          <w:p>
            <w:pPr>
              <w:autoSpaceDE w:val="0"/>
              <w:snapToGrid w:val="0"/>
              <w:spacing w:line="32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区住建委</w:t>
            </w:r>
          </w:p>
        </w:tc>
        <w:tc>
          <w:tcPr>
            <w:tcW w:w="208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utoSpaceDE w:val="0"/>
              <w:snapToGrid w:val="0"/>
              <w:spacing w:line="32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——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1" w:hRule="atLeast"/>
          <w:jc w:val="center"/>
        </w:trPr>
        <w:tc>
          <w:tcPr>
            <w:tcW w:w="7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10</w:t>
            </w:r>
          </w:p>
        </w:tc>
        <w:tc>
          <w:tcPr>
            <w:tcW w:w="137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加强城市绿色交通体系建设</w:t>
            </w:r>
          </w:p>
        </w:tc>
        <w:tc>
          <w:tcPr>
            <w:tcW w:w="65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根据全市统一安排，扎实推进慢行优先、公交优先、绿色优先，中心城区绿色出行比例达到74.7%左右。</w:t>
            </w:r>
          </w:p>
        </w:tc>
        <w:tc>
          <w:tcPr>
            <w:tcW w:w="11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年底前</w:t>
            </w:r>
          </w:p>
        </w:tc>
        <w:tc>
          <w:tcPr>
            <w:tcW w:w="21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28" w:type="dxa"/>
            </w:tcMar>
            <w:vAlign w:val="center"/>
          </w:tcPr>
          <w:p>
            <w:pPr>
              <w:autoSpaceDE w:val="0"/>
              <w:snapToGrid w:val="0"/>
              <w:spacing w:line="320" w:lineRule="exac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区城管委</w:t>
            </w:r>
          </w:p>
        </w:tc>
        <w:tc>
          <w:tcPr>
            <w:tcW w:w="208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utoSpaceDE w:val="0"/>
              <w:snapToGrid w:val="0"/>
              <w:spacing w:line="320" w:lineRule="exac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——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  <w:jc w:val="center"/>
        </w:trPr>
        <w:tc>
          <w:tcPr>
            <w:tcW w:w="73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11</w:t>
            </w:r>
          </w:p>
        </w:tc>
        <w:tc>
          <w:tcPr>
            <w:tcW w:w="137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强化低碳试点示范</w:t>
            </w:r>
          </w:p>
        </w:tc>
        <w:tc>
          <w:tcPr>
            <w:tcW w:w="65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按照全市统一要求，开展2023年低碳试点建设工作。鼓励优先应用绿色低碳技术、集成应用多种技术，培育碳绩效领先的领跑者企业和公共机构。</w:t>
            </w:r>
          </w:p>
        </w:tc>
        <w:tc>
          <w:tcPr>
            <w:tcW w:w="11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年底前</w:t>
            </w:r>
          </w:p>
        </w:tc>
        <w:tc>
          <w:tcPr>
            <w:tcW w:w="21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28" w:type="dxa"/>
            </w:tcMar>
            <w:vAlign w:val="center"/>
          </w:tcPr>
          <w:p>
            <w:pPr>
              <w:autoSpaceDE w:val="0"/>
              <w:snapToGrid w:val="0"/>
              <w:spacing w:line="320" w:lineRule="exac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区生态环境局</w:t>
            </w:r>
          </w:p>
        </w:tc>
        <w:tc>
          <w:tcPr>
            <w:tcW w:w="208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utoSpaceDE w:val="0"/>
              <w:snapToGrid w:val="0"/>
              <w:spacing w:line="320" w:lineRule="exac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区发改委</w:t>
            </w:r>
          </w:p>
          <w:p>
            <w:pPr>
              <w:autoSpaceDE w:val="0"/>
              <w:snapToGrid w:val="0"/>
              <w:spacing w:line="320" w:lineRule="exac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区财政局</w:t>
            </w:r>
          </w:p>
          <w:p>
            <w:pPr>
              <w:autoSpaceDE w:val="0"/>
              <w:snapToGrid w:val="0"/>
              <w:spacing w:line="320" w:lineRule="exac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区科信局</w:t>
            </w:r>
          </w:p>
          <w:p>
            <w:pPr>
              <w:autoSpaceDE w:val="0"/>
              <w:snapToGrid w:val="0"/>
              <w:spacing w:line="320" w:lineRule="exac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区城管委</w:t>
            </w:r>
          </w:p>
          <w:p>
            <w:pPr>
              <w:autoSpaceDE w:val="0"/>
              <w:snapToGrid w:val="0"/>
              <w:spacing w:line="320" w:lineRule="exac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区住建委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9" w:hRule="atLeast"/>
          <w:jc w:val="center"/>
        </w:trPr>
        <w:tc>
          <w:tcPr>
            <w:tcW w:w="7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12</w:t>
            </w:r>
          </w:p>
        </w:tc>
        <w:tc>
          <w:tcPr>
            <w:tcW w:w="137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20" w:lineRule="exact"/>
              <w:jc w:val="left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控制非二氧化碳温室气体排放</w:t>
            </w:r>
          </w:p>
        </w:tc>
        <w:tc>
          <w:tcPr>
            <w:tcW w:w="65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配合市级部门开展非二氧化碳温室气体排放调查，研究甲烷控制目标任务和措施，推进生物质能清洁高效利用。 </w:t>
            </w:r>
          </w:p>
        </w:tc>
        <w:tc>
          <w:tcPr>
            <w:tcW w:w="11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年底前</w:t>
            </w:r>
          </w:p>
        </w:tc>
        <w:tc>
          <w:tcPr>
            <w:tcW w:w="21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28" w:type="dxa"/>
            </w:tcMar>
            <w:vAlign w:val="center"/>
          </w:tcPr>
          <w:p>
            <w:pPr>
              <w:autoSpaceDE w:val="0"/>
              <w:snapToGrid w:val="0"/>
              <w:spacing w:line="320" w:lineRule="exac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区生态环境局</w:t>
            </w:r>
          </w:p>
          <w:p>
            <w:pPr>
              <w:autoSpaceDE w:val="0"/>
              <w:snapToGrid w:val="0"/>
              <w:spacing w:line="320" w:lineRule="exac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区城管委</w:t>
            </w:r>
          </w:p>
        </w:tc>
        <w:tc>
          <w:tcPr>
            <w:tcW w:w="208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utoSpaceDE w:val="0"/>
              <w:snapToGrid w:val="0"/>
              <w:spacing w:line="320" w:lineRule="exac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——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2" w:hRule="atLeast"/>
          <w:jc w:val="center"/>
        </w:trPr>
        <w:tc>
          <w:tcPr>
            <w:tcW w:w="14014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utoSpaceDE w:val="0"/>
              <w:snapToGrid w:val="0"/>
              <w:spacing w:line="320" w:lineRule="exac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/>
                <w:kern w:val="0"/>
                <w:sz w:val="28"/>
                <w:szCs w:val="28"/>
              </w:rPr>
              <w:t>四、加强城市气候适应性建设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38" w:hRule="atLeast"/>
          <w:jc w:val="center"/>
        </w:trPr>
        <w:tc>
          <w:tcPr>
            <w:tcW w:w="7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13</w:t>
            </w:r>
          </w:p>
        </w:tc>
        <w:tc>
          <w:tcPr>
            <w:tcW w:w="137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加强适应气候变化顶层设计</w:t>
            </w:r>
          </w:p>
        </w:tc>
        <w:tc>
          <w:tcPr>
            <w:tcW w:w="65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配合市级部门编制北京市适应气候变化行动方案，明确适应气候变化任务举措，完善适应气候变化工作机制和保障措施。</w:t>
            </w:r>
          </w:p>
        </w:tc>
        <w:tc>
          <w:tcPr>
            <w:tcW w:w="11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年底前</w:t>
            </w:r>
          </w:p>
        </w:tc>
        <w:tc>
          <w:tcPr>
            <w:tcW w:w="21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utoSpaceDE w:val="0"/>
              <w:snapToGrid w:val="0"/>
              <w:spacing w:line="320" w:lineRule="exac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区生态环境局</w:t>
            </w:r>
          </w:p>
        </w:tc>
        <w:tc>
          <w:tcPr>
            <w:tcW w:w="208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utoSpaceDE w:val="0"/>
              <w:snapToGrid w:val="0"/>
              <w:spacing w:line="320" w:lineRule="exac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规自分局</w:t>
            </w:r>
          </w:p>
          <w:p>
            <w:pPr>
              <w:autoSpaceDE w:val="0"/>
              <w:snapToGrid w:val="0"/>
              <w:spacing w:line="320" w:lineRule="exac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区发改委</w:t>
            </w:r>
          </w:p>
          <w:p>
            <w:pPr>
              <w:autoSpaceDE w:val="0"/>
              <w:snapToGrid w:val="0"/>
              <w:spacing w:line="320" w:lineRule="exac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区应急局</w:t>
            </w:r>
          </w:p>
          <w:p>
            <w:pPr>
              <w:autoSpaceDE w:val="0"/>
              <w:snapToGrid w:val="0"/>
              <w:spacing w:line="320" w:lineRule="exac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区城管委</w:t>
            </w:r>
          </w:p>
          <w:p>
            <w:pPr>
              <w:autoSpaceDE w:val="0"/>
              <w:snapToGrid w:val="0"/>
              <w:spacing w:line="320" w:lineRule="exact"/>
              <w:jc w:val="center"/>
              <w:rPr>
                <w:rFonts w:hint="eastAsia" w:ascii="仿宋_GB2312" w:hAnsi="Calibri" w:eastAsia="仿宋_GB2312"/>
                <w:spacing w:val="-20"/>
                <w:kern w:val="0"/>
                <w:sz w:val="28"/>
                <w:szCs w:val="28"/>
              </w:rPr>
            </w:pPr>
            <w:r>
              <w:rPr>
                <w:rFonts w:hint="eastAsia" w:ascii="仿宋_GB2312" w:hAnsi="Calibri" w:eastAsia="仿宋_GB2312"/>
                <w:spacing w:val="-20"/>
                <w:kern w:val="0"/>
                <w:sz w:val="28"/>
                <w:szCs w:val="28"/>
              </w:rPr>
              <w:t>区科信局</w:t>
            </w:r>
          </w:p>
          <w:p>
            <w:pPr>
              <w:autoSpaceDE w:val="0"/>
              <w:snapToGrid w:val="0"/>
              <w:spacing w:line="320" w:lineRule="exac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区住建委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78" w:hRule="atLeast"/>
          <w:jc w:val="center"/>
        </w:trPr>
        <w:tc>
          <w:tcPr>
            <w:tcW w:w="7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14</w:t>
            </w:r>
          </w:p>
        </w:tc>
        <w:tc>
          <w:tcPr>
            <w:tcW w:w="137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提升生态系统碳汇能力</w:t>
            </w:r>
          </w:p>
        </w:tc>
        <w:tc>
          <w:tcPr>
            <w:tcW w:w="65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坚持全域多层次增绿固碳，促进园林绿地碳汇，探索摸清全区园林绿地固碳能力台账。</w:t>
            </w:r>
          </w:p>
          <w:p>
            <w:pPr>
              <w:spacing w:line="320" w:lineRule="exact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加强林业生态系统管护，配合市级部门研究建立适合本地生态系统的有机物排放树种库。新建改扩建绿地5万平方米。</w:t>
            </w:r>
          </w:p>
        </w:tc>
        <w:tc>
          <w:tcPr>
            <w:tcW w:w="11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年底前</w:t>
            </w:r>
          </w:p>
        </w:tc>
        <w:tc>
          <w:tcPr>
            <w:tcW w:w="21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utoSpaceDE w:val="0"/>
              <w:snapToGrid w:val="0"/>
              <w:spacing w:line="320" w:lineRule="exac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区园林绿化局</w:t>
            </w:r>
          </w:p>
        </w:tc>
        <w:tc>
          <w:tcPr>
            <w:tcW w:w="208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utoSpaceDE w:val="0"/>
              <w:snapToGrid w:val="0"/>
              <w:spacing w:line="320" w:lineRule="exac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各街道（地区）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16" w:hRule="atLeast"/>
          <w:jc w:val="center"/>
        </w:trPr>
        <w:tc>
          <w:tcPr>
            <w:tcW w:w="7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15</w:t>
            </w:r>
          </w:p>
        </w:tc>
        <w:tc>
          <w:tcPr>
            <w:tcW w:w="137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加强海绵城市建设</w:t>
            </w:r>
          </w:p>
        </w:tc>
        <w:tc>
          <w:tcPr>
            <w:tcW w:w="65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全面落实“十四五”海绵城市建设规划，全区范围推广开展“海绵校园”“海绵公园”“海绵道路”等海绵城市建设工程。</w:t>
            </w:r>
          </w:p>
          <w:p>
            <w:pPr>
              <w:spacing w:line="320" w:lineRule="exact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完善城市基于自然的解决方案，加强绿色斑块、绿色廊道、城市生态安全调控系统、城市人居环境、园林绿化和城市风道建设。</w:t>
            </w:r>
          </w:p>
        </w:tc>
        <w:tc>
          <w:tcPr>
            <w:tcW w:w="11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年底前</w:t>
            </w:r>
          </w:p>
        </w:tc>
        <w:tc>
          <w:tcPr>
            <w:tcW w:w="21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utoSpaceDE w:val="0"/>
              <w:snapToGrid w:val="0"/>
              <w:spacing w:line="320" w:lineRule="exac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区城管委</w:t>
            </w:r>
          </w:p>
          <w:p>
            <w:pPr>
              <w:autoSpaceDE w:val="0"/>
              <w:snapToGrid w:val="0"/>
              <w:spacing w:line="320" w:lineRule="exac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区园林绿化局</w:t>
            </w:r>
          </w:p>
          <w:p>
            <w:pPr>
              <w:autoSpaceDE w:val="0"/>
              <w:snapToGrid w:val="0"/>
              <w:spacing w:line="320" w:lineRule="exac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规自分局</w:t>
            </w:r>
          </w:p>
        </w:tc>
        <w:tc>
          <w:tcPr>
            <w:tcW w:w="208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utoSpaceDE w:val="0"/>
              <w:snapToGrid w:val="0"/>
              <w:spacing w:line="320" w:lineRule="exac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——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3" w:hRule="atLeast"/>
          <w:jc w:val="center"/>
        </w:trPr>
        <w:tc>
          <w:tcPr>
            <w:tcW w:w="14014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utoSpaceDE w:val="0"/>
              <w:snapToGrid w:val="0"/>
              <w:spacing w:line="320" w:lineRule="exact"/>
              <w:jc w:val="center"/>
              <w:rPr>
                <w:rFonts w:hint="eastAsia" w:ascii="仿宋_GB2312" w:hAnsi="黑体" w:eastAsia="黑体"/>
                <w:b/>
                <w:bCs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/>
                <w:kern w:val="0"/>
                <w:sz w:val="28"/>
                <w:szCs w:val="28"/>
              </w:rPr>
              <w:t>五、加强应对气候变化保障和能力建设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4" w:hRule="atLeast"/>
          <w:jc w:val="center"/>
        </w:trPr>
        <w:tc>
          <w:tcPr>
            <w:tcW w:w="7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16</w:t>
            </w:r>
          </w:p>
        </w:tc>
        <w:tc>
          <w:tcPr>
            <w:tcW w:w="137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加强组织领导</w:t>
            </w:r>
          </w:p>
        </w:tc>
        <w:tc>
          <w:tcPr>
            <w:tcW w:w="65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加强应对气候变化工作的统筹和调度，形成分行业管理、推动落实的工作格局。各行业主管部门研究细化本行业应对气候变化措施，扎实推动重点任务落实。</w:t>
            </w:r>
          </w:p>
        </w:tc>
        <w:tc>
          <w:tcPr>
            <w:tcW w:w="11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6月底前</w:t>
            </w:r>
          </w:p>
        </w:tc>
        <w:tc>
          <w:tcPr>
            <w:tcW w:w="21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utoSpaceDE w:val="0"/>
              <w:snapToGrid w:val="0"/>
              <w:spacing w:line="320" w:lineRule="exac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区生态环境局</w:t>
            </w:r>
          </w:p>
          <w:p>
            <w:pPr>
              <w:autoSpaceDE w:val="0"/>
              <w:snapToGrid w:val="0"/>
              <w:spacing w:line="320" w:lineRule="exac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区相关部门</w:t>
            </w:r>
          </w:p>
        </w:tc>
        <w:tc>
          <w:tcPr>
            <w:tcW w:w="208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utoSpaceDE w:val="0"/>
              <w:snapToGrid w:val="0"/>
              <w:spacing w:line="320" w:lineRule="exac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——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9" w:hRule="atLeast"/>
          <w:jc w:val="center"/>
        </w:trPr>
        <w:tc>
          <w:tcPr>
            <w:tcW w:w="7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17</w:t>
            </w:r>
          </w:p>
        </w:tc>
        <w:tc>
          <w:tcPr>
            <w:tcW w:w="137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强化资金政策支持</w:t>
            </w:r>
          </w:p>
        </w:tc>
        <w:tc>
          <w:tcPr>
            <w:tcW w:w="65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积极争取国家、北京市的资金和政策的支持，营造有利的政策环境，拓宽绿色融资渠道，构建绿色金融体系，对节能减碳的绿色项目、绿色产品等予以适当补贴或贷款贴息支持。积极落实国家和北京市研究制定的投融资政策和价格政策，支持有利于低碳发展的信贷、债券、基金、期货、保险等绿色金融创新实践。</w:t>
            </w:r>
          </w:p>
        </w:tc>
        <w:tc>
          <w:tcPr>
            <w:tcW w:w="11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按时间节点</w:t>
            </w:r>
          </w:p>
          <w:p>
            <w:pPr>
              <w:spacing w:line="320" w:lineRule="exac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完成</w:t>
            </w:r>
          </w:p>
        </w:tc>
        <w:tc>
          <w:tcPr>
            <w:tcW w:w="21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utoSpaceDE w:val="0"/>
              <w:snapToGrid w:val="0"/>
              <w:spacing w:line="320" w:lineRule="exac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区财政局</w:t>
            </w:r>
          </w:p>
          <w:p>
            <w:pPr>
              <w:autoSpaceDE w:val="0"/>
              <w:snapToGrid w:val="0"/>
              <w:spacing w:line="320" w:lineRule="exac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区生态环境局</w:t>
            </w:r>
          </w:p>
          <w:p>
            <w:pPr>
              <w:autoSpaceDE w:val="0"/>
              <w:snapToGrid w:val="0"/>
              <w:spacing w:line="320" w:lineRule="exac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区发改委</w:t>
            </w:r>
          </w:p>
          <w:p>
            <w:pPr>
              <w:autoSpaceDE w:val="0"/>
              <w:snapToGrid w:val="0"/>
              <w:spacing w:line="320" w:lineRule="exac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区城管委</w:t>
            </w:r>
          </w:p>
          <w:p>
            <w:pPr>
              <w:autoSpaceDE w:val="0"/>
              <w:snapToGrid w:val="0"/>
              <w:spacing w:line="320" w:lineRule="exac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spacing w:val="-20"/>
                <w:kern w:val="0"/>
                <w:sz w:val="28"/>
                <w:szCs w:val="28"/>
              </w:rPr>
              <w:t>区金融办</w:t>
            </w:r>
          </w:p>
        </w:tc>
        <w:tc>
          <w:tcPr>
            <w:tcW w:w="208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utoSpaceDE w:val="0"/>
              <w:snapToGrid w:val="0"/>
              <w:spacing w:line="320" w:lineRule="exac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——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9" w:hRule="atLeast"/>
          <w:jc w:val="center"/>
        </w:trPr>
        <w:tc>
          <w:tcPr>
            <w:tcW w:w="73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18</w:t>
            </w:r>
          </w:p>
        </w:tc>
        <w:tc>
          <w:tcPr>
            <w:tcW w:w="1378" w:type="dxa"/>
            <w:vMerge w:val="restar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加强宣传教育</w:t>
            </w:r>
          </w:p>
        </w:tc>
        <w:tc>
          <w:tcPr>
            <w:tcW w:w="65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组织开展2023年低碳日、环境日等宣传活动，推动建设科普教育基地和应对气候变化展区，加大应对气候变化宣传力度。</w:t>
            </w:r>
          </w:p>
          <w:p>
            <w:pPr>
              <w:spacing w:line="320" w:lineRule="exact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推广高效低碳绿色产品，利用碳普惠等形式，引导市民积极参与垃圾分类、“光盘行动”、义务植树和低碳出行，逐步形成绿色低碳的生活方式和消费理念。</w:t>
            </w:r>
          </w:p>
        </w:tc>
        <w:tc>
          <w:tcPr>
            <w:tcW w:w="11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年底前</w:t>
            </w:r>
          </w:p>
        </w:tc>
        <w:tc>
          <w:tcPr>
            <w:tcW w:w="21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utoSpaceDE w:val="0"/>
              <w:snapToGrid w:val="0"/>
              <w:spacing w:line="320" w:lineRule="exac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</w:p>
          <w:p>
            <w:pPr>
              <w:autoSpaceDE w:val="0"/>
              <w:snapToGrid w:val="0"/>
              <w:spacing w:line="320" w:lineRule="exac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区生态环境局</w:t>
            </w:r>
          </w:p>
          <w:p>
            <w:pPr>
              <w:autoSpaceDE w:val="0"/>
              <w:snapToGrid w:val="0"/>
              <w:spacing w:line="320" w:lineRule="exac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区发改委</w:t>
            </w:r>
          </w:p>
          <w:p>
            <w:pPr>
              <w:autoSpaceDE w:val="0"/>
              <w:snapToGrid w:val="0"/>
              <w:spacing w:line="320" w:lineRule="exac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区城管委</w:t>
            </w:r>
          </w:p>
          <w:p>
            <w:pPr>
              <w:autoSpaceDE w:val="0"/>
              <w:snapToGrid w:val="0"/>
              <w:spacing w:line="320" w:lineRule="exac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</w:p>
        </w:tc>
        <w:tc>
          <w:tcPr>
            <w:tcW w:w="208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utoSpaceDE w:val="0"/>
              <w:snapToGrid w:val="0"/>
              <w:spacing w:line="320" w:lineRule="exac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区委宣传部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91" w:hRule="atLeast"/>
          <w:jc w:val="center"/>
        </w:trPr>
        <w:tc>
          <w:tcPr>
            <w:tcW w:w="73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20" w:lineRule="exact"/>
              <w:jc w:val="left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  <w:tc>
          <w:tcPr>
            <w:tcW w:w="1378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20" w:lineRule="exact"/>
              <w:jc w:val="left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  <w:tc>
          <w:tcPr>
            <w:tcW w:w="65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开展应对气候变化理论知识、碳市场相关等教育培训，提高各级党员领导干部、企业人员、社会公众应对气候变化知识的培训力度，将应对气候变化纳入干部教育培训的重要内容，提升推动低碳发展本领。</w:t>
            </w:r>
          </w:p>
        </w:tc>
        <w:tc>
          <w:tcPr>
            <w:tcW w:w="11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年底前</w:t>
            </w:r>
          </w:p>
        </w:tc>
        <w:tc>
          <w:tcPr>
            <w:tcW w:w="21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utoSpaceDE w:val="0"/>
              <w:snapToGrid w:val="0"/>
              <w:spacing w:line="320" w:lineRule="exac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区生态环境局</w:t>
            </w:r>
          </w:p>
          <w:p>
            <w:pPr>
              <w:autoSpaceDE w:val="0"/>
              <w:snapToGrid w:val="0"/>
              <w:spacing w:line="320" w:lineRule="exac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区委组织部</w:t>
            </w:r>
          </w:p>
        </w:tc>
        <w:tc>
          <w:tcPr>
            <w:tcW w:w="208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utoSpaceDE w:val="0"/>
              <w:snapToGrid w:val="0"/>
              <w:spacing w:line="320" w:lineRule="exac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——</w:t>
            </w:r>
          </w:p>
        </w:tc>
      </w:tr>
    </w:tbl>
    <w:p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EzOWM2ODlkOGIxNDU4YWZhMGU0OGY1MmM0MDZiYjIifQ=="/>
  </w:docVars>
  <w:rsids>
    <w:rsidRoot w:val="74D10526"/>
    <w:rsid w:val="74D10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99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5">
    <w:name w:val="page number"/>
    <w:uiPriority w:val="99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2662</Words>
  <Characters>2695</Characters>
  <Lines>0</Lines>
  <Paragraphs>0</Paragraphs>
  <TotalTime>0</TotalTime>
  <ScaleCrop>false</ScaleCrop>
  <LinksUpToDate>false</LinksUpToDate>
  <CharactersWithSpaces>2697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2023-05-04T03:46:00Z</dcterms:created>
  <dc:creator>名字不重要</dc:creator>
  <cp:lastModifiedBy>名字不重要</cp:lastModifiedBy>
  <dcterms:modified xsi:type="dcterms:W3CDTF">2023-05-04T03:47:20Z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AEB6AB4BD20941CD803B04B166453049_11</vt:lpwstr>
  </property>
</Properties>
</file>