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346C8">
      <w:pPr>
        <w:spacing w:line="560" w:lineRule="exact"/>
        <w:rPr>
          <w:rFonts w:ascii="黑体" w:hAnsi="黑体" w:eastAsia="黑体"/>
          <w:sz w:val="32"/>
          <w:szCs w:val="32"/>
        </w:rPr>
      </w:pPr>
      <w:bookmarkStart w:id="1" w:name="_GoBack"/>
      <w:r>
        <w:rPr>
          <w:rFonts w:hint="eastAsia" w:ascii="黑体" w:hAnsi="黑体" w:eastAsia="黑体"/>
          <w:sz w:val="32"/>
          <w:szCs w:val="32"/>
        </w:rPr>
        <w:t>附件</w:t>
      </w:r>
      <w:r>
        <w:rPr>
          <w:rFonts w:ascii="黑体" w:hAnsi="黑体" w:eastAsia="黑体"/>
          <w:sz w:val="32"/>
          <w:szCs w:val="32"/>
        </w:rPr>
        <w:t>5</w:t>
      </w:r>
    </w:p>
    <w:p w14:paraId="0216D23A">
      <w:pPr>
        <w:spacing w:before="156" w:beforeLines="50" w:after="156" w:afterLines="50" w:line="680" w:lineRule="exact"/>
        <w:jc w:val="center"/>
        <w:rPr>
          <w:rFonts w:ascii="方正小标宋简体" w:hAnsi="方正小标宋简体" w:eastAsia="方正小标宋简体" w:cs="方正小标宋简体"/>
          <w:sz w:val="44"/>
          <w:szCs w:val="44"/>
        </w:rPr>
      </w:pPr>
      <w:bookmarkStart w:id="0" w:name="_Hlk119799500"/>
      <w:r>
        <w:rPr>
          <w:rFonts w:hint="eastAsia" w:ascii="方正小标宋简体" w:hAnsi="方正小标宋简体" w:eastAsia="方正小标宋简体" w:cs="方正小标宋简体"/>
          <w:sz w:val="44"/>
          <w:szCs w:val="44"/>
        </w:rPr>
        <w:t>《北京市人民防空工程和普通地下室安全使用管理办法》罚则</w:t>
      </w:r>
      <w:bookmarkEnd w:id="0"/>
    </w:p>
    <w:bookmarkEnd w:id="1"/>
    <w:p w14:paraId="298262D3">
      <w:pPr>
        <w:pStyle w:val="4"/>
        <w:widowControl/>
        <w:spacing w:before="0" w:beforeAutospacing="0" w:after="0" w:afterAutospacing="0" w:line="520" w:lineRule="exact"/>
        <w:ind w:firstLine="640" w:firstLineChars="200"/>
        <w:rPr>
          <w:rFonts w:eastAsia="仿宋_GB2312"/>
          <w:kern w:val="2"/>
          <w:sz w:val="32"/>
          <w:szCs w:val="32"/>
        </w:rPr>
      </w:pPr>
      <w:r>
        <w:rPr>
          <w:rFonts w:eastAsia="仿宋_GB2312"/>
          <w:kern w:val="2"/>
          <w:sz w:val="32"/>
          <w:szCs w:val="32"/>
        </w:rPr>
        <w:t>(2004年11月23日北京市人民政府第152号令公布，2021年12月30日北京市人民政府第302号令第三次修改)</w:t>
      </w:r>
    </w:p>
    <w:tbl>
      <w:tblPr>
        <w:tblStyle w:val="5"/>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37"/>
        <w:gridCol w:w="2364"/>
        <w:gridCol w:w="1985"/>
        <w:gridCol w:w="2649"/>
        <w:gridCol w:w="1197"/>
      </w:tblGrid>
      <w:tr w14:paraId="25B2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17" w:type="dxa"/>
            <w:noWrap w:val="0"/>
            <w:vAlign w:val="center"/>
          </w:tcPr>
          <w:p w14:paraId="46868B8F">
            <w:pPr>
              <w:pStyle w:val="4"/>
              <w:widowControl/>
              <w:spacing w:before="0" w:beforeAutospacing="0" w:after="0" w:afterAutospacing="0" w:line="320" w:lineRule="exact"/>
              <w:jc w:val="center"/>
              <w:rPr>
                <w:rFonts w:eastAsia="黑体"/>
                <w:color w:val="000000"/>
                <w:sz w:val="21"/>
                <w:szCs w:val="18"/>
                <w:lang w:bidi="ar"/>
              </w:rPr>
            </w:pPr>
            <w:r>
              <w:rPr>
                <w:rFonts w:eastAsia="黑体"/>
                <w:color w:val="000000"/>
                <w:sz w:val="21"/>
                <w:szCs w:val="18"/>
                <w:lang w:bidi="ar"/>
              </w:rPr>
              <w:t>序号</w:t>
            </w:r>
          </w:p>
        </w:tc>
        <w:tc>
          <w:tcPr>
            <w:tcW w:w="4137" w:type="dxa"/>
            <w:noWrap w:val="0"/>
            <w:vAlign w:val="center"/>
          </w:tcPr>
          <w:p w14:paraId="34C02F7F">
            <w:pPr>
              <w:pStyle w:val="4"/>
              <w:widowControl/>
              <w:spacing w:before="0" w:beforeAutospacing="0" w:after="0" w:afterAutospacing="0" w:line="320" w:lineRule="exact"/>
              <w:jc w:val="center"/>
              <w:rPr>
                <w:rFonts w:eastAsia="黑体"/>
                <w:color w:val="000000"/>
                <w:sz w:val="21"/>
                <w:szCs w:val="18"/>
                <w:lang w:bidi="ar"/>
              </w:rPr>
            </w:pPr>
            <w:r>
              <w:rPr>
                <w:rFonts w:eastAsia="黑体"/>
                <w:color w:val="000000"/>
                <w:sz w:val="21"/>
                <w:szCs w:val="18"/>
                <w:lang w:bidi="ar"/>
              </w:rPr>
              <w:t>违法违规行为描述</w:t>
            </w:r>
          </w:p>
        </w:tc>
        <w:tc>
          <w:tcPr>
            <w:tcW w:w="2364" w:type="dxa"/>
            <w:noWrap w:val="0"/>
            <w:vAlign w:val="center"/>
          </w:tcPr>
          <w:p w14:paraId="0B9A32A0">
            <w:pPr>
              <w:pStyle w:val="4"/>
              <w:widowControl/>
              <w:spacing w:before="0" w:beforeAutospacing="0" w:after="0" w:afterAutospacing="0" w:line="320" w:lineRule="exact"/>
              <w:jc w:val="center"/>
              <w:rPr>
                <w:rFonts w:eastAsia="黑体"/>
                <w:color w:val="000000"/>
                <w:sz w:val="21"/>
                <w:szCs w:val="18"/>
                <w:lang w:bidi="ar"/>
              </w:rPr>
            </w:pPr>
            <w:r>
              <w:rPr>
                <w:rFonts w:eastAsia="黑体"/>
                <w:color w:val="000000"/>
                <w:sz w:val="21"/>
                <w:szCs w:val="18"/>
                <w:lang w:bidi="ar"/>
              </w:rPr>
              <w:t>行为认定依据</w:t>
            </w:r>
          </w:p>
        </w:tc>
        <w:tc>
          <w:tcPr>
            <w:tcW w:w="1985" w:type="dxa"/>
            <w:noWrap w:val="0"/>
            <w:vAlign w:val="center"/>
          </w:tcPr>
          <w:p w14:paraId="12A79B27">
            <w:pPr>
              <w:pStyle w:val="4"/>
              <w:widowControl/>
              <w:spacing w:before="0" w:beforeAutospacing="0" w:after="0" w:afterAutospacing="0" w:line="320" w:lineRule="exact"/>
              <w:jc w:val="center"/>
              <w:rPr>
                <w:rFonts w:eastAsia="黑体"/>
                <w:color w:val="000000"/>
                <w:sz w:val="21"/>
                <w:szCs w:val="18"/>
                <w:lang w:bidi="ar"/>
              </w:rPr>
            </w:pPr>
            <w:r>
              <w:rPr>
                <w:rFonts w:eastAsia="黑体"/>
                <w:color w:val="000000"/>
                <w:sz w:val="21"/>
                <w:szCs w:val="18"/>
                <w:lang w:bidi="ar"/>
              </w:rPr>
              <w:t>处罚依据</w:t>
            </w:r>
          </w:p>
        </w:tc>
        <w:tc>
          <w:tcPr>
            <w:tcW w:w="2649" w:type="dxa"/>
            <w:noWrap w:val="0"/>
            <w:vAlign w:val="center"/>
          </w:tcPr>
          <w:p w14:paraId="0B227201">
            <w:pPr>
              <w:pStyle w:val="4"/>
              <w:widowControl/>
              <w:spacing w:before="0" w:beforeAutospacing="0" w:after="0" w:afterAutospacing="0" w:line="320" w:lineRule="exact"/>
              <w:jc w:val="center"/>
              <w:rPr>
                <w:rFonts w:eastAsia="黑体"/>
                <w:color w:val="000000"/>
                <w:sz w:val="21"/>
                <w:szCs w:val="18"/>
                <w:lang w:bidi="ar"/>
              </w:rPr>
            </w:pPr>
            <w:r>
              <w:rPr>
                <w:rFonts w:eastAsia="黑体"/>
                <w:color w:val="000000"/>
                <w:sz w:val="21"/>
                <w:szCs w:val="18"/>
                <w:lang w:bidi="ar"/>
              </w:rPr>
              <w:t>行政处罚</w:t>
            </w:r>
          </w:p>
        </w:tc>
        <w:tc>
          <w:tcPr>
            <w:tcW w:w="1197" w:type="dxa"/>
            <w:noWrap w:val="0"/>
            <w:vAlign w:val="center"/>
          </w:tcPr>
          <w:p w14:paraId="5FD1273B">
            <w:pPr>
              <w:pStyle w:val="4"/>
              <w:widowControl/>
              <w:spacing w:before="0" w:beforeAutospacing="0" w:after="0" w:afterAutospacing="0" w:line="320" w:lineRule="exact"/>
              <w:jc w:val="center"/>
              <w:rPr>
                <w:rFonts w:eastAsia="黑体"/>
                <w:color w:val="000000"/>
                <w:sz w:val="21"/>
                <w:szCs w:val="18"/>
                <w:lang w:bidi="ar"/>
              </w:rPr>
            </w:pPr>
            <w:r>
              <w:rPr>
                <w:rFonts w:eastAsia="黑体"/>
                <w:color w:val="000000"/>
                <w:sz w:val="21"/>
                <w:szCs w:val="18"/>
                <w:lang w:bidi="ar"/>
              </w:rPr>
              <w:t>处罚部门</w:t>
            </w:r>
          </w:p>
        </w:tc>
      </w:tr>
      <w:tr w14:paraId="6076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trPr>
        <w:tc>
          <w:tcPr>
            <w:tcW w:w="817" w:type="dxa"/>
            <w:noWrap w:val="0"/>
            <w:vAlign w:val="center"/>
          </w:tcPr>
          <w:p w14:paraId="4A861451">
            <w:pPr>
              <w:pStyle w:val="4"/>
              <w:widowControl/>
              <w:spacing w:before="0" w:beforeAutospacing="0" w:after="0" w:afterAutospacing="0" w:line="320" w:lineRule="exact"/>
              <w:jc w:val="center"/>
              <w:rPr>
                <w:rFonts w:eastAsia="仿宋_GB2312"/>
                <w:kern w:val="2"/>
                <w:sz w:val="21"/>
                <w:szCs w:val="21"/>
              </w:rPr>
            </w:pPr>
            <w:r>
              <w:rPr>
                <w:rFonts w:eastAsia="仿宋_GB2312"/>
                <w:kern w:val="2"/>
                <w:sz w:val="21"/>
                <w:szCs w:val="21"/>
              </w:rPr>
              <w:t>1</w:t>
            </w:r>
          </w:p>
        </w:tc>
        <w:tc>
          <w:tcPr>
            <w:tcW w:w="4137" w:type="dxa"/>
            <w:noWrap w:val="0"/>
            <w:vAlign w:val="center"/>
          </w:tcPr>
          <w:p w14:paraId="1F2853F5">
            <w:pPr>
              <w:pStyle w:val="4"/>
              <w:widowControl/>
              <w:spacing w:before="0" w:beforeAutospacing="0" w:after="0" w:afterAutospacing="0" w:line="320" w:lineRule="exact"/>
              <w:ind w:firstLine="420" w:firstLineChars="200"/>
              <w:jc w:val="both"/>
              <w:rPr>
                <w:rFonts w:eastAsia="仿宋_GB2312"/>
                <w:kern w:val="2"/>
                <w:sz w:val="21"/>
                <w:szCs w:val="21"/>
              </w:rPr>
            </w:pPr>
            <w:r>
              <w:rPr>
                <w:rFonts w:eastAsia="仿宋_GB2312"/>
                <w:kern w:val="2"/>
                <w:sz w:val="21"/>
                <w:szCs w:val="21"/>
              </w:rPr>
              <w:t>地下空间的安全使用责任人利用地下空间，未遵守下列规定：</w:t>
            </w:r>
          </w:p>
          <w:p w14:paraId="74361977">
            <w:pPr>
              <w:pStyle w:val="4"/>
              <w:widowControl/>
              <w:spacing w:before="0" w:beforeAutospacing="0" w:after="0" w:afterAutospacing="0" w:line="320" w:lineRule="exact"/>
              <w:ind w:firstLine="420" w:firstLineChars="200"/>
              <w:jc w:val="both"/>
              <w:rPr>
                <w:rFonts w:eastAsia="仿宋_GB2312"/>
                <w:kern w:val="2"/>
                <w:sz w:val="21"/>
                <w:szCs w:val="21"/>
              </w:rPr>
            </w:pPr>
            <w:r>
              <w:rPr>
                <w:rFonts w:eastAsia="仿宋_GB2312"/>
                <w:kern w:val="2"/>
                <w:sz w:val="21"/>
                <w:szCs w:val="21"/>
              </w:rPr>
              <w:t>1.制定落实治安、消防、卫生、建筑等管理法律、法规、规章的具体措施；</w:t>
            </w:r>
          </w:p>
          <w:p w14:paraId="3AB012E3">
            <w:pPr>
              <w:pStyle w:val="4"/>
              <w:widowControl/>
              <w:spacing w:before="0" w:beforeAutospacing="0" w:after="0" w:afterAutospacing="0" w:line="320" w:lineRule="exact"/>
              <w:ind w:firstLine="420" w:firstLineChars="200"/>
              <w:jc w:val="both"/>
              <w:rPr>
                <w:rFonts w:eastAsia="仿宋_GB2312"/>
                <w:kern w:val="2"/>
                <w:sz w:val="21"/>
                <w:szCs w:val="21"/>
              </w:rPr>
            </w:pPr>
            <w:r>
              <w:rPr>
                <w:rFonts w:eastAsia="仿宋_GB2312"/>
                <w:kern w:val="2"/>
                <w:sz w:val="21"/>
                <w:szCs w:val="21"/>
              </w:rPr>
              <w:t>2.建立防火、防汛、治安、卫生等责任制度。提供给他人使用的，与使用人签订地下空间安全使用责任书，明确使用人对地下空间的安全使用义务，并对使用人履行义务的情况进行监督；发现使用人违反安全管理法律、法规、规章或者安全使用义务的，及时制止、纠正，并向有关行政主管部门报告；</w:t>
            </w:r>
          </w:p>
          <w:p w14:paraId="05055A0D">
            <w:pPr>
              <w:pStyle w:val="4"/>
              <w:widowControl/>
              <w:spacing w:before="0" w:beforeAutospacing="0" w:after="0" w:afterAutospacing="0" w:line="320" w:lineRule="exact"/>
              <w:ind w:firstLine="420" w:firstLineChars="200"/>
              <w:jc w:val="both"/>
              <w:rPr>
                <w:rFonts w:eastAsia="仿宋_GB2312"/>
                <w:kern w:val="2"/>
                <w:sz w:val="21"/>
                <w:szCs w:val="21"/>
              </w:rPr>
            </w:pPr>
            <w:r>
              <w:rPr>
                <w:rFonts w:eastAsia="仿宋_GB2312"/>
                <w:kern w:val="2"/>
                <w:sz w:val="21"/>
                <w:szCs w:val="21"/>
              </w:rPr>
              <w:t>3.在地下空间的入口处设置人民防空主管部门、住房城乡建设行政主管部门制发的人民防空工程、普通地下室使用标志牌。</w:t>
            </w:r>
          </w:p>
        </w:tc>
        <w:tc>
          <w:tcPr>
            <w:tcW w:w="2364" w:type="dxa"/>
            <w:noWrap w:val="0"/>
            <w:vAlign w:val="center"/>
          </w:tcPr>
          <w:p w14:paraId="5996DCF0">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《北京市人民防空工程和普通地下室安全使用管理办法》第五条第（一）项、第（二）项、第（六）项</w:t>
            </w:r>
          </w:p>
        </w:tc>
        <w:tc>
          <w:tcPr>
            <w:tcW w:w="1985" w:type="dxa"/>
            <w:noWrap w:val="0"/>
            <w:vAlign w:val="center"/>
          </w:tcPr>
          <w:p w14:paraId="49C12B7D">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《北京市人民防空工程和普通地下室安全使用管理办法》第二十一条第（一）项、第（二）项</w:t>
            </w:r>
          </w:p>
        </w:tc>
        <w:tc>
          <w:tcPr>
            <w:tcW w:w="2649" w:type="dxa"/>
            <w:noWrap w:val="0"/>
            <w:vAlign w:val="center"/>
          </w:tcPr>
          <w:p w14:paraId="44E279AC">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处500元以上1000元以下罚款</w:t>
            </w:r>
          </w:p>
        </w:tc>
        <w:tc>
          <w:tcPr>
            <w:tcW w:w="1197" w:type="dxa"/>
            <w:noWrap w:val="0"/>
            <w:vAlign w:val="center"/>
          </w:tcPr>
          <w:p w14:paraId="3BE0B407">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区人防办、区房管局</w:t>
            </w:r>
          </w:p>
        </w:tc>
      </w:tr>
      <w:tr w14:paraId="402D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7" w:type="dxa"/>
            <w:noWrap w:val="0"/>
            <w:vAlign w:val="center"/>
          </w:tcPr>
          <w:p w14:paraId="166F77B2">
            <w:pPr>
              <w:pStyle w:val="4"/>
              <w:widowControl/>
              <w:spacing w:before="0" w:beforeAutospacing="0" w:after="0" w:afterAutospacing="0" w:line="320" w:lineRule="exact"/>
              <w:jc w:val="center"/>
              <w:rPr>
                <w:rFonts w:eastAsia="仿宋_GB2312"/>
                <w:kern w:val="2"/>
                <w:sz w:val="21"/>
                <w:szCs w:val="21"/>
              </w:rPr>
            </w:pPr>
            <w:r>
              <w:rPr>
                <w:rFonts w:eastAsia="仿宋_GB2312"/>
                <w:kern w:val="2"/>
                <w:sz w:val="21"/>
                <w:szCs w:val="21"/>
              </w:rPr>
              <w:t>2</w:t>
            </w:r>
          </w:p>
        </w:tc>
        <w:tc>
          <w:tcPr>
            <w:tcW w:w="4137" w:type="dxa"/>
            <w:noWrap w:val="0"/>
            <w:vAlign w:val="center"/>
          </w:tcPr>
          <w:p w14:paraId="4F0C920A">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地下空间的安全使用责任人将地下空间出</w:t>
            </w:r>
            <w:r>
              <w:rPr>
                <w:rFonts w:eastAsia="仿宋_GB2312"/>
                <w:spacing w:val="-4"/>
                <w:kern w:val="2"/>
                <w:sz w:val="21"/>
                <w:szCs w:val="21"/>
              </w:rPr>
              <w:t>租给无合法有效证件、证明的单位或者个人。</w:t>
            </w:r>
          </w:p>
        </w:tc>
        <w:tc>
          <w:tcPr>
            <w:tcW w:w="2364" w:type="dxa"/>
            <w:noWrap w:val="0"/>
            <w:vAlign w:val="center"/>
          </w:tcPr>
          <w:p w14:paraId="5699F694">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《北京市人民防空工程和普通地下室安全使用管理办法》第五条第（十）项</w:t>
            </w:r>
          </w:p>
        </w:tc>
        <w:tc>
          <w:tcPr>
            <w:tcW w:w="1985" w:type="dxa"/>
            <w:noWrap w:val="0"/>
            <w:vAlign w:val="center"/>
          </w:tcPr>
          <w:p w14:paraId="362F16BD">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《北京市人民防空工程和普通地下室安全使用管理办法》第二十一条第（三）项</w:t>
            </w:r>
          </w:p>
        </w:tc>
        <w:tc>
          <w:tcPr>
            <w:tcW w:w="2649" w:type="dxa"/>
            <w:noWrap w:val="0"/>
            <w:vAlign w:val="center"/>
          </w:tcPr>
          <w:p w14:paraId="5EA3730B">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处1000元罚款</w:t>
            </w:r>
          </w:p>
        </w:tc>
        <w:tc>
          <w:tcPr>
            <w:tcW w:w="1197" w:type="dxa"/>
            <w:noWrap w:val="0"/>
            <w:vAlign w:val="center"/>
          </w:tcPr>
          <w:p w14:paraId="5DC6A4B6">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东城公安分局</w:t>
            </w:r>
          </w:p>
        </w:tc>
      </w:tr>
      <w:tr w14:paraId="639B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6" w:hRule="atLeast"/>
        </w:trPr>
        <w:tc>
          <w:tcPr>
            <w:tcW w:w="817" w:type="dxa"/>
            <w:noWrap w:val="0"/>
            <w:vAlign w:val="center"/>
          </w:tcPr>
          <w:p w14:paraId="07667797">
            <w:pPr>
              <w:pStyle w:val="4"/>
              <w:widowControl/>
              <w:spacing w:before="0" w:beforeAutospacing="0" w:after="0" w:afterAutospacing="0" w:line="320" w:lineRule="exact"/>
              <w:jc w:val="center"/>
              <w:rPr>
                <w:rFonts w:eastAsia="仿宋_GB2312"/>
                <w:kern w:val="2"/>
                <w:sz w:val="21"/>
                <w:szCs w:val="21"/>
              </w:rPr>
            </w:pPr>
            <w:r>
              <w:rPr>
                <w:rFonts w:eastAsia="仿宋_GB2312"/>
                <w:kern w:val="2"/>
                <w:sz w:val="21"/>
                <w:szCs w:val="21"/>
              </w:rPr>
              <w:t>3</w:t>
            </w:r>
          </w:p>
        </w:tc>
        <w:tc>
          <w:tcPr>
            <w:tcW w:w="4137" w:type="dxa"/>
            <w:noWrap w:val="0"/>
            <w:vAlign w:val="center"/>
          </w:tcPr>
          <w:p w14:paraId="5AEF24EB">
            <w:pPr>
              <w:pStyle w:val="4"/>
              <w:widowControl/>
              <w:spacing w:before="0" w:beforeAutospacing="0" w:after="0" w:afterAutospacing="0" w:line="300" w:lineRule="exact"/>
              <w:jc w:val="both"/>
              <w:rPr>
                <w:rFonts w:eastAsia="仿宋_GB2312"/>
                <w:kern w:val="2"/>
                <w:sz w:val="21"/>
                <w:szCs w:val="21"/>
              </w:rPr>
            </w:pPr>
            <w:r>
              <w:rPr>
                <w:rFonts w:eastAsia="仿宋_GB2312"/>
                <w:kern w:val="2"/>
                <w:sz w:val="21"/>
                <w:szCs w:val="21"/>
              </w:rPr>
              <w:t>地下空间的使用人，未遵守下列规定：</w:t>
            </w:r>
          </w:p>
          <w:p w14:paraId="102E9AF0">
            <w:pPr>
              <w:pStyle w:val="4"/>
              <w:widowControl/>
              <w:spacing w:before="0" w:beforeAutospacing="0" w:after="0" w:afterAutospacing="0" w:line="300" w:lineRule="exact"/>
              <w:jc w:val="both"/>
              <w:rPr>
                <w:rFonts w:eastAsia="仿宋_GB2312"/>
                <w:kern w:val="2"/>
                <w:sz w:val="21"/>
                <w:szCs w:val="21"/>
              </w:rPr>
            </w:pPr>
            <w:r>
              <w:rPr>
                <w:rFonts w:eastAsia="仿宋_GB2312"/>
                <w:kern w:val="2"/>
                <w:sz w:val="21"/>
                <w:szCs w:val="21"/>
              </w:rPr>
              <w:t>1.根据不同的使用性质，保证地下空间在使用中符合国家规定的相关行业的卫生标准；</w:t>
            </w:r>
          </w:p>
          <w:p w14:paraId="5672E6AD">
            <w:pPr>
              <w:pStyle w:val="4"/>
              <w:widowControl/>
              <w:spacing w:before="0" w:beforeAutospacing="0" w:after="0" w:afterAutospacing="0" w:line="300" w:lineRule="exact"/>
              <w:jc w:val="both"/>
              <w:rPr>
                <w:rFonts w:eastAsia="仿宋_GB2312"/>
                <w:kern w:val="2"/>
                <w:sz w:val="21"/>
                <w:szCs w:val="21"/>
              </w:rPr>
            </w:pPr>
            <w:r>
              <w:rPr>
                <w:rFonts w:eastAsia="仿宋_GB2312"/>
                <w:kern w:val="2"/>
                <w:sz w:val="21"/>
                <w:szCs w:val="21"/>
              </w:rPr>
              <w:t>2.装饰、装修材料符合国家和本市规定的消防、卫生要求；进行装饰、装修等施工作业期间，不得投入使用；</w:t>
            </w:r>
          </w:p>
          <w:p w14:paraId="686E856A">
            <w:pPr>
              <w:pStyle w:val="4"/>
              <w:widowControl/>
              <w:spacing w:before="0" w:beforeAutospacing="0" w:after="0" w:afterAutospacing="0" w:line="300" w:lineRule="exact"/>
              <w:jc w:val="both"/>
              <w:rPr>
                <w:rFonts w:eastAsia="仿宋_GB2312"/>
                <w:kern w:val="2"/>
                <w:sz w:val="21"/>
                <w:szCs w:val="21"/>
              </w:rPr>
            </w:pPr>
            <w:r>
              <w:rPr>
                <w:rFonts w:eastAsia="仿宋_GB2312"/>
                <w:kern w:val="2"/>
                <w:sz w:val="21"/>
                <w:szCs w:val="21"/>
              </w:rPr>
              <w:t>3.不得存放液化石油气钢瓶，不得使用液化石油气和闪点小于60</w:t>
            </w:r>
            <w:r>
              <w:rPr>
                <w:rFonts w:hint="eastAsia" w:ascii="宋体" w:hAnsi="宋体" w:cs="宋体"/>
                <w:kern w:val="2"/>
                <w:sz w:val="21"/>
                <w:szCs w:val="21"/>
              </w:rPr>
              <w:t>℃</w:t>
            </w:r>
            <w:r>
              <w:rPr>
                <w:rFonts w:eastAsia="仿宋_GB2312"/>
                <w:kern w:val="2"/>
                <w:sz w:val="21"/>
                <w:szCs w:val="21"/>
              </w:rPr>
              <w:t>的液体做燃料；</w:t>
            </w:r>
          </w:p>
          <w:p w14:paraId="0E3F215C">
            <w:pPr>
              <w:pStyle w:val="4"/>
              <w:widowControl/>
              <w:spacing w:before="0" w:beforeAutospacing="0" w:after="0" w:afterAutospacing="0" w:line="300" w:lineRule="exact"/>
              <w:jc w:val="both"/>
              <w:rPr>
                <w:rFonts w:eastAsia="仿宋_GB2312"/>
                <w:kern w:val="2"/>
                <w:sz w:val="21"/>
                <w:szCs w:val="21"/>
              </w:rPr>
            </w:pPr>
            <w:r>
              <w:rPr>
                <w:rFonts w:eastAsia="仿宋_GB2312"/>
                <w:kern w:val="2"/>
                <w:sz w:val="21"/>
                <w:szCs w:val="21"/>
              </w:rPr>
              <w:t>4.保障安全出口、疏散通道畅通，有人时不得上锁；</w:t>
            </w:r>
          </w:p>
          <w:p w14:paraId="6EEFD15F">
            <w:pPr>
              <w:pStyle w:val="4"/>
              <w:widowControl/>
              <w:spacing w:before="0" w:beforeAutospacing="0" w:after="0" w:afterAutospacing="0" w:line="300" w:lineRule="exact"/>
              <w:jc w:val="both"/>
              <w:rPr>
                <w:rFonts w:eastAsia="仿宋_GB2312"/>
                <w:kern w:val="2"/>
                <w:sz w:val="21"/>
                <w:szCs w:val="21"/>
              </w:rPr>
            </w:pPr>
            <w:r>
              <w:rPr>
                <w:rFonts w:eastAsia="仿宋_GB2312"/>
                <w:kern w:val="2"/>
                <w:sz w:val="21"/>
                <w:szCs w:val="21"/>
              </w:rPr>
              <w:t>5.不得在地下空间内从事危险化学品、烟花爆竹等危险物品的生产经营。不得在地下空间内储存易燃易爆物品；</w:t>
            </w:r>
          </w:p>
          <w:p w14:paraId="655B9BB5">
            <w:pPr>
              <w:pStyle w:val="4"/>
              <w:widowControl/>
              <w:spacing w:before="0" w:beforeAutospacing="0" w:after="0" w:afterAutospacing="0" w:line="300" w:lineRule="exact"/>
              <w:jc w:val="both"/>
              <w:rPr>
                <w:rFonts w:eastAsia="仿宋_GB2312"/>
                <w:kern w:val="2"/>
                <w:sz w:val="21"/>
                <w:szCs w:val="21"/>
              </w:rPr>
            </w:pPr>
            <w:r>
              <w:rPr>
                <w:rFonts w:eastAsia="仿宋_GB2312"/>
                <w:kern w:val="2"/>
                <w:sz w:val="21"/>
                <w:szCs w:val="21"/>
              </w:rPr>
              <w:t>6.按照国家有关消防安全技术规定安装、使用电器产品，设计、敷设用电线路；禁止超负荷用电；</w:t>
            </w:r>
          </w:p>
          <w:p w14:paraId="3CCCCD31">
            <w:pPr>
              <w:pStyle w:val="4"/>
              <w:widowControl/>
              <w:spacing w:before="0" w:beforeAutospacing="0" w:after="0" w:afterAutospacing="0" w:line="300" w:lineRule="exact"/>
              <w:jc w:val="both"/>
              <w:rPr>
                <w:rFonts w:eastAsia="仿宋_GB2312"/>
                <w:kern w:val="2"/>
                <w:sz w:val="21"/>
                <w:szCs w:val="21"/>
              </w:rPr>
            </w:pPr>
            <w:r>
              <w:rPr>
                <w:rFonts w:eastAsia="仿宋_GB2312"/>
                <w:kern w:val="2"/>
                <w:sz w:val="21"/>
                <w:szCs w:val="21"/>
              </w:rPr>
              <w:t>7.不得在地下空间内设置油浸电力变压器和其他油浸电气设备；</w:t>
            </w:r>
          </w:p>
          <w:p w14:paraId="534948A4">
            <w:pPr>
              <w:pStyle w:val="4"/>
              <w:widowControl/>
              <w:spacing w:before="0" w:beforeAutospacing="0" w:after="0" w:afterAutospacing="0" w:line="300" w:lineRule="exact"/>
              <w:jc w:val="both"/>
              <w:rPr>
                <w:rFonts w:eastAsia="仿宋_GB2312"/>
                <w:kern w:val="2"/>
                <w:sz w:val="21"/>
                <w:szCs w:val="21"/>
              </w:rPr>
            </w:pPr>
            <w:r>
              <w:rPr>
                <w:rFonts w:eastAsia="仿宋_GB2312"/>
                <w:kern w:val="2"/>
                <w:sz w:val="21"/>
                <w:szCs w:val="21"/>
              </w:rPr>
              <w:t>8.对从业人员进行安全教育，并制定安全事故应急救援预案。</w:t>
            </w:r>
          </w:p>
        </w:tc>
        <w:tc>
          <w:tcPr>
            <w:tcW w:w="2364" w:type="dxa"/>
            <w:noWrap w:val="0"/>
            <w:vAlign w:val="center"/>
          </w:tcPr>
          <w:p w14:paraId="6AE2FE81">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《北京市人民防空工程和普通地下室安全使用管理办法》第六条第（二）项、第（三）项、第（四）项、第（五）项、第（六）项、第（七）项、第（八项、第（十）项</w:t>
            </w:r>
          </w:p>
        </w:tc>
        <w:tc>
          <w:tcPr>
            <w:tcW w:w="1985" w:type="dxa"/>
            <w:noWrap w:val="0"/>
            <w:vAlign w:val="center"/>
          </w:tcPr>
          <w:p w14:paraId="6BBA14B6">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《北京市人民防空工程和普通地下室安全使用管理办法》第二十二条第一款</w:t>
            </w:r>
          </w:p>
        </w:tc>
        <w:tc>
          <w:tcPr>
            <w:tcW w:w="2649" w:type="dxa"/>
            <w:noWrap w:val="0"/>
            <w:vAlign w:val="center"/>
          </w:tcPr>
          <w:p w14:paraId="5579363F">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（具体由处罚部门制定）</w:t>
            </w:r>
          </w:p>
        </w:tc>
        <w:tc>
          <w:tcPr>
            <w:tcW w:w="1197" w:type="dxa"/>
            <w:noWrap w:val="0"/>
            <w:vAlign w:val="center"/>
          </w:tcPr>
          <w:p w14:paraId="7F5ECC0C">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区消防救援支队、区卫生健康委、区应</w:t>
            </w:r>
          </w:p>
          <w:p w14:paraId="5CD9A0F6">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急局</w:t>
            </w:r>
          </w:p>
        </w:tc>
      </w:tr>
      <w:tr w14:paraId="073F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17" w:type="dxa"/>
            <w:vMerge w:val="restart"/>
            <w:noWrap w:val="0"/>
            <w:vAlign w:val="center"/>
          </w:tcPr>
          <w:p w14:paraId="78E32589">
            <w:pPr>
              <w:pStyle w:val="4"/>
              <w:widowControl/>
              <w:spacing w:before="0" w:beforeAutospacing="0" w:after="0" w:afterAutospacing="0" w:line="320" w:lineRule="exact"/>
              <w:jc w:val="center"/>
              <w:rPr>
                <w:rFonts w:eastAsia="仿宋_GB2312"/>
                <w:kern w:val="2"/>
                <w:sz w:val="21"/>
                <w:szCs w:val="21"/>
              </w:rPr>
            </w:pPr>
            <w:r>
              <w:rPr>
                <w:rFonts w:eastAsia="仿宋_GB2312"/>
                <w:kern w:val="2"/>
                <w:sz w:val="21"/>
                <w:szCs w:val="21"/>
              </w:rPr>
              <w:t>4</w:t>
            </w:r>
          </w:p>
        </w:tc>
        <w:tc>
          <w:tcPr>
            <w:tcW w:w="4137" w:type="dxa"/>
            <w:vMerge w:val="restart"/>
            <w:noWrap w:val="0"/>
            <w:vAlign w:val="center"/>
          </w:tcPr>
          <w:p w14:paraId="3EAA1578">
            <w:pPr>
              <w:pStyle w:val="4"/>
              <w:widowControl/>
              <w:spacing w:before="0" w:beforeAutospacing="0" w:after="0" w:afterAutospacing="0" w:line="320" w:lineRule="exact"/>
              <w:jc w:val="both"/>
              <w:rPr>
                <w:rFonts w:eastAsia="仿宋_GB2312"/>
                <w:spacing w:val="-6"/>
                <w:kern w:val="2"/>
                <w:sz w:val="21"/>
                <w:szCs w:val="21"/>
              </w:rPr>
            </w:pPr>
            <w:r>
              <w:rPr>
                <w:rFonts w:eastAsia="仿宋_GB2312"/>
                <w:spacing w:val="-6"/>
                <w:kern w:val="2"/>
                <w:sz w:val="21"/>
                <w:szCs w:val="21"/>
              </w:rPr>
              <w:t>地下空间内所容纳的人员不得超过核定人数。</w:t>
            </w:r>
          </w:p>
        </w:tc>
        <w:tc>
          <w:tcPr>
            <w:tcW w:w="2364" w:type="dxa"/>
            <w:vMerge w:val="restart"/>
            <w:noWrap w:val="0"/>
            <w:vAlign w:val="center"/>
          </w:tcPr>
          <w:p w14:paraId="2D1E03F2">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《北京市人民防空工程和普通地下室安全使用管理办法》第六条第（九）项</w:t>
            </w:r>
          </w:p>
        </w:tc>
        <w:tc>
          <w:tcPr>
            <w:tcW w:w="1985" w:type="dxa"/>
            <w:vMerge w:val="restart"/>
            <w:noWrap w:val="0"/>
            <w:vAlign w:val="center"/>
          </w:tcPr>
          <w:p w14:paraId="39CD0E1E">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《北京市人民防空工程和普通地下室安全使用管理办法》第二十二条第二款</w:t>
            </w:r>
          </w:p>
        </w:tc>
        <w:tc>
          <w:tcPr>
            <w:tcW w:w="2649" w:type="dxa"/>
            <w:noWrap w:val="0"/>
            <w:vAlign w:val="center"/>
          </w:tcPr>
          <w:p w14:paraId="0A550875">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责令改正，并处3万元罚款</w:t>
            </w:r>
          </w:p>
        </w:tc>
        <w:tc>
          <w:tcPr>
            <w:tcW w:w="1197" w:type="dxa"/>
            <w:noWrap w:val="0"/>
            <w:vAlign w:val="center"/>
          </w:tcPr>
          <w:p w14:paraId="3F215833">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区人防办、区房管局</w:t>
            </w:r>
          </w:p>
        </w:tc>
      </w:tr>
      <w:tr w14:paraId="68B5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17" w:type="dxa"/>
            <w:vMerge w:val="continue"/>
            <w:noWrap w:val="0"/>
            <w:vAlign w:val="center"/>
          </w:tcPr>
          <w:p w14:paraId="62CDDF7E">
            <w:pPr>
              <w:pStyle w:val="4"/>
              <w:widowControl/>
              <w:spacing w:before="0" w:beforeAutospacing="0" w:after="0" w:afterAutospacing="0" w:line="320" w:lineRule="exact"/>
              <w:jc w:val="center"/>
              <w:rPr>
                <w:rFonts w:eastAsia="仿宋_GB2312"/>
                <w:kern w:val="2"/>
                <w:sz w:val="21"/>
                <w:szCs w:val="21"/>
              </w:rPr>
            </w:pPr>
          </w:p>
        </w:tc>
        <w:tc>
          <w:tcPr>
            <w:tcW w:w="4137" w:type="dxa"/>
            <w:vMerge w:val="continue"/>
            <w:noWrap w:val="0"/>
            <w:vAlign w:val="center"/>
          </w:tcPr>
          <w:p w14:paraId="6EB2E711">
            <w:pPr>
              <w:pStyle w:val="4"/>
              <w:widowControl/>
              <w:spacing w:before="0" w:beforeAutospacing="0" w:after="0" w:afterAutospacing="0" w:line="320" w:lineRule="exact"/>
              <w:jc w:val="both"/>
              <w:rPr>
                <w:rFonts w:eastAsia="仿宋_GB2312"/>
                <w:kern w:val="2"/>
                <w:sz w:val="21"/>
                <w:szCs w:val="21"/>
              </w:rPr>
            </w:pPr>
          </w:p>
        </w:tc>
        <w:tc>
          <w:tcPr>
            <w:tcW w:w="2364" w:type="dxa"/>
            <w:vMerge w:val="continue"/>
            <w:noWrap w:val="0"/>
            <w:vAlign w:val="center"/>
          </w:tcPr>
          <w:p w14:paraId="1F29386F">
            <w:pPr>
              <w:pStyle w:val="4"/>
              <w:widowControl/>
              <w:spacing w:before="0" w:beforeAutospacing="0" w:after="0" w:afterAutospacing="0" w:line="320" w:lineRule="exact"/>
              <w:jc w:val="both"/>
              <w:rPr>
                <w:rFonts w:eastAsia="仿宋_GB2312"/>
                <w:kern w:val="2"/>
                <w:sz w:val="21"/>
                <w:szCs w:val="21"/>
              </w:rPr>
            </w:pPr>
          </w:p>
        </w:tc>
        <w:tc>
          <w:tcPr>
            <w:tcW w:w="1985" w:type="dxa"/>
            <w:vMerge w:val="continue"/>
            <w:noWrap w:val="0"/>
            <w:vAlign w:val="center"/>
          </w:tcPr>
          <w:p w14:paraId="77084821">
            <w:pPr>
              <w:pStyle w:val="4"/>
              <w:widowControl/>
              <w:spacing w:before="0" w:beforeAutospacing="0" w:after="0" w:afterAutospacing="0" w:line="320" w:lineRule="exact"/>
              <w:jc w:val="both"/>
              <w:rPr>
                <w:rFonts w:eastAsia="仿宋_GB2312"/>
                <w:kern w:val="2"/>
                <w:sz w:val="21"/>
                <w:szCs w:val="21"/>
              </w:rPr>
            </w:pPr>
          </w:p>
        </w:tc>
        <w:tc>
          <w:tcPr>
            <w:tcW w:w="2649" w:type="dxa"/>
            <w:noWrap w:val="0"/>
            <w:vAlign w:val="center"/>
          </w:tcPr>
          <w:p w14:paraId="601C6FB2">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作为文化娱乐场所的，责令改正，给予警告，责令停业整顿，并处1000元以上1万元以下罚款</w:t>
            </w:r>
          </w:p>
        </w:tc>
        <w:tc>
          <w:tcPr>
            <w:tcW w:w="1197" w:type="dxa"/>
            <w:noWrap w:val="0"/>
            <w:vAlign w:val="center"/>
          </w:tcPr>
          <w:p w14:paraId="2D63FEC4">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东城公安分局</w:t>
            </w:r>
          </w:p>
        </w:tc>
      </w:tr>
      <w:tr w14:paraId="7859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17" w:type="dxa"/>
            <w:vMerge w:val="continue"/>
            <w:noWrap w:val="0"/>
            <w:vAlign w:val="center"/>
          </w:tcPr>
          <w:p w14:paraId="14C427AE">
            <w:pPr>
              <w:pStyle w:val="4"/>
              <w:widowControl/>
              <w:spacing w:before="0" w:beforeAutospacing="0" w:after="0" w:afterAutospacing="0" w:line="320" w:lineRule="exact"/>
              <w:jc w:val="center"/>
              <w:rPr>
                <w:rFonts w:eastAsia="仿宋_GB2312"/>
                <w:kern w:val="2"/>
                <w:sz w:val="21"/>
                <w:szCs w:val="21"/>
              </w:rPr>
            </w:pPr>
          </w:p>
        </w:tc>
        <w:tc>
          <w:tcPr>
            <w:tcW w:w="4137" w:type="dxa"/>
            <w:vMerge w:val="continue"/>
            <w:noWrap w:val="0"/>
            <w:vAlign w:val="center"/>
          </w:tcPr>
          <w:p w14:paraId="695351A9">
            <w:pPr>
              <w:pStyle w:val="4"/>
              <w:widowControl/>
              <w:spacing w:before="0" w:beforeAutospacing="0" w:after="0" w:afterAutospacing="0" w:line="320" w:lineRule="exact"/>
              <w:jc w:val="both"/>
              <w:rPr>
                <w:rFonts w:eastAsia="仿宋_GB2312"/>
                <w:kern w:val="2"/>
                <w:sz w:val="21"/>
                <w:szCs w:val="21"/>
              </w:rPr>
            </w:pPr>
          </w:p>
        </w:tc>
        <w:tc>
          <w:tcPr>
            <w:tcW w:w="2364" w:type="dxa"/>
            <w:vMerge w:val="continue"/>
            <w:noWrap w:val="0"/>
            <w:vAlign w:val="center"/>
          </w:tcPr>
          <w:p w14:paraId="6244D139">
            <w:pPr>
              <w:pStyle w:val="4"/>
              <w:widowControl/>
              <w:spacing w:before="0" w:beforeAutospacing="0" w:after="0" w:afterAutospacing="0" w:line="320" w:lineRule="exact"/>
              <w:jc w:val="both"/>
              <w:rPr>
                <w:rFonts w:eastAsia="仿宋_GB2312"/>
                <w:kern w:val="2"/>
                <w:sz w:val="21"/>
                <w:szCs w:val="21"/>
              </w:rPr>
            </w:pPr>
          </w:p>
        </w:tc>
        <w:tc>
          <w:tcPr>
            <w:tcW w:w="1985" w:type="dxa"/>
            <w:vMerge w:val="continue"/>
            <w:noWrap w:val="0"/>
            <w:vAlign w:val="center"/>
          </w:tcPr>
          <w:p w14:paraId="697B2331">
            <w:pPr>
              <w:pStyle w:val="4"/>
              <w:widowControl/>
              <w:spacing w:before="0" w:beforeAutospacing="0" w:after="0" w:afterAutospacing="0" w:line="320" w:lineRule="exact"/>
              <w:jc w:val="both"/>
              <w:rPr>
                <w:rFonts w:eastAsia="仿宋_GB2312"/>
                <w:kern w:val="2"/>
                <w:sz w:val="21"/>
                <w:szCs w:val="21"/>
              </w:rPr>
            </w:pPr>
          </w:p>
        </w:tc>
        <w:tc>
          <w:tcPr>
            <w:tcW w:w="2649" w:type="dxa"/>
            <w:noWrap w:val="0"/>
            <w:vAlign w:val="center"/>
          </w:tcPr>
          <w:p w14:paraId="44FF73EC">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情节严重的，吊销营业执照</w:t>
            </w:r>
          </w:p>
        </w:tc>
        <w:tc>
          <w:tcPr>
            <w:tcW w:w="1197" w:type="dxa"/>
            <w:noWrap w:val="0"/>
            <w:vAlign w:val="center"/>
          </w:tcPr>
          <w:p w14:paraId="580567BD">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区市场监管局</w:t>
            </w:r>
          </w:p>
        </w:tc>
      </w:tr>
      <w:tr w14:paraId="3311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17" w:type="dxa"/>
            <w:noWrap w:val="0"/>
            <w:vAlign w:val="center"/>
          </w:tcPr>
          <w:p w14:paraId="2A6E3851">
            <w:pPr>
              <w:pStyle w:val="4"/>
              <w:widowControl/>
              <w:spacing w:before="0" w:beforeAutospacing="0" w:after="0" w:afterAutospacing="0" w:line="320" w:lineRule="exact"/>
              <w:jc w:val="center"/>
              <w:rPr>
                <w:rFonts w:eastAsia="仿宋_GB2312"/>
                <w:kern w:val="2"/>
                <w:sz w:val="21"/>
                <w:szCs w:val="21"/>
              </w:rPr>
            </w:pPr>
            <w:r>
              <w:rPr>
                <w:rFonts w:eastAsia="仿宋_GB2312"/>
                <w:kern w:val="2"/>
                <w:sz w:val="21"/>
                <w:szCs w:val="21"/>
              </w:rPr>
              <w:t>5</w:t>
            </w:r>
          </w:p>
        </w:tc>
        <w:tc>
          <w:tcPr>
            <w:tcW w:w="4137" w:type="dxa"/>
            <w:noWrap w:val="0"/>
            <w:vAlign w:val="center"/>
          </w:tcPr>
          <w:p w14:paraId="0BC276A9">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房间内人均使用面积少于5平方米</w:t>
            </w:r>
          </w:p>
        </w:tc>
        <w:tc>
          <w:tcPr>
            <w:tcW w:w="2364" w:type="dxa"/>
            <w:noWrap w:val="0"/>
            <w:vAlign w:val="center"/>
          </w:tcPr>
          <w:p w14:paraId="03C45586">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《北京市人民防空工程和普通地下室安全使用管理办法》第七条第一款第（一）项</w:t>
            </w:r>
          </w:p>
        </w:tc>
        <w:tc>
          <w:tcPr>
            <w:tcW w:w="1985" w:type="dxa"/>
            <w:vMerge w:val="restart"/>
            <w:noWrap w:val="0"/>
            <w:vAlign w:val="center"/>
          </w:tcPr>
          <w:p w14:paraId="47F01C97">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《北京市人民防空工程和普通地下室安全使用管理办法》第二十三条</w:t>
            </w:r>
          </w:p>
        </w:tc>
        <w:tc>
          <w:tcPr>
            <w:tcW w:w="2649" w:type="dxa"/>
            <w:vMerge w:val="restart"/>
            <w:noWrap w:val="0"/>
            <w:vAlign w:val="center"/>
          </w:tcPr>
          <w:p w14:paraId="32C4382C">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设置旅馆的，处1万元以上3万元以下罚款；设置宿舍以及作为其他居住场所的，处500元以上1000元以下罚款</w:t>
            </w:r>
          </w:p>
        </w:tc>
        <w:tc>
          <w:tcPr>
            <w:tcW w:w="1197" w:type="dxa"/>
            <w:vMerge w:val="restart"/>
            <w:noWrap w:val="0"/>
            <w:vAlign w:val="center"/>
          </w:tcPr>
          <w:p w14:paraId="42988A06">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东城公安分局</w:t>
            </w:r>
          </w:p>
        </w:tc>
      </w:tr>
      <w:tr w14:paraId="0370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17" w:type="dxa"/>
            <w:noWrap w:val="0"/>
            <w:vAlign w:val="center"/>
          </w:tcPr>
          <w:p w14:paraId="161473A5">
            <w:pPr>
              <w:pStyle w:val="4"/>
              <w:widowControl/>
              <w:spacing w:before="0" w:beforeAutospacing="0" w:after="0" w:afterAutospacing="0" w:line="320" w:lineRule="exact"/>
              <w:jc w:val="center"/>
              <w:rPr>
                <w:rFonts w:eastAsia="仿宋_GB2312"/>
                <w:kern w:val="2"/>
                <w:sz w:val="21"/>
                <w:szCs w:val="21"/>
              </w:rPr>
            </w:pPr>
            <w:r>
              <w:rPr>
                <w:rFonts w:eastAsia="仿宋_GB2312"/>
                <w:kern w:val="2"/>
                <w:sz w:val="21"/>
                <w:szCs w:val="21"/>
              </w:rPr>
              <w:t>6</w:t>
            </w:r>
          </w:p>
        </w:tc>
        <w:tc>
          <w:tcPr>
            <w:tcW w:w="4137" w:type="dxa"/>
            <w:noWrap w:val="0"/>
            <w:vAlign w:val="center"/>
          </w:tcPr>
          <w:p w14:paraId="129C9AA8">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设置上下床</w:t>
            </w:r>
          </w:p>
        </w:tc>
        <w:tc>
          <w:tcPr>
            <w:tcW w:w="2364" w:type="dxa"/>
            <w:noWrap w:val="0"/>
            <w:vAlign w:val="center"/>
          </w:tcPr>
          <w:p w14:paraId="690855D9">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《北京市人民防空工程和普通地下室安全使用管理办法》第七条第一款第（二）项</w:t>
            </w:r>
          </w:p>
        </w:tc>
        <w:tc>
          <w:tcPr>
            <w:tcW w:w="1985" w:type="dxa"/>
            <w:vMerge w:val="continue"/>
            <w:noWrap w:val="0"/>
            <w:vAlign w:val="center"/>
          </w:tcPr>
          <w:p w14:paraId="407820CF">
            <w:pPr>
              <w:pStyle w:val="4"/>
              <w:widowControl/>
              <w:spacing w:before="0" w:beforeAutospacing="0" w:after="0" w:afterAutospacing="0" w:line="320" w:lineRule="exact"/>
              <w:jc w:val="both"/>
              <w:rPr>
                <w:rFonts w:eastAsia="仿宋_GB2312"/>
                <w:kern w:val="2"/>
                <w:sz w:val="21"/>
                <w:szCs w:val="21"/>
              </w:rPr>
            </w:pPr>
          </w:p>
        </w:tc>
        <w:tc>
          <w:tcPr>
            <w:tcW w:w="2649" w:type="dxa"/>
            <w:vMerge w:val="continue"/>
            <w:noWrap w:val="0"/>
            <w:vAlign w:val="center"/>
          </w:tcPr>
          <w:p w14:paraId="62A854CB">
            <w:pPr>
              <w:pStyle w:val="4"/>
              <w:widowControl/>
              <w:spacing w:before="0" w:beforeAutospacing="0" w:after="0" w:afterAutospacing="0" w:line="320" w:lineRule="exact"/>
              <w:jc w:val="both"/>
              <w:rPr>
                <w:rFonts w:eastAsia="仿宋_GB2312"/>
                <w:kern w:val="2"/>
                <w:sz w:val="21"/>
                <w:szCs w:val="21"/>
              </w:rPr>
            </w:pPr>
          </w:p>
        </w:tc>
        <w:tc>
          <w:tcPr>
            <w:tcW w:w="1197" w:type="dxa"/>
            <w:vMerge w:val="continue"/>
            <w:noWrap w:val="0"/>
            <w:vAlign w:val="center"/>
          </w:tcPr>
          <w:p w14:paraId="37D0A051">
            <w:pPr>
              <w:pStyle w:val="4"/>
              <w:widowControl/>
              <w:spacing w:before="0" w:beforeAutospacing="0" w:after="0" w:afterAutospacing="0" w:line="320" w:lineRule="exact"/>
              <w:jc w:val="both"/>
              <w:rPr>
                <w:rFonts w:eastAsia="仿宋_GB2312"/>
                <w:kern w:val="2"/>
                <w:sz w:val="21"/>
                <w:szCs w:val="21"/>
              </w:rPr>
            </w:pPr>
          </w:p>
        </w:tc>
      </w:tr>
      <w:tr w14:paraId="4797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17" w:type="dxa"/>
            <w:noWrap w:val="0"/>
            <w:vAlign w:val="center"/>
          </w:tcPr>
          <w:p w14:paraId="4D68D94E">
            <w:pPr>
              <w:pStyle w:val="4"/>
              <w:widowControl/>
              <w:spacing w:before="0" w:beforeAutospacing="0" w:after="0" w:afterAutospacing="0" w:line="320" w:lineRule="exact"/>
              <w:jc w:val="center"/>
              <w:rPr>
                <w:rFonts w:eastAsia="仿宋_GB2312"/>
                <w:kern w:val="2"/>
                <w:sz w:val="21"/>
                <w:szCs w:val="21"/>
              </w:rPr>
            </w:pPr>
            <w:r>
              <w:rPr>
                <w:rFonts w:eastAsia="仿宋_GB2312"/>
                <w:kern w:val="2"/>
                <w:sz w:val="21"/>
                <w:szCs w:val="21"/>
              </w:rPr>
              <w:t>7</w:t>
            </w:r>
          </w:p>
        </w:tc>
        <w:tc>
          <w:tcPr>
            <w:tcW w:w="4137" w:type="dxa"/>
            <w:noWrap w:val="0"/>
            <w:vAlign w:val="center"/>
          </w:tcPr>
          <w:p w14:paraId="605888E8">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出租、使用普通地下室未依法向房管局行政主管部门登记备案</w:t>
            </w:r>
          </w:p>
        </w:tc>
        <w:tc>
          <w:tcPr>
            <w:tcW w:w="2364" w:type="dxa"/>
            <w:noWrap w:val="0"/>
            <w:vAlign w:val="center"/>
          </w:tcPr>
          <w:p w14:paraId="2C3427DE">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《北京市人民防空工程和普通地下室安全使用管理办法》第十五条</w:t>
            </w:r>
          </w:p>
        </w:tc>
        <w:tc>
          <w:tcPr>
            <w:tcW w:w="1985" w:type="dxa"/>
            <w:noWrap w:val="0"/>
            <w:vAlign w:val="center"/>
          </w:tcPr>
          <w:p w14:paraId="2BDC9F52">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《北京市人民防空工程和普通地下室安全使用管理办法》第二十四条</w:t>
            </w:r>
          </w:p>
        </w:tc>
        <w:tc>
          <w:tcPr>
            <w:tcW w:w="2649" w:type="dxa"/>
            <w:noWrap w:val="0"/>
            <w:vAlign w:val="center"/>
          </w:tcPr>
          <w:p w14:paraId="630ECD82">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责令改正，并可对从事经营活动的处1万元以上3万元以下罚款，对从事非经营活动的处500元以上1000元以下罚款</w:t>
            </w:r>
          </w:p>
        </w:tc>
        <w:tc>
          <w:tcPr>
            <w:tcW w:w="1197" w:type="dxa"/>
            <w:noWrap w:val="0"/>
            <w:vAlign w:val="center"/>
          </w:tcPr>
          <w:p w14:paraId="03F68E45">
            <w:pPr>
              <w:pStyle w:val="4"/>
              <w:widowControl/>
              <w:spacing w:before="0" w:beforeAutospacing="0" w:after="0" w:afterAutospacing="0" w:line="320" w:lineRule="exact"/>
              <w:jc w:val="both"/>
              <w:rPr>
                <w:rFonts w:eastAsia="仿宋_GB2312"/>
                <w:kern w:val="2"/>
                <w:sz w:val="21"/>
                <w:szCs w:val="21"/>
              </w:rPr>
            </w:pPr>
            <w:r>
              <w:rPr>
                <w:rFonts w:eastAsia="仿宋_GB2312"/>
                <w:kern w:val="2"/>
                <w:sz w:val="21"/>
                <w:szCs w:val="21"/>
              </w:rPr>
              <w:t>区房管局</w:t>
            </w:r>
          </w:p>
        </w:tc>
      </w:tr>
    </w:tbl>
    <w:p w14:paraId="7332C134">
      <w:pPr>
        <w:pStyle w:val="4"/>
        <w:widowControl/>
        <w:spacing w:before="0" w:beforeAutospacing="0" w:after="0" w:afterAutospacing="0" w:line="56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其他：</w:t>
      </w:r>
    </w:p>
    <w:p w14:paraId="001A8440">
      <w:pPr>
        <w:pStyle w:val="4"/>
        <w:widowControl/>
        <w:spacing w:before="0" w:beforeAutospacing="0" w:after="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Style w:val="7"/>
          <w:rFonts w:hint="eastAsia" w:ascii="仿宋_GB2312" w:hAnsi="仿宋_GB2312" w:eastAsia="仿宋_GB2312" w:cs="仿宋_GB2312"/>
          <w:sz w:val="32"/>
          <w:szCs w:val="32"/>
          <w:shd w:val="clear" w:color="auto" w:fill="FFFFFF"/>
        </w:rPr>
        <w:t>第二十五条</w:t>
      </w:r>
      <w:r>
        <w:rPr>
          <w:rFonts w:hint="eastAsia" w:ascii="仿宋_GB2312" w:hAnsi="仿宋_GB2312" w:eastAsia="仿宋_GB2312" w:cs="仿宋_GB2312"/>
          <w:sz w:val="32"/>
          <w:szCs w:val="32"/>
          <w:shd w:val="clear" w:color="auto" w:fill="FFFFFF"/>
        </w:rPr>
        <w:t>　建设单位未组织竣工验收或者验收不合格，擅自交付使用人民防空工程的，由住房城乡建设行政主管部门按照建设工程质量管理的相关规定予以处罚。</w:t>
      </w:r>
    </w:p>
    <w:p w14:paraId="16D19B46">
      <w:pPr>
        <w:pStyle w:val="4"/>
        <w:widowControl/>
        <w:spacing w:before="0" w:beforeAutospacing="0" w:after="0" w:afterAutospacing="0" w:line="560" w:lineRule="exact"/>
        <w:rPr>
          <w:rFonts w:ascii="仿宋_GB2312" w:hAnsi="仿宋_GB2312" w:eastAsia="仿宋_GB2312" w:cs="仿宋_GB2312"/>
          <w:spacing w:val="-6"/>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pacing w:val="-6"/>
          <w:sz w:val="32"/>
          <w:szCs w:val="32"/>
          <w:shd w:val="clear" w:color="auto" w:fill="FFFFFF"/>
        </w:rPr>
        <w:t>　</w:t>
      </w:r>
      <w:r>
        <w:rPr>
          <w:rStyle w:val="7"/>
          <w:rFonts w:hint="eastAsia" w:ascii="仿宋_GB2312" w:hAnsi="仿宋_GB2312" w:eastAsia="仿宋_GB2312" w:cs="仿宋_GB2312"/>
          <w:spacing w:val="-6"/>
          <w:sz w:val="32"/>
          <w:szCs w:val="32"/>
          <w:shd w:val="clear" w:color="auto" w:fill="FFFFFF"/>
        </w:rPr>
        <w:t>第二十六条</w:t>
      </w:r>
      <w:r>
        <w:rPr>
          <w:rFonts w:hint="eastAsia" w:ascii="仿宋_GB2312" w:hAnsi="仿宋_GB2312" w:eastAsia="仿宋_GB2312" w:cs="仿宋_GB2312"/>
          <w:spacing w:val="-6"/>
          <w:sz w:val="32"/>
          <w:szCs w:val="32"/>
          <w:shd w:val="clear" w:color="auto" w:fill="FFFFFF"/>
        </w:rPr>
        <w:t>　擅自改变规划用途使用地下空间的，由规划和自然资源行政主管部门依法处理。</w:t>
      </w:r>
    </w:p>
    <w:p w14:paraId="6773677C">
      <w:pPr>
        <w:spacing w:line="560" w:lineRule="exact"/>
        <w:rPr>
          <w:rFonts w:ascii="仿宋_GB2312" w:eastAsia="仿宋_GB2312"/>
          <w:sz w:val="32"/>
          <w:szCs w:val="32"/>
        </w:rPr>
      </w:pPr>
    </w:p>
    <w:p w14:paraId="11B376F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GFiM2UyNDZlNjczZDk3NjQzNmE5YTA0N2UwNTIifQ=="/>
  </w:docVars>
  <w:rsids>
    <w:rsidRoot w:val="07F822D6"/>
    <w:rsid w:val="07F822D6"/>
    <w:rsid w:val="09313AA6"/>
    <w:rsid w:val="53C52E14"/>
    <w:rsid w:val="54F17AA0"/>
    <w:rsid w:val="6B8869DD"/>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2024-07-29T01:42:00Z</dcterms:created>
  <dc:creator>名字不重要</dc:creator>
  <cp:lastModifiedBy>名字不重要</cp:lastModifiedBy>
  <dcterms:modified xsi:type="dcterms:W3CDTF">2024-07-29T01:43:01Z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F00B825A00CB4F8A96D7DE16FF6B6B00_11</vt:lpwstr>
  </property>
</Properties>
</file>