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东城区企业上市挂牌专项资金申报指南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2023年-2024年）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东城区关于鼓励企业上市挂牌融资的若干措施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（修订版）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》（东政办发〔2020〕18号）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2021年2月1日起正式实施，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2023年-2024年申报指南内容具体如下：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  <w:t>一、时间范围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项目完成时间为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2023年2月1日-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2024年1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的企业，原则上按照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《东城区关于鼓励企业上市挂牌融资的若干措施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（修订版）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》（东政办发〔2020〕18号）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实施申报。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项目申报清单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（一）企业上市奖励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境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上市发行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）上市受理奖励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奖励标准：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申请国内主板、中小板及创业板首次公开发行股票上市（IPO）的企业，在获得中国证监会出具的申请受理通知书后，企业可申请200万元奖励。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东城区企业上市奖励资金申请表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(2)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(3)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税务登记证，涉税信息查询结果告知书（近三年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(4)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企业与证券公司所签订辅导协议；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(5)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中国证监会出具的申请受理通知书；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或相关审批机构出具的受理通知书；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(6)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近三年度财务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报表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(7)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近五年获得政府奖励清单及说明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(8)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经审核后应补充提交的其他材料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>（2）上市发行奖励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奖励标准：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企业正式在上海证券交易所或深圳证券交易所上市后，企业可另申请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00万元奖励。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东城区企业上市奖励资金申请表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(2)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(3)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税务登记证，涉税信息查询结果告知书（近三年）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(4)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企业与证券公司签订的保荐协议和承销协议；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(5)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中国证监会出具的核准首次公开发行股票的批复；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(6)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企业与证券交易所签订的上市协议；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(7)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企业股票已正式在证券交易所上市的证明文件；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(8)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近三年度财务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报表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(9)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招股说明书、股票发行公告；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(10)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近五年获得政府奖励清单及说明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（11）经审核后应补充提交的其他材料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境外上市奖励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奖励标准：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申请境外市场首次公开发行股票上市（IPO）的企业，给予300万元奖励，并在企业上市后给予拨付。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东城区企业上市奖励资金申请表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(2)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(3)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税务登记证，涉税信息查询结果告知书（近三年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(4)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与证券公司签订的有关协议；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(5)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境外主管部门出具的企业有关发行和上市申请的通知书、备案文件等证明材料；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(6)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近三年度财务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报表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(7)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招股说明书、股票发行公告；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(8)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近五年获得政府奖励清单及说明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(9)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经审核后应补充提交的其他材料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其他说明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申报材料中为外文文本的，需提供具有资质的第三方翻译机构提供的中文译本；翻译机构应在译文文件加盖公章，并声明译文准确无误。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3.转板奖励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奖励标准：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对于从“新三板”转入其他证券市场的企业，参照境内上市的标准（合计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00万元），补齐差额。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“上市发行奖励”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4.中概股回归奖励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奖励标准：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回归主板的区内境外上市企业，参照境内上市的标准，补齐差额（合计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“上市发行奖励”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新三板奖励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企业在新三板成功挂牌的，根据企业综合贡献、行业影响力，入选创新层后最高给予200万元奖励。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(1)《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东城区企业“新三板”奖励资金申请表》；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(2)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(3)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税务登记证，涉税信息查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询结果告知书（近三年）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(4)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企业与证券公司签订的协议；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(5)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全国中小企业股份转让系统出具的同意挂牌的函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(6)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在全国股份转让系统挂牌公开转让的提示性公告；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(7)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近三年度财务</w:t>
      </w:r>
      <w:r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报表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(8)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融资发行公告、股票发行情况报告书、股份登记函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(9)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招股说明书；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(10)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证监会北京局出具的公开发行股票辅导工作的无异议函；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(11)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全国中小企业股份转让系统出具的受理通知书；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(12)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全国中小企业股份转让系统挂牌委员会审议会议结果公告；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(13)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全国中小企业股份转让系统出具的股票发行并在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创新层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挂牌自律监管意见的函；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(14)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中国证监会行政许可申请受理单；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(15)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中国证监会出具的发行股票的批复；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(16)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近五年获得政府奖励清单及说明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(17)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经审核后应补充提交的其他材料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（三）股份制改造奖励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lang w:eastAsia="zh-CN"/>
        </w:rPr>
        <w:t>奖励标准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拟上市的智能金融企业或文化企业，在证券公司、律师事务所、会计师事务所等上市中介机构的辅导下，完成股份制改造并取得股份公司营业执照的，根据企业综合贡献、行业影响力，最高给予100万元奖励。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材料清单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:参照“上市受理奖励”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1679"/>
    <w:rsid w:val="00C35051"/>
    <w:rsid w:val="06CD0E39"/>
    <w:rsid w:val="089D5660"/>
    <w:rsid w:val="0B8D1BEC"/>
    <w:rsid w:val="119B2990"/>
    <w:rsid w:val="148D7CBE"/>
    <w:rsid w:val="1BE56182"/>
    <w:rsid w:val="1D586EF0"/>
    <w:rsid w:val="26350642"/>
    <w:rsid w:val="287521DC"/>
    <w:rsid w:val="291857FC"/>
    <w:rsid w:val="2CD90D23"/>
    <w:rsid w:val="327D2B3F"/>
    <w:rsid w:val="355E32F5"/>
    <w:rsid w:val="38FD0611"/>
    <w:rsid w:val="3C475573"/>
    <w:rsid w:val="3C631AFD"/>
    <w:rsid w:val="3C8D4246"/>
    <w:rsid w:val="413A1088"/>
    <w:rsid w:val="4A7C6D26"/>
    <w:rsid w:val="4B830ECE"/>
    <w:rsid w:val="4C0B387D"/>
    <w:rsid w:val="4C7B5C79"/>
    <w:rsid w:val="4DFC05A7"/>
    <w:rsid w:val="57F41C4E"/>
    <w:rsid w:val="582A5362"/>
    <w:rsid w:val="593649B8"/>
    <w:rsid w:val="5A4474E2"/>
    <w:rsid w:val="5D124BE6"/>
    <w:rsid w:val="60ED136D"/>
    <w:rsid w:val="6D986B3F"/>
    <w:rsid w:val="6DD00440"/>
    <w:rsid w:val="74717E4D"/>
    <w:rsid w:val="773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mustin</dc:creator>
  <cp:lastModifiedBy>黄瑾</cp:lastModifiedBy>
  <cp:lastPrinted>2024-05-08T06:54:42Z</cp:lastPrinted>
  <dcterms:modified xsi:type="dcterms:W3CDTF">2024-05-08T07:01:44Z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