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80" w:lineRule="exact"/>
        <w:rPr>
          <w:sz w:val="80"/>
        </w:rPr>
      </w:pPr>
      <w:r>
        <w:rPr>
          <w:sz w:val="80"/>
        </w:rPr>
        <w:pict>
          <v:group id="_x0000_s1033" o:spid="_x0000_s1033" o:spt="203" style="position:absolute;left:0pt;margin-left:-4.55pt;margin-top:-7.2pt;height:254.15pt;width:450.95pt;z-index:251659264;mso-width-relative:page;mso-height-relative:page;" coordorigin="1497,1784" coordsize="9019,5083">
            <o:lock v:ext="edit"/>
            <v:line id="_x0000_s1030" o:spid="_x0000_s1030" o:spt="20" style="position:absolute;left:1588;top:6867;height:0;width:8826;" stroked="t" coordsize="21600,21600">
              <v:path arrowok="t"/>
              <v:fill focussize="0,0"/>
              <v:stroke weight="2pt" color="#FF0000"/>
              <v:imagedata o:title=""/>
              <o:lock v:ext="edit"/>
            </v:line>
            <v:shape id="_x0000_s1031" o:spid="_x0000_s1031" o:spt="202" type="#_x0000_t202" style="position:absolute;left:1497;top:1784;height:3624;width:9019;" stroked="f" coordsize="21600,21600">
              <v:path/>
              <v:fill focussize="0,0"/>
              <v:stroke on="f" joinstyle="miter"/>
              <v:imagedata o:title=""/>
              <o:lock v:ext="edit"/>
              <v:textbox style="mso-fit-shape-to-text:t;">
                <w:txbxContent>
                  <w:p>
                    <w:pPr>
                      <w:jc w:val="center"/>
                      <w:rPr>
                        <w:rFonts w:ascii="方正小标宋简体" w:eastAsia="方正小标宋简体"/>
                        <w:bCs/>
                        <w:color w:val="FF0000"/>
                        <w:spacing w:val="-6"/>
                        <w:w w:val="68"/>
                        <w:sz w:val="108"/>
                        <w:szCs w:val="108"/>
                      </w:rPr>
                    </w:pPr>
                  </w:p>
                  <w:p>
                    <w:pPr>
                      <w:jc w:val="center"/>
                    </w:pPr>
                    <w:r>
                      <w:rPr>
                        <w:rFonts w:hint="eastAsia" w:ascii="方正小标宋简体" w:eastAsia="方正小标宋简体"/>
                        <w:bCs/>
                        <w:color w:val="FF0000"/>
                        <w:spacing w:val="-6"/>
                        <w:w w:val="68"/>
                        <w:sz w:val="108"/>
                        <w:szCs w:val="108"/>
                      </w:rPr>
                      <w:t>北京市东城区人民政府文件</w:t>
                    </w:r>
                  </w:p>
                </w:txbxContent>
              </v:textbox>
            </v:shape>
          </v:group>
        </w:pict>
      </w:r>
    </w:p>
    <w:p>
      <w:pPr>
        <w:jc w:val="center"/>
        <w:rPr>
          <w:rFonts w:ascii="方正小标宋简体" w:eastAsia="方正小标宋简体"/>
          <w:bCs/>
          <w:color w:val="FF0000"/>
          <w:spacing w:val="-6"/>
          <w:w w:val="68"/>
          <w:sz w:val="108"/>
          <w:szCs w:val="108"/>
        </w:rPr>
      </w:pPr>
      <w:r>
        <w:rPr>
          <w:rFonts w:hint="eastAsia" w:ascii="方正小标宋简体" w:eastAsia="方正小标宋简体"/>
          <w:bCs/>
          <w:color w:val="FF0000"/>
          <w:spacing w:val="-6"/>
          <w:w w:val="68"/>
          <w:sz w:val="108"/>
          <w:szCs w:val="108"/>
        </w:rPr>
        <w:t>北京市东城区人民政府文件</w:t>
      </w:r>
    </w:p>
    <w:p>
      <w:pPr>
        <w:spacing w:line="580" w:lineRule="exact"/>
        <w:rPr>
          <w:rFonts w:ascii="仿宋_GB2312" w:eastAsia="仿宋_GB2312"/>
          <w:sz w:val="32"/>
          <w:szCs w:val="32"/>
        </w:rPr>
      </w:pPr>
    </w:p>
    <w:p>
      <w:pPr>
        <w:spacing w:afterLines="50" w:line="540" w:lineRule="exact"/>
        <w:ind w:left="210" w:leftChars="100" w:right="210" w:rightChars="100"/>
        <w:jc w:val="center"/>
        <w:rPr>
          <w:rFonts w:ascii="楷体_GB2312" w:eastAsia="楷体_GB2312"/>
          <w:sz w:val="32"/>
          <w:szCs w:val="32"/>
        </w:rPr>
      </w:pPr>
      <w:r>
        <w:rPr>
          <w:rFonts w:eastAsia="仿宋_GB2312"/>
          <w:sz w:val="32"/>
          <w:szCs w:val="32"/>
        </w:rPr>
        <w:t>东政</w:t>
      </w:r>
      <w:r>
        <w:rPr>
          <w:rFonts w:hint="eastAsia" w:eastAsia="仿宋_GB2312"/>
          <w:sz w:val="32"/>
          <w:szCs w:val="32"/>
        </w:rPr>
        <w:t>发</w:t>
      </w:r>
      <w:r>
        <w:rPr>
          <w:rFonts w:eastAsia="仿宋_GB2312"/>
          <w:sz w:val="32"/>
          <w:szCs w:val="32"/>
        </w:rPr>
        <w:t>〔20</w:t>
      </w:r>
      <w:r>
        <w:rPr>
          <w:rFonts w:hint="eastAsia" w:eastAsia="仿宋_GB2312"/>
          <w:sz w:val="32"/>
          <w:szCs w:val="32"/>
        </w:rPr>
        <w:t>17</w:t>
      </w:r>
      <w:r>
        <w:rPr>
          <w:rFonts w:eastAsia="仿宋_GB2312"/>
          <w:sz w:val="32"/>
          <w:szCs w:val="32"/>
        </w:rPr>
        <w:t>〕</w:t>
      </w:r>
      <w:r>
        <w:rPr>
          <w:rFonts w:hint="eastAsia" w:eastAsia="仿宋_GB2312"/>
          <w:sz w:val="32"/>
          <w:szCs w:val="32"/>
        </w:rPr>
        <w:t>18</w:t>
      </w:r>
      <w:r>
        <w:rPr>
          <w:rFonts w:eastAsia="仿宋_GB2312"/>
          <w:sz w:val="32"/>
          <w:szCs w:val="32"/>
        </w:rPr>
        <w:t>号</w:t>
      </w:r>
    </w:p>
    <w:p>
      <w:pPr>
        <w:spacing w:line="540" w:lineRule="exact"/>
        <w:rPr>
          <w:rFonts w:eastAsia="仿宋_GB2312"/>
          <w:sz w:val="32"/>
          <w:szCs w:val="32"/>
        </w:rPr>
      </w:pPr>
    </w:p>
    <w:p>
      <w:pPr>
        <w:spacing w:line="520" w:lineRule="exact"/>
        <w:rPr>
          <w:rFonts w:eastAsia="仿宋_GB2312"/>
          <w:sz w:val="32"/>
          <w:szCs w:val="32"/>
        </w:rPr>
      </w:pPr>
    </w:p>
    <w:p>
      <w:pPr>
        <w:spacing w:line="680" w:lineRule="exact"/>
        <w:jc w:val="center"/>
        <w:rPr>
          <w:rFonts w:eastAsia="方正小标宋简体"/>
          <w:sz w:val="44"/>
          <w:szCs w:val="44"/>
        </w:rPr>
      </w:pPr>
      <w:r>
        <w:rPr>
          <w:rFonts w:eastAsia="方正小标宋简体"/>
          <w:sz w:val="44"/>
          <w:szCs w:val="44"/>
        </w:rPr>
        <w:t>北京市东城区人民政府</w:t>
      </w:r>
    </w:p>
    <w:p>
      <w:pPr>
        <w:spacing w:line="68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印发东城区创建北京市食品安全</w:t>
      </w:r>
    </w:p>
    <w:p>
      <w:pPr>
        <w:spacing w:line="680" w:lineRule="exact"/>
        <w:jc w:val="center"/>
        <w:rPr>
          <w:rFonts w:eastAsia="方正小标宋简体"/>
          <w:sz w:val="44"/>
          <w:szCs w:val="44"/>
        </w:rPr>
      </w:pPr>
      <w:r>
        <w:rPr>
          <w:rFonts w:hint="eastAsia" w:eastAsia="方正小标宋简体"/>
          <w:sz w:val="44"/>
          <w:szCs w:val="44"/>
        </w:rPr>
        <w:t>示范区工作方案</w:t>
      </w:r>
      <w:r>
        <w:rPr>
          <w:rFonts w:eastAsia="方正小标宋简体"/>
          <w:sz w:val="44"/>
          <w:szCs w:val="44"/>
        </w:rPr>
        <w:t>的</w:t>
      </w:r>
      <w:r>
        <w:rPr>
          <w:rFonts w:hint="eastAsia" w:eastAsia="方正小标宋简体"/>
          <w:sz w:val="44"/>
          <w:szCs w:val="44"/>
        </w:rPr>
        <w:t>通知</w:t>
      </w:r>
    </w:p>
    <w:p>
      <w:pPr>
        <w:spacing w:line="590" w:lineRule="exact"/>
        <w:rPr>
          <w:rFonts w:eastAsia="仿宋_GB2312"/>
          <w:sz w:val="32"/>
          <w:szCs w:val="32"/>
        </w:rPr>
      </w:pPr>
    </w:p>
    <w:p>
      <w:pPr>
        <w:spacing w:line="590" w:lineRule="exact"/>
        <w:rPr>
          <w:rFonts w:ascii="楷体_GB2312" w:eastAsia="楷体_GB2312"/>
          <w:spacing w:val="-4"/>
          <w:sz w:val="32"/>
          <w:szCs w:val="32"/>
        </w:rPr>
      </w:pPr>
      <w:r>
        <w:rPr>
          <w:rFonts w:hint="eastAsia" w:ascii="楷体_GB2312" w:eastAsia="楷体_GB2312"/>
          <w:spacing w:val="-4"/>
          <w:sz w:val="32"/>
          <w:szCs w:val="32"/>
        </w:rPr>
        <w:t>各街道办事处，区政府各委、办、局，各区属机构：</w:t>
      </w:r>
    </w:p>
    <w:p>
      <w:pPr>
        <w:spacing w:line="590" w:lineRule="exact"/>
        <w:ind w:firstLine="624" w:firstLineChars="200"/>
        <w:rPr>
          <w:rFonts w:ascii="楷体_GB2312" w:eastAsia="楷体_GB2312"/>
          <w:spacing w:val="-4"/>
          <w:sz w:val="32"/>
          <w:szCs w:val="32"/>
        </w:rPr>
      </w:pPr>
      <w:r>
        <w:rPr>
          <w:rFonts w:hint="eastAsia" w:ascii="楷体_GB2312" w:eastAsia="楷体_GB2312"/>
          <w:spacing w:val="-4"/>
          <w:sz w:val="32"/>
          <w:szCs w:val="32"/>
        </w:rPr>
        <w:t>《东城区创建北京市食品安全示范区工作方案》已经</w:t>
      </w:r>
      <w:r>
        <w:rPr>
          <w:rFonts w:hint="eastAsia" w:ascii="楷体_GB2312" w:eastAsia="楷体_GB2312"/>
          <w:spacing w:val="-6"/>
          <w:sz w:val="32"/>
        </w:rPr>
        <w:t>2017年6月7日区政府第18次常务会审议通过。现印发给你们，请结合实际，认真贯彻执行。</w:t>
      </w:r>
    </w:p>
    <w:p>
      <w:pPr>
        <w:spacing w:line="590" w:lineRule="exact"/>
        <w:ind w:firstLine="624" w:firstLineChars="200"/>
        <w:rPr>
          <w:rFonts w:ascii="楷体_GB2312" w:eastAsia="楷体_GB2312"/>
          <w:spacing w:val="-4"/>
          <w:sz w:val="32"/>
          <w:szCs w:val="32"/>
        </w:rPr>
      </w:pPr>
    </w:p>
    <w:p>
      <w:pPr>
        <w:spacing w:line="590" w:lineRule="exact"/>
        <w:ind w:right="1046" w:rightChars="498" w:firstLine="3968" w:firstLineChars="1272"/>
        <w:jc w:val="right"/>
        <w:rPr>
          <w:rFonts w:ascii="楷体_GB2312" w:eastAsia="楷体_GB2312"/>
          <w:spacing w:val="-4"/>
          <w:sz w:val="32"/>
          <w:szCs w:val="32"/>
        </w:rPr>
      </w:pPr>
      <w:r>
        <w:rPr>
          <w:rFonts w:hint="eastAsia" w:ascii="楷体_GB2312" w:eastAsia="楷体_GB2312"/>
          <w:spacing w:val="-4"/>
          <w:sz w:val="32"/>
          <w:szCs w:val="32"/>
        </w:rPr>
        <w:t>北京市东城区人民政府</w:t>
      </w:r>
    </w:p>
    <w:p>
      <w:pPr>
        <w:spacing w:line="590" w:lineRule="exact"/>
        <w:ind w:right="1329" w:rightChars="633"/>
        <w:jc w:val="right"/>
        <w:rPr>
          <w:rFonts w:ascii="楷体_GB2312" w:eastAsia="楷体_GB2312"/>
          <w:spacing w:val="-4"/>
          <w:sz w:val="32"/>
          <w:szCs w:val="32"/>
        </w:rPr>
      </w:pPr>
      <w:r>
        <w:rPr>
          <w:rFonts w:ascii="楷体_GB2312" w:eastAsia="楷体_GB2312"/>
          <w:spacing w:val="-4"/>
          <w:sz w:val="32"/>
          <w:szCs w:val="32"/>
        </w:rPr>
        <w:t>20</w:t>
      </w:r>
      <w:r>
        <w:rPr>
          <w:rFonts w:hint="eastAsia" w:ascii="楷体_GB2312" w:eastAsia="楷体_GB2312"/>
          <w:spacing w:val="-4"/>
          <w:sz w:val="32"/>
          <w:szCs w:val="32"/>
        </w:rPr>
        <w:t>17年6月15日</w:t>
      </w:r>
    </w:p>
    <w:p>
      <w:pPr>
        <w:spacing w:before="217" w:line="560" w:lineRule="exact"/>
        <w:jc w:val="center"/>
        <w:rPr>
          <w:rFonts w:ascii="方正小标宋简体" w:hAnsi="宋体" w:eastAsia="方正小标宋简体"/>
          <w:spacing w:val="-10"/>
          <w:sz w:val="44"/>
          <w:szCs w:val="44"/>
        </w:rPr>
      </w:pPr>
      <w:r>
        <w:rPr>
          <w:rFonts w:ascii="黑体" w:eastAsia="黑体"/>
          <w:spacing w:val="-4"/>
          <w:sz w:val="32"/>
          <w:szCs w:val="32"/>
        </w:rPr>
        <w:br w:type="page"/>
      </w:r>
      <w:r>
        <w:rPr>
          <w:rFonts w:hint="eastAsia" w:ascii="黑体" w:eastAsia="黑体"/>
          <w:spacing w:val="-4"/>
          <w:sz w:val="32"/>
          <w:szCs w:val="32"/>
        </w:rPr>
        <w:t xml:space="preserve"> </w:t>
      </w:r>
      <w:r>
        <w:rPr>
          <w:rFonts w:hint="eastAsia" w:ascii="方正小标宋简体" w:hAnsi="宋体" w:eastAsia="方正小标宋简体"/>
          <w:spacing w:val="-10"/>
          <w:sz w:val="44"/>
          <w:szCs w:val="44"/>
        </w:rPr>
        <w:t>东城区创建北京市食品安全示范区工作方案</w:t>
      </w:r>
    </w:p>
    <w:p>
      <w:pPr>
        <w:pStyle w:val="7"/>
        <w:spacing w:line="590" w:lineRule="exact"/>
        <w:ind w:firstLine="616" w:firstLineChars="200"/>
        <w:rPr>
          <w:rFonts w:ascii="仿宋_GB2312" w:eastAsia="仿宋_GB2312"/>
          <w:spacing w:val="-6"/>
          <w:sz w:val="32"/>
          <w:szCs w:val="32"/>
        </w:rPr>
      </w:pPr>
    </w:p>
    <w:p>
      <w:pPr>
        <w:pStyle w:val="7"/>
        <w:spacing w:line="590" w:lineRule="exact"/>
        <w:ind w:firstLine="616" w:firstLineChars="200"/>
        <w:rPr>
          <w:rFonts w:ascii="仿宋_GB2312" w:hAnsi="宋体" w:eastAsia="仿宋_GB2312" w:cs="宋体"/>
          <w:spacing w:val="-6"/>
          <w:sz w:val="32"/>
          <w:szCs w:val="32"/>
        </w:rPr>
      </w:pPr>
      <w:r>
        <w:rPr>
          <w:rFonts w:hint="eastAsia" w:ascii="仿宋_GB2312" w:eastAsia="仿宋_GB2312"/>
          <w:spacing w:val="-6"/>
          <w:sz w:val="32"/>
          <w:szCs w:val="32"/>
        </w:rPr>
        <w:t>为积极推进东城区创建北京市食品安全示范区工作，进一步提升食品安全保障水平，根</w:t>
      </w:r>
      <w:r>
        <w:rPr>
          <w:rFonts w:hint="eastAsia" w:ascii="仿宋_GB2312" w:hAnsi="宋体" w:eastAsia="仿宋_GB2312" w:cs="宋体"/>
          <w:spacing w:val="-6"/>
          <w:sz w:val="32"/>
          <w:szCs w:val="32"/>
        </w:rPr>
        <w:t>据北京市政府办公厅《</w:t>
      </w:r>
      <w:r>
        <w:rPr>
          <w:rFonts w:hint="eastAsia" w:ascii="仿宋_GB2312" w:eastAsia="仿宋_GB2312"/>
          <w:spacing w:val="-6"/>
          <w:sz w:val="32"/>
          <w:szCs w:val="32"/>
        </w:rPr>
        <w:t>北京市创建国家食品安全城市工作方案</w:t>
      </w:r>
      <w:r>
        <w:rPr>
          <w:rFonts w:hint="eastAsia" w:ascii="仿宋_GB2312" w:hAnsi="宋体" w:eastAsia="仿宋_GB2312" w:cs="宋体"/>
          <w:spacing w:val="-6"/>
          <w:sz w:val="32"/>
          <w:szCs w:val="32"/>
        </w:rPr>
        <w:t>》的要求，结合东城区实际，制定本方案。</w:t>
      </w:r>
    </w:p>
    <w:p>
      <w:pPr>
        <w:pStyle w:val="7"/>
        <w:spacing w:line="590" w:lineRule="exact"/>
        <w:ind w:firstLine="616" w:firstLineChars="200"/>
        <w:rPr>
          <w:rFonts w:ascii="黑体" w:hAnsi="宋体" w:eastAsia="黑体" w:cs="宋体"/>
          <w:spacing w:val="-6"/>
          <w:sz w:val="32"/>
          <w:szCs w:val="32"/>
        </w:rPr>
      </w:pPr>
      <w:r>
        <w:rPr>
          <w:rFonts w:hint="eastAsia" w:ascii="黑体" w:hAnsi="宋体" w:eastAsia="黑体" w:cs="宋体"/>
          <w:spacing w:val="-6"/>
          <w:sz w:val="32"/>
          <w:szCs w:val="32"/>
        </w:rPr>
        <w:t>一、指导思想</w:t>
      </w:r>
    </w:p>
    <w:p>
      <w:pPr>
        <w:pStyle w:val="7"/>
        <w:spacing w:line="59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全面贯彻落实党的十八大、十八届三中、四中、五中、六中全会精神，深入学习贯彻习近平总书记系列讲话和对北京工作的重要指示精神，认真贯彻落实中央经济工作会议、中央城市工作会议精神，牢固树立和贯彻落实创新、协调、绿色、开放、共享的发展理念，牢牢把握首都城市战略定位，以保障和改善民生为出发点，紧紧围绕食品安全群众满意这个中心，推动建立“上下统一、责任明晰，运行高效、保障有力，无缝衔接、全程监管，符合实情、科学合理”的食品安全监管格局和政府、企业、社会齐抓共管的治理体系，进一步提升食品安全保障水平，改善食品安全总体状况，提高群众食品安全满意度，为建设“国际一流的和谐宜居之区”提供有力保障。</w:t>
      </w:r>
    </w:p>
    <w:p>
      <w:pPr>
        <w:pStyle w:val="7"/>
        <w:spacing w:line="590" w:lineRule="exact"/>
        <w:ind w:firstLine="616" w:firstLineChars="200"/>
        <w:rPr>
          <w:rFonts w:ascii="黑体" w:hAnsi="宋体" w:eastAsia="黑体" w:cs="宋体"/>
          <w:spacing w:val="-6"/>
          <w:sz w:val="32"/>
          <w:szCs w:val="32"/>
        </w:rPr>
      </w:pPr>
      <w:r>
        <w:rPr>
          <w:rFonts w:hint="eastAsia" w:ascii="黑体" w:hAnsi="宋体" w:eastAsia="黑体" w:cs="宋体"/>
          <w:spacing w:val="-6"/>
          <w:sz w:val="32"/>
          <w:szCs w:val="32"/>
        </w:rPr>
        <w:t>二、基本原则</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统一部署，政府主导。</w:t>
      </w:r>
      <w:r>
        <w:rPr>
          <w:rFonts w:hint="eastAsia" w:ascii="仿宋_GB2312" w:hAnsi="宋体" w:eastAsia="仿宋_GB2312" w:cs="宋体"/>
          <w:spacing w:val="-6"/>
          <w:sz w:val="32"/>
          <w:szCs w:val="32"/>
        </w:rPr>
        <w:t>区政府统一部署“北京市食品安全示范区”（以下简称：“示范区”）创建工作，区食品药品安全委员会对照国家和北京市食品安全城市创建活动工作方案和标准，结合东城区实际，认真组织实施创建工作。</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以人为本，安全至上。</w:t>
      </w:r>
      <w:r>
        <w:rPr>
          <w:rFonts w:hint="eastAsia" w:ascii="仿宋_GB2312" w:hAnsi="宋体" w:eastAsia="仿宋_GB2312" w:cs="宋体"/>
          <w:spacing w:val="-6"/>
          <w:sz w:val="32"/>
          <w:szCs w:val="32"/>
        </w:rPr>
        <w:t>始终坚持以人为本，将食品安全作为重要民生问题予以高度关注，把社会认可、群众满意作为衡量食品安全工作水平的最终标尺，让群众切实享受到更高水平的食品安全保障。</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健全机制，突出实效。</w:t>
      </w:r>
      <w:r>
        <w:rPr>
          <w:rFonts w:hint="eastAsia" w:ascii="仿宋_GB2312" w:hAnsi="宋体" w:eastAsia="仿宋_GB2312" w:cs="宋体"/>
          <w:spacing w:val="-6"/>
          <w:sz w:val="32"/>
          <w:szCs w:val="32"/>
        </w:rPr>
        <w:t>要以“示范区”创建活动为契机，不断完善政策措施，建立健全无缝隙、全覆盖的监管机制，切实提升东城区食品安全工作水平。</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抓住重点，积极创新。</w:t>
      </w:r>
      <w:r>
        <w:rPr>
          <w:rFonts w:hint="eastAsia" w:ascii="仿宋_GB2312" w:hAnsi="宋体" w:eastAsia="仿宋_GB2312" w:cs="宋体"/>
          <w:spacing w:val="-6"/>
          <w:sz w:val="32"/>
          <w:szCs w:val="32"/>
        </w:rPr>
        <w:t>要紧紧抓住区域食品安全存在的重点难点问题，坚持问题导向，因地制宜，积极创新工作方式、方法，探索形成食品安全监管新模式、新机制和新举措，提高监管效能，有效防范食品安全风险。</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多方协作，社会共治。</w:t>
      </w:r>
      <w:r>
        <w:rPr>
          <w:rFonts w:hint="eastAsia" w:ascii="仿宋_GB2312" w:hAnsi="宋体" w:eastAsia="仿宋_GB2312" w:cs="宋体"/>
          <w:spacing w:val="-6"/>
          <w:sz w:val="32"/>
          <w:szCs w:val="32"/>
        </w:rPr>
        <w:t>充分调动区食品药品安全委员会各成员单位力量和资源，发挥人民团体、群众组织、企事业单位、社会组织、新闻媒体的积极作用，形成全民参与创建的局面，多措并举，多角度、多层次、全方位开展“示范区”创建活动。</w:t>
      </w:r>
    </w:p>
    <w:p>
      <w:pPr>
        <w:pStyle w:val="7"/>
        <w:spacing w:line="590" w:lineRule="exact"/>
        <w:ind w:firstLine="616" w:firstLineChars="200"/>
        <w:rPr>
          <w:rFonts w:ascii="仿宋_GB2312" w:hAnsi="仿宋_GB2312" w:eastAsia="仿宋_GB2312" w:cs="仿宋_GB2312"/>
          <w:spacing w:val="-6"/>
          <w:sz w:val="32"/>
          <w:szCs w:val="32"/>
        </w:rPr>
      </w:pPr>
      <w:r>
        <w:rPr>
          <w:rFonts w:hint="eastAsia" w:ascii="黑体" w:hAnsi="宋体" w:eastAsia="黑体" w:cs="宋体"/>
          <w:spacing w:val="-6"/>
          <w:sz w:val="32"/>
          <w:szCs w:val="32"/>
        </w:rPr>
        <w:t>三、创建目标</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（一）食品安全状况持续良好。</w:t>
      </w:r>
      <w:r>
        <w:rPr>
          <w:rFonts w:hint="eastAsia" w:ascii="仿宋_GB2312" w:hAnsi="宋体" w:eastAsia="仿宋_GB2312" w:cs="宋体"/>
          <w:spacing w:val="-6"/>
          <w:sz w:val="32"/>
          <w:szCs w:val="32"/>
        </w:rPr>
        <w:t>重点食品安全监测抽检合格率达到</w:t>
      </w:r>
      <w:r>
        <w:rPr>
          <w:rFonts w:ascii="仿宋_GB2312" w:hAnsi="宋体" w:eastAsia="仿宋_GB2312" w:cs="宋体"/>
          <w:spacing w:val="-6"/>
          <w:sz w:val="32"/>
          <w:szCs w:val="32"/>
        </w:rPr>
        <w:t>98%以上，不发生重大食品安全事故或影响恶劣的食品安全事件，群众对食品安全总体满意度达到70%以上。</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（二）食品安全监管责任落实到位。</w:t>
      </w:r>
      <w:r>
        <w:rPr>
          <w:rFonts w:hint="eastAsia" w:ascii="仿宋_GB2312" w:hAnsi="宋体" w:eastAsia="仿宋_GB2312" w:cs="宋体"/>
          <w:spacing w:val="-6"/>
          <w:sz w:val="32"/>
          <w:szCs w:val="32"/>
        </w:rPr>
        <w:t>将食品安全工作纳入国民经济和社会发展规划，出台食品药品安全三年行动计划。纳入区政府年度绩效考评范围，以及领导班子、领导干部实绩考核范围。严格落实属地政府食品安全监管责任，食品安全监管所需的人、财、物投入得到有效保障。</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（三）食品安全治理有效。</w:t>
      </w:r>
      <w:r>
        <w:rPr>
          <w:rFonts w:hint="eastAsia" w:ascii="仿宋_GB2312" w:hAnsi="宋体" w:eastAsia="仿宋_GB2312" w:cs="宋体"/>
          <w:spacing w:val="-6"/>
          <w:sz w:val="32"/>
          <w:szCs w:val="32"/>
        </w:rPr>
        <w:t>健全食品安全全程监管机制，监督执法检查实现全面覆盖，应急处置及时高效。食品安全整治成效显著，有效治理无照无证餐饮单位，及时解决行业共性隐患问题，有力打击违法犯罪行为。确保重大活动食品安全。</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（四）社会共治格局基本形成。</w:t>
      </w:r>
      <w:r>
        <w:rPr>
          <w:rFonts w:hint="eastAsia" w:ascii="仿宋_GB2312" w:hAnsi="宋体" w:eastAsia="仿宋_GB2312" w:cs="宋体"/>
          <w:spacing w:val="-6"/>
          <w:sz w:val="32"/>
          <w:szCs w:val="32"/>
        </w:rPr>
        <w:t>健全食品安全诚信体系，畅通社会监督渠道，完善风险交流机制。群众对食品安全科普知识认知水平较高，对创建“示范区”工作普遍知晓并广泛支持。</w:t>
      </w:r>
    </w:p>
    <w:p>
      <w:pPr>
        <w:spacing w:line="590" w:lineRule="exact"/>
        <w:ind w:firstLine="616" w:firstLineChars="200"/>
        <w:rPr>
          <w:rFonts w:ascii="黑体" w:hAnsi="黑体" w:eastAsia="黑体" w:cs="宋体"/>
          <w:spacing w:val="-6"/>
          <w:sz w:val="32"/>
          <w:szCs w:val="32"/>
        </w:rPr>
      </w:pPr>
      <w:r>
        <w:rPr>
          <w:rFonts w:hint="eastAsia" w:ascii="黑体" w:hAnsi="黑体" w:eastAsia="黑体" w:cs="宋体"/>
          <w:spacing w:val="-6"/>
          <w:sz w:val="32"/>
          <w:szCs w:val="32"/>
        </w:rPr>
        <w:t>四、创建重点任务及措施</w:t>
      </w:r>
    </w:p>
    <w:p>
      <w:pPr>
        <w:spacing w:line="590" w:lineRule="exact"/>
        <w:ind w:firstLine="616" w:firstLineChars="200"/>
        <w:rPr>
          <w:rFonts w:ascii="楷体_GB2312" w:hAnsi="宋体" w:eastAsia="楷体_GB2312" w:cs="宋体"/>
          <w:spacing w:val="-6"/>
          <w:sz w:val="32"/>
          <w:szCs w:val="32"/>
        </w:rPr>
      </w:pPr>
      <w:r>
        <w:rPr>
          <w:rFonts w:hint="eastAsia" w:ascii="楷体_GB2312" w:hAnsi="宋体" w:eastAsia="楷体_GB2312" w:cs="宋体"/>
          <w:spacing w:val="-6"/>
          <w:sz w:val="32"/>
          <w:szCs w:val="32"/>
        </w:rPr>
        <w:t>（一）强化食品安全源头管控</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1.建立实施区域联动协作机制。积极参与京津</w:t>
      </w:r>
      <w:r>
        <w:rPr>
          <w:rFonts w:hint="eastAsia" w:ascii="仿宋_GB2312" w:hAnsi="宋体" w:eastAsia="仿宋_GB2312" w:cs="宋体"/>
          <w:spacing w:val="-6"/>
          <w:sz w:val="32"/>
          <w:szCs w:val="32"/>
        </w:rPr>
        <w:t>冀及其他省（区市）区域联动机制建设。贯彻实施食用农产品产销衔接机制，落实商场农畜产品协议准入制度、索证索票制度，实现食用农产品源头可追溯。</w:t>
      </w:r>
      <w:r>
        <w:rPr>
          <w:rFonts w:ascii="仿宋_GB2312" w:hAnsi="宋体" w:eastAsia="仿宋_GB2312" w:cs="宋体"/>
          <w:spacing w:val="-6"/>
          <w:sz w:val="32"/>
          <w:szCs w:val="32"/>
        </w:rPr>
        <w:t xml:space="preserve"> </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2.规范集中交易市场管理。市场主办方建立并严格实施食品市场准入、不合格</w:t>
      </w:r>
      <w:r>
        <w:rPr>
          <w:rFonts w:hint="eastAsia" w:ascii="仿宋_GB2312" w:hAnsi="宋体" w:eastAsia="仿宋_GB2312" w:cs="宋体"/>
          <w:spacing w:val="-6"/>
          <w:sz w:val="32"/>
          <w:szCs w:val="32"/>
        </w:rPr>
        <w:t>食品</w:t>
      </w:r>
      <w:r>
        <w:rPr>
          <w:rFonts w:ascii="仿宋_GB2312" w:hAnsi="宋体" w:eastAsia="仿宋_GB2312" w:cs="宋体"/>
          <w:spacing w:val="-6"/>
          <w:sz w:val="32"/>
          <w:szCs w:val="32"/>
        </w:rPr>
        <w:t>退市、进货检查验收</w:t>
      </w:r>
      <w:r>
        <w:rPr>
          <w:rFonts w:hint="eastAsia" w:ascii="仿宋_GB2312" w:hAnsi="宋体" w:eastAsia="仿宋_GB2312" w:cs="宋体"/>
          <w:spacing w:val="-6"/>
          <w:sz w:val="32"/>
          <w:szCs w:val="32"/>
        </w:rPr>
        <w:t>以及</w:t>
      </w:r>
      <w:r>
        <w:rPr>
          <w:rFonts w:ascii="仿宋_GB2312" w:hAnsi="宋体" w:eastAsia="仿宋_GB2312" w:cs="宋体"/>
          <w:spacing w:val="-6"/>
          <w:sz w:val="32"/>
          <w:szCs w:val="32"/>
        </w:rPr>
        <w:t>违法</w:t>
      </w:r>
      <w:r>
        <w:rPr>
          <w:rFonts w:hint="eastAsia" w:ascii="仿宋_GB2312" w:hAnsi="宋体" w:eastAsia="仿宋_GB2312" w:cs="宋体"/>
          <w:spacing w:val="-6"/>
          <w:sz w:val="32"/>
          <w:szCs w:val="32"/>
        </w:rPr>
        <w:t>经营</w:t>
      </w:r>
      <w:r>
        <w:rPr>
          <w:rFonts w:ascii="仿宋_GB2312" w:hAnsi="宋体" w:eastAsia="仿宋_GB2312" w:cs="宋体"/>
          <w:spacing w:val="-6"/>
          <w:sz w:val="32"/>
          <w:szCs w:val="32"/>
        </w:rPr>
        <w:t>行为信息</w:t>
      </w:r>
      <w:r>
        <w:rPr>
          <w:rFonts w:hint="eastAsia" w:ascii="仿宋_GB2312" w:hAnsi="宋体" w:eastAsia="仿宋_GB2312" w:cs="宋体"/>
          <w:spacing w:val="-6"/>
          <w:sz w:val="32"/>
          <w:szCs w:val="32"/>
        </w:rPr>
        <w:t>通报、信息</w:t>
      </w:r>
      <w:r>
        <w:rPr>
          <w:rFonts w:ascii="仿宋_GB2312" w:hAnsi="宋体" w:eastAsia="仿宋_GB2312" w:cs="宋体"/>
          <w:spacing w:val="-6"/>
          <w:sz w:val="32"/>
          <w:szCs w:val="32"/>
        </w:rPr>
        <w:t>公示</w:t>
      </w:r>
      <w:r>
        <w:rPr>
          <w:rFonts w:hint="eastAsia" w:ascii="仿宋_GB2312" w:hAnsi="宋体" w:eastAsia="仿宋_GB2312" w:cs="宋体"/>
          <w:spacing w:val="-6"/>
          <w:sz w:val="32"/>
          <w:szCs w:val="32"/>
        </w:rPr>
        <w:t>制度；配备食品安全管理人员，与入场销售者签订食品安全保障协议。</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3.持续打击无照无证餐饮。对无照无证餐饮单位进行分类治理，坚决打击和取缔非法餐饮单位，实现动态清零。</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4.有效处理餐厨废弃物。建立</w:t>
      </w:r>
      <w:r>
        <w:rPr>
          <w:rFonts w:hint="eastAsia" w:ascii="仿宋_GB2312" w:hAnsi="宋体" w:eastAsia="仿宋_GB2312" w:cs="宋体"/>
          <w:spacing w:val="-6"/>
          <w:sz w:val="32"/>
          <w:szCs w:val="32"/>
        </w:rPr>
        <w:t>辖区餐饮单位</w:t>
      </w:r>
      <w:r>
        <w:rPr>
          <w:rFonts w:ascii="仿宋_GB2312" w:hAnsi="宋体" w:eastAsia="仿宋_GB2312" w:cs="宋体"/>
          <w:spacing w:val="-6"/>
          <w:sz w:val="32"/>
          <w:szCs w:val="32"/>
        </w:rPr>
        <w:t>餐厨垃圾和废弃油脂统计台账</w:t>
      </w:r>
      <w:r>
        <w:rPr>
          <w:rFonts w:hint="eastAsia" w:ascii="仿宋_GB2312" w:hAnsi="宋体" w:eastAsia="仿宋_GB2312" w:cs="宋体"/>
          <w:spacing w:val="-6"/>
          <w:sz w:val="32"/>
          <w:szCs w:val="32"/>
        </w:rPr>
        <w:t>，餐饮单位单独收集餐厨垃圾，并委托有资质的收运单位运至符合规定的处理</w:t>
      </w:r>
      <w:r>
        <w:rPr>
          <w:rFonts w:ascii="仿宋_GB2312" w:hAnsi="宋体" w:eastAsia="仿宋_GB2312" w:cs="宋体"/>
          <w:spacing w:val="-6"/>
          <w:sz w:val="32"/>
          <w:szCs w:val="32"/>
        </w:rPr>
        <w:t>设施进行处理</w:t>
      </w:r>
      <w:r>
        <w:rPr>
          <w:rFonts w:hint="eastAsia" w:ascii="仿宋_GB2312" w:hAnsi="宋体" w:eastAsia="仿宋_GB2312" w:cs="宋体"/>
          <w:spacing w:val="-6"/>
          <w:sz w:val="32"/>
          <w:szCs w:val="32"/>
        </w:rPr>
        <w:t>，避免餐厨废弃物以“地沟油”等形式回流餐桌案件的发生。</w:t>
      </w:r>
    </w:p>
    <w:p>
      <w:pPr>
        <w:spacing w:line="590" w:lineRule="exact"/>
        <w:ind w:firstLine="616" w:firstLineChars="200"/>
        <w:rPr>
          <w:rFonts w:ascii="楷体_GB2312" w:hAnsi="宋体" w:eastAsia="楷体_GB2312" w:cs="宋体"/>
          <w:spacing w:val="-6"/>
          <w:sz w:val="32"/>
          <w:szCs w:val="32"/>
        </w:rPr>
      </w:pPr>
      <w:r>
        <w:rPr>
          <w:rFonts w:hint="eastAsia" w:ascii="楷体_GB2312" w:hAnsi="宋体" w:eastAsia="楷体_GB2312" w:cs="宋体"/>
          <w:spacing w:val="-6"/>
          <w:sz w:val="32"/>
          <w:szCs w:val="32"/>
        </w:rPr>
        <w:t>（二）实现监督执法检查全面覆盖</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1.加强日常监督检查。深化分级管理，根据风险分类等级对各类监管对象进行合</w:t>
      </w:r>
      <w:r>
        <w:rPr>
          <w:rFonts w:hint="eastAsia" w:ascii="仿宋_GB2312" w:hAnsi="宋体" w:eastAsia="仿宋_GB2312" w:cs="宋体"/>
          <w:spacing w:val="-6"/>
          <w:sz w:val="32"/>
          <w:szCs w:val="32"/>
        </w:rPr>
        <w:t>规性检查、有因检查、飞行检查，实现现场检查标准化、监管信息公开化和监管内容全覆盖。</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2.健全风险防控体系。通过明查暗访、投诉举报、风险监测、监</w:t>
      </w:r>
      <w:r>
        <w:rPr>
          <w:rFonts w:hint="eastAsia" w:ascii="仿宋_GB2312" w:hAnsi="宋体" w:eastAsia="仿宋_GB2312" w:cs="宋体"/>
          <w:spacing w:val="-6"/>
          <w:sz w:val="32"/>
          <w:szCs w:val="32"/>
        </w:rPr>
        <w:t>督</w:t>
      </w:r>
      <w:r>
        <w:rPr>
          <w:rFonts w:ascii="仿宋_GB2312" w:hAnsi="宋体" w:eastAsia="仿宋_GB2312" w:cs="宋体"/>
          <w:spacing w:val="-6"/>
          <w:sz w:val="32"/>
          <w:szCs w:val="32"/>
        </w:rPr>
        <w:t>抽检</w:t>
      </w:r>
      <w:r>
        <w:rPr>
          <w:rFonts w:hint="eastAsia" w:ascii="仿宋_GB2312" w:hAnsi="宋体" w:eastAsia="仿宋_GB2312" w:cs="宋体"/>
          <w:spacing w:val="-6"/>
          <w:sz w:val="32"/>
          <w:szCs w:val="32"/>
        </w:rPr>
        <w:t>等各种手段，主动发现排查并及时处置非法添加、制假售假等危害食品安全的行业共性隐患问题。</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3.强化食品安全专项整治。在交通枢纽、旅游景区、学校周边等重点地区，加强对食品生产经营者的监督检查，加大对食用农产品、畜禽水产品、传统特色食品、乳制品、儿童食品等品种以及关键项目的监督抽检频次，确保重点地区和重点品种的食品安全。</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4.推行“阳光餐饮”。在全区餐饮单位推进“阳光餐饮”工程，要求餐饮服务企业公示经营资质、量化等级、从业人员、食品原料来源等信息，推动后厨</w:t>
      </w:r>
      <w:r>
        <w:rPr>
          <w:rFonts w:hint="eastAsia" w:ascii="仿宋_GB2312" w:hAnsi="宋体" w:eastAsia="仿宋_GB2312" w:cs="宋体"/>
          <w:spacing w:val="-6"/>
          <w:sz w:val="32"/>
          <w:szCs w:val="32"/>
        </w:rPr>
        <w:t>食材加工过程的公开，建设“透明厨房”、“视频厨房”和“网络厨房”。</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5.创建“放心肉菜示范超市”。严格落实超市食品安全主体责任，对肉品、蔬菜、蛋品、水产品、水果等食用农产品实行源头严防、过程严管、风险严控，依法加强监督检查和监督抽验，定期公布检测结果，强化社会监督，着力打造一批示范超市，通过示范引领作用，推动食用农产品各环节的食品安全管理，提升食用农产品质量安全水平。</w:t>
      </w:r>
    </w:p>
    <w:p>
      <w:pPr>
        <w:spacing w:line="59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 xml:space="preserve">6.加快便民早餐服务体系建设。2017年底，全区新建或改造符合相关标准的早餐规范店达10家以上。在此基础上，向社会公布早餐网点目录，方便市民消费，同时推动早餐网点统一配送业务开展。 </w:t>
      </w:r>
    </w:p>
    <w:p>
      <w:pPr>
        <w:spacing w:line="59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7.打击流动食品摊贩。强化对流动无照食品摊贩的监管，减少群众的投诉举报数量。</w:t>
      </w:r>
    </w:p>
    <w:p>
      <w:pPr>
        <w:spacing w:line="59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8.加强对报刊亭食品的监管，打击无证经营和超范围经营的行为。</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9.提升应急处置能力。健全食品安全应急处置体系、应急预案，定期开展应急演练。对各类食品安全突发事件及时报告，迅速反应，</w:t>
      </w:r>
      <w:r>
        <w:rPr>
          <w:rFonts w:hint="eastAsia" w:ascii="仿宋_GB2312" w:hAnsi="宋体" w:eastAsia="仿宋_GB2312" w:cs="宋体"/>
          <w:spacing w:val="-6"/>
          <w:sz w:val="32"/>
          <w:szCs w:val="32"/>
        </w:rPr>
        <w:t>妥善处置。</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10.确保重大活动食品安全。建立完善食品安全保障机制，严格落实重大活动食品安全</w:t>
      </w:r>
      <w:r>
        <w:rPr>
          <w:rFonts w:hint="eastAsia" w:ascii="仿宋_GB2312" w:hAnsi="宋体" w:eastAsia="仿宋_GB2312" w:cs="宋体"/>
          <w:spacing w:val="-6"/>
          <w:sz w:val="32"/>
          <w:szCs w:val="32"/>
        </w:rPr>
        <w:t>保障</w:t>
      </w:r>
      <w:r>
        <w:rPr>
          <w:rFonts w:ascii="仿宋_GB2312" w:hAnsi="宋体" w:eastAsia="仿宋_GB2312" w:cs="宋体"/>
          <w:spacing w:val="-6"/>
          <w:sz w:val="32"/>
          <w:szCs w:val="32"/>
        </w:rPr>
        <w:t>工作方案，</w:t>
      </w:r>
      <w:r>
        <w:rPr>
          <w:rFonts w:hint="eastAsia" w:ascii="仿宋_GB2312" w:hAnsi="宋体" w:eastAsia="仿宋_GB2312" w:cs="宋体"/>
          <w:spacing w:val="-6"/>
          <w:sz w:val="32"/>
          <w:szCs w:val="32"/>
        </w:rPr>
        <w:t>确保在辖区举办的重大活动不发生重大食品安全事件。</w:t>
      </w:r>
    </w:p>
    <w:p>
      <w:pPr>
        <w:spacing w:line="590" w:lineRule="exact"/>
        <w:ind w:firstLine="616" w:firstLineChars="200"/>
        <w:rPr>
          <w:rFonts w:ascii="楷体_GB2312" w:hAnsi="宋体" w:eastAsia="楷体_GB2312" w:cs="宋体"/>
          <w:spacing w:val="-6"/>
          <w:sz w:val="32"/>
          <w:szCs w:val="32"/>
        </w:rPr>
      </w:pPr>
      <w:r>
        <w:rPr>
          <w:rFonts w:hint="eastAsia" w:ascii="楷体_GB2312" w:hAnsi="宋体" w:eastAsia="楷体_GB2312" w:cs="宋体"/>
          <w:spacing w:val="-6"/>
          <w:sz w:val="32"/>
          <w:szCs w:val="32"/>
        </w:rPr>
        <w:t>（三）全力打击食品安全违法犯罪行为</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1.及时处置违法案件。认真核查食品安全</w:t>
      </w:r>
      <w:r>
        <w:rPr>
          <w:rFonts w:hint="eastAsia" w:ascii="仿宋_GB2312" w:hAnsi="宋体" w:eastAsia="仿宋_GB2312" w:cs="宋体"/>
          <w:spacing w:val="-6"/>
          <w:sz w:val="32"/>
          <w:szCs w:val="32"/>
        </w:rPr>
        <w:t>投诉举报信息，对发现的违法行为及时转立案处理。对辖区发现或外区域通报的违法行为和问题食品，及时、全面开展上下游溯源追查，产品召回、和问题食品销毁，涉嫌犯罪的及时移交公安机关。</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2.强化行政执法与刑事司法有效衔接。建立联席会议制度，共享信息，移送的食品</w:t>
      </w:r>
      <w:r>
        <w:rPr>
          <w:rFonts w:hint="eastAsia" w:ascii="仿宋_GB2312" w:hAnsi="宋体" w:eastAsia="仿宋_GB2312" w:cs="宋体"/>
          <w:spacing w:val="-6"/>
          <w:sz w:val="32"/>
          <w:szCs w:val="32"/>
        </w:rPr>
        <w:t>安全涉刑案件公安司法机关要及时审查、立案侦查，确保</w:t>
      </w:r>
      <w:r>
        <w:rPr>
          <w:rFonts w:ascii="仿宋_GB2312" w:hAnsi="宋体" w:eastAsia="仿宋_GB2312" w:cs="宋体"/>
          <w:spacing w:val="-6"/>
          <w:sz w:val="32"/>
          <w:szCs w:val="32"/>
        </w:rPr>
        <w:t>食品安全大要案</w:t>
      </w:r>
      <w:r>
        <w:rPr>
          <w:rFonts w:hint="eastAsia" w:ascii="仿宋_GB2312" w:hAnsi="宋体" w:eastAsia="仿宋_GB2312" w:cs="宋体"/>
          <w:spacing w:val="-6"/>
          <w:sz w:val="32"/>
          <w:szCs w:val="32"/>
        </w:rPr>
        <w:t>件</w:t>
      </w:r>
      <w:r>
        <w:rPr>
          <w:rFonts w:ascii="仿宋_GB2312" w:hAnsi="宋体" w:eastAsia="仿宋_GB2312" w:cs="宋体"/>
          <w:spacing w:val="-6"/>
          <w:sz w:val="32"/>
          <w:szCs w:val="32"/>
        </w:rPr>
        <w:t>得到及时</w:t>
      </w:r>
      <w:r>
        <w:rPr>
          <w:rFonts w:hint="eastAsia" w:ascii="仿宋_GB2312" w:hAnsi="宋体" w:eastAsia="仿宋_GB2312" w:cs="宋体"/>
          <w:spacing w:val="-6"/>
          <w:sz w:val="32"/>
          <w:szCs w:val="32"/>
        </w:rPr>
        <w:t>查</w:t>
      </w:r>
      <w:r>
        <w:rPr>
          <w:rFonts w:ascii="仿宋_GB2312" w:hAnsi="宋体" w:eastAsia="仿宋_GB2312" w:cs="宋体"/>
          <w:spacing w:val="-6"/>
          <w:sz w:val="32"/>
          <w:szCs w:val="32"/>
        </w:rPr>
        <w:t>处</w:t>
      </w:r>
      <w:r>
        <w:rPr>
          <w:rFonts w:hint="eastAsia" w:ascii="仿宋_GB2312" w:hAnsi="宋体" w:eastAsia="仿宋_GB2312" w:cs="宋体"/>
          <w:spacing w:val="-6"/>
          <w:sz w:val="32"/>
          <w:szCs w:val="32"/>
        </w:rPr>
        <w:t>。</w:t>
      </w:r>
    </w:p>
    <w:p>
      <w:pPr>
        <w:spacing w:line="590" w:lineRule="exact"/>
        <w:ind w:firstLine="616" w:firstLineChars="200"/>
        <w:rPr>
          <w:rFonts w:ascii="楷体_GB2312" w:hAnsi="宋体" w:eastAsia="楷体_GB2312" w:cs="宋体"/>
          <w:spacing w:val="-6"/>
          <w:sz w:val="32"/>
          <w:szCs w:val="32"/>
        </w:rPr>
      </w:pPr>
      <w:r>
        <w:rPr>
          <w:rFonts w:hint="eastAsia" w:ascii="楷体_GB2312" w:hAnsi="宋体" w:eastAsia="楷体_GB2312" w:cs="宋体"/>
          <w:spacing w:val="-6"/>
          <w:sz w:val="32"/>
          <w:szCs w:val="32"/>
        </w:rPr>
        <w:t>（四）确保企业主体责任落实到位</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1.严格落实良好行为规范。规模以上食品生产企业普遍推广良好生产规范（GMP）</w:t>
      </w:r>
      <w:r>
        <w:rPr>
          <w:rFonts w:hint="eastAsia" w:ascii="仿宋_GB2312" w:hAnsi="宋体" w:eastAsia="仿宋_GB2312" w:cs="宋体"/>
          <w:spacing w:val="-6"/>
          <w:sz w:val="32"/>
          <w:szCs w:val="32"/>
        </w:rPr>
        <w:t>、危害分析与关键控制点体系（</w:t>
      </w:r>
      <w:r>
        <w:rPr>
          <w:rFonts w:ascii="仿宋_GB2312" w:hAnsi="宋体" w:eastAsia="仿宋_GB2312" w:cs="宋体"/>
          <w:spacing w:val="-6"/>
          <w:sz w:val="32"/>
          <w:szCs w:val="32"/>
        </w:rPr>
        <w:t>HACCP）或食品安全管理体系（ISO 22000）等食品安全管理体系，食品生产质量管理水</w:t>
      </w:r>
      <w:r>
        <w:rPr>
          <w:rFonts w:hint="eastAsia" w:ascii="仿宋_GB2312" w:hAnsi="宋体" w:eastAsia="仿宋_GB2312" w:cs="宋体"/>
          <w:spacing w:val="-6"/>
          <w:sz w:val="32"/>
          <w:szCs w:val="32"/>
        </w:rPr>
        <w:t>平</w:t>
      </w:r>
      <w:r>
        <w:rPr>
          <w:rFonts w:ascii="仿宋_GB2312" w:hAnsi="宋体" w:eastAsia="仿宋_GB2312" w:cs="宋体"/>
          <w:spacing w:val="-6"/>
          <w:sz w:val="32"/>
          <w:szCs w:val="32"/>
        </w:rPr>
        <w:t>有较大提升。</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2.食品安全追溯责任落实到位。食品生产经营者全部依法建立并执行食品生产、销售、进货查验、出厂检验等各项记录制度，能够通过记录和查验有效实现追溯。鼓励企业采用信息化手段采集、留存生产经营信息。</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3.健全从业人员管理制度。食品生产经营企业建立并严格执行从业人员健康管理制度，从事接触直接入口食品工作的从业人员依法持健康</w:t>
      </w:r>
      <w:r>
        <w:rPr>
          <w:rFonts w:hint="eastAsia" w:ascii="仿宋_GB2312" w:hAnsi="宋体" w:eastAsia="仿宋_GB2312" w:cs="宋体"/>
          <w:spacing w:val="-6"/>
          <w:sz w:val="32"/>
          <w:szCs w:val="32"/>
        </w:rPr>
        <w:t>证明上岗工作。食品生产经营企业依法配备食品安全管理人员或食品安全技术人员，培训考核合格后上岗工作。规模以上食品生产经营企业设置食品安全管理机构，明确分管负责人。食品生产经营企业负责人、食品安全管理人员每年接受食品安全培训。</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4.问题食品及时依法召回。对不符合食品安全标准的、有证据证明可能危害人体健康的已经上市销售的食品，依法立即召回并停止生产。停止生产经营和召回情况记录完整，有据可查。被召回的食品全部依法采取无害化处理和销毁。</w:t>
      </w:r>
    </w:p>
    <w:p>
      <w:pPr>
        <w:spacing w:line="590" w:lineRule="exact"/>
        <w:ind w:firstLine="616" w:firstLineChars="200"/>
        <w:rPr>
          <w:rFonts w:ascii="楷体_GB2312" w:hAnsi="宋体" w:eastAsia="楷体_GB2312" w:cs="宋体"/>
          <w:spacing w:val="-6"/>
          <w:sz w:val="32"/>
          <w:szCs w:val="32"/>
        </w:rPr>
      </w:pPr>
      <w:r>
        <w:rPr>
          <w:rFonts w:hint="eastAsia" w:ascii="楷体_GB2312" w:hAnsi="宋体" w:eastAsia="楷体_GB2312" w:cs="宋体"/>
          <w:spacing w:val="-6"/>
          <w:sz w:val="32"/>
          <w:szCs w:val="32"/>
        </w:rPr>
        <w:t>（五）深化社会共治格局</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1.高效处理投诉举报。统一投诉举报电话，及时受理投诉举报，按时回复率达到100%。设立专项资金，实施有奖举报，对符合条件的及时兑现奖金。</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2.加强宣传发动。充分利用新旧媒体（办好</w:t>
      </w:r>
      <w:r>
        <w:rPr>
          <w:rFonts w:hint="eastAsia" w:ascii="仿宋_GB2312" w:hAnsi="宋体" w:eastAsia="仿宋_GB2312" w:cs="宋体"/>
          <w:spacing w:val="-6"/>
          <w:sz w:val="32"/>
          <w:szCs w:val="32"/>
        </w:rPr>
        <w:t>微博微信和多个专栏），利用多种宣传模式（讲座式、体验式、捆绑式、互动式、合作式），做好</w:t>
      </w:r>
      <w:r>
        <w:rPr>
          <w:rFonts w:ascii="仿宋_GB2312" w:hAnsi="宋体" w:eastAsia="仿宋_GB2312" w:cs="宋体"/>
          <w:spacing w:val="-6"/>
          <w:sz w:val="32"/>
          <w:szCs w:val="32"/>
        </w:rPr>
        <w:t>2项主题活动（食品安全周、药品安全月），打造3大宣传品牌（食品药品安全科普展、中小学生科普大讲堂、市民健康教育计划），通过多种形式开展针对性的宣传，使群众</w:t>
      </w:r>
      <w:r>
        <w:rPr>
          <w:rFonts w:hint="eastAsia" w:ascii="仿宋_GB2312" w:hAnsi="宋体" w:eastAsia="仿宋_GB2312" w:cs="宋体"/>
          <w:spacing w:val="-6"/>
          <w:sz w:val="32"/>
          <w:szCs w:val="32"/>
        </w:rPr>
        <w:t>对创区活动的知晓率达到</w:t>
      </w:r>
      <w:r>
        <w:rPr>
          <w:rFonts w:ascii="仿宋_GB2312" w:hAnsi="宋体" w:eastAsia="仿宋_GB2312" w:cs="宋体"/>
          <w:spacing w:val="-6"/>
          <w:sz w:val="32"/>
          <w:szCs w:val="32"/>
        </w:rPr>
        <w:t>70%以上。</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3.拓展社会监督。大力扶持社区志愿者队伍，不断提升食品药品安全信息员的专业素养；发挥行业协会桥梁纽带作用</w:t>
      </w:r>
      <w:r>
        <w:rPr>
          <w:rFonts w:hint="eastAsia" w:ascii="仿宋_GB2312" w:hAnsi="宋体" w:eastAsia="仿宋_GB2312" w:cs="宋体"/>
          <w:spacing w:val="-6"/>
          <w:sz w:val="32"/>
          <w:szCs w:val="32"/>
        </w:rPr>
        <w:t>，主动接纳人大代表、政协委员的监督；不断拓展公开渠道，强化与新闻媒体合作，通过多种渠道广泛调动社会各界共同参与示范区创建。</w:t>
      </w:r>
    </w:p>
    <w:p>
      <w:pPr>
        <w:spacing w:line="590" w:lineRule="exact"/>
        <w:ind w:firstLine="616" w:firstLineChars="200"/>
        <w:rPr>
          <w:rFonts w:ascii="仿宋_GB2312" w:hAnsi="宋体" w:eastAsia="仿宋_GB2312" w:cs="宋体"/>
          <w:spacing w:val="-6"/>
          <w:sz w:val="32"/>
          <w:szCs w:val="32"/>
        </w:rPr>
      </w:pPr>
      <w:r>
        <w:rPr>
          <w:rFonts w:ascii="仿宋_GB2312" w:hAnsi="宋体" w:eastAsia="仿宋_GB2312" w:cs="宋体"/>
          <w:spacing w:val="-6"/>
          <w:sz w:val="32"/>
          <w:szCs w:val="32"/>
        </w:rPr>
        <w:t>4.加强食品安全风险交流。健全风险交流机制，针对社会上出</w:t>
      </w:r>
      <w:r>
        <w:rPr>
          <w:rFonts w:hint="eastAsia" w:ascii="仿宋_GB2312" w:hAnsi="宋体" w:eastAsia="仿宋_GB2312" w:cs="宋体"/>
          <w:spacing w:val="-6"/>
          <w:sz w:val="32"/>
          <w:szCs w:val="32"/>
        </w:rPr>
        <w:t>现的食品安全误区、误解，及时开展宣传引导，树立正确的风险理念。充分发挥食品</w:t>
      </w:r>
      <w:r>
        <w:rPr>
          <w:rFonts w:ascii="仿宋_GB2312" w:hAnsi="宋体" w:eastAsia="仿宋_GB2312" w:cs="宋体"/>
          <w:spacing w:val="-6"/>
          <w:sz w:val="32"/>
          <w:szCs w:val="32"/>
        </w:rPr>
        <w:t>安全</w:t>
      </w:r>
      <w:r>
        <w:rPr>
          <w:rFonts w:hint="eastAsia" w:ascii="仿宋_GB2312" w:hAnsi="宋体" w:eastAsia="仿宋_GB2312" w:cs="宋体"/>
          <w:spacing w:val="-6"/>
          <w:sz w:val="32"/>
          <w:szCs w:val="32"/>
        </w:rPr>
        <w:t>专家的作用，开展</w:t>
      </w:r>
      <w:r>
        <w:rPr>
          <w:rFonts w:ascii="仿宋_GB2312" w:hAnsi="宋体" w:eastAsia="仿宋_GB2312" w:cs="宋体"/>
          <w:spacing w:val="-6"/>
          <w:sz w:val="32"/>
          <w:szCs w:val="32"/>
        </w:rPr>
        <w:t>食品安全风险评估</w:t>
      </w:r>
      <w:r>
        <w:rPr>
          <w:rFonts w:hint="eastAsia" w:ascii="仿宋_GB2312" w:hAnsi="宋体" w:eastAsia="仿宋_GB2312" w:cs="宋体"/>
          <w:spacing w:val="-6"/>
          <w:sz w:val="32"/>
          <w:szCs w:val="32"/>
        </w:rPr>
        <w:t>和风险交流。完善新闻发言人制度和食品安全信息发布制度，及时发布权威信息、消费提示和风险警示。</w:t>
      </w:r>
    </w:p>
    <w:p>
      <w:pPr>
        <w:spacing w:line="59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（任务详细分解及责任单位详见附件</w:t>
      </w:r>
      <w:r>
        <w:rPr>
          <w:rFonts w:ascii="仿宋_GB2312" w:hAnsi="宋体" w:eastAsia="仿宋_GB2312" w:cs="宋体"/>
          <w:spacing w:val="-6"/>
          <w:sz w:val="32"/>
          <w:szCs w:val="32"/>
        </w:rPr>
        <w:t>2）</w:t>
      </w:r>
    </w:p>
    <w:p>
      <w:pPr>
        <w:spacing w:line="590" w:lineRule="exact"/>
        <w:ind w:firstLine="616" w:firstLineChars="200"/>
        <w:rPr>
          <w:rFonts w:ascii="黑体" w:hAnsi="黑体" w:eastAsia="黑体" w:cs="宋体"/>
          <w:spacing w:val="-6"/>
          <w:sz w:val="32"/>
          <w:szCs w:val="32"/>
        </w:rPr>
      </w:pPr>
      <w:r>
        <w:rPr>
          <w:rFonts w:hint="eastAsia" w:ascii="黑体" w:hAnsi="黑体" w:eastAsia="黑体" w:cs="宋体"/>
          <w:spacing w:val="-6"/>
          <w:sz w:val="32"/>
          <w:szCs w:val="32"/>
        </w:rPr>
        <w:t>五、工作要求</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（一）加强领导，强化保障。成</w:t>
      </w:r>
      <w:r>
        <w:rPr>
          <w:rFonts w:hint="eastAsia" w:ascii="仿宋_GB2312" w:hAnsi="宋体" w:eastAsia="仿宋_GB2312" w:cs="宋体"/>
          <w:spacing w:val="-6"/>
          <w:sz w:val="32"/>
          <w:szCs w:val="32"/>
        </w:rPr>
        <w:t>立东城区创建“示范区”工作领导小组，领导小组由区长任组长，常务副区长、主管街道工作副区长、主管食药安全工作副区长任副组长，成员为东城区食品药品安全委员会各成员单位以及相关单位主要领导。领导小组办公室设在区食品药品监督管理局，由区食品药品监督管理局主要领导任办公室主任。领导小组负责组织领导、督促检查和协调开展创建工作，各成员单位（各部门工作职责见附件</w:t>
      </w:r>
      <w:r>
        <w:rPr>
          <w:rFonts w:ascii="仿宋_GB2312" w:hAnsi="宋体" w:eastAsia="仿宋_GB2312" w:cs="宋体"/>
          <w:spacing w:val="-6"/>
          <w:sz w:val="32"/>
          <w:szCs w:val="32"/>
        </w:rPr>
        <w:t>1）在领导小组的统一领导下，形成合力，确保各项创建工作措施落到实处。区有关部门要将创建工作纳入本区工作重点，给予人力、物力、财力保障支持。在创建工作中，要做到依法依纪、公开透明、节俭高效，杜绝铺张浪费，自觉接受社会监督，防止借创建之名</w:t>
      </w:r>
      <w:r>
        <w:rPr>
          <w:rFonts w:hint="eastAsia" w:ascii="仿宋_GB2312" w:hAnsi="宋体" w:eastAsia="仿宋_GB2312" w:cs="宋体"/>
          <w:spacing w:val="-6"/>
          <w:sz w:val="32"/>
          <w:szCs w:val="32"/>
        </w:rPr>
        <w:t>搞形象工程。</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（二）严格标准，积极推进。</w:t>
      </w:r>
      <w:r>
        <w:rPr>
          <w:rFonts w:hint="eastAsia" w:ascii="仿宋_GB2312" w:hAnsi="宋体" w:eastAsia="仿宋_GB2312" w:cs="宋体"/>
          <w:spacing w:val="-6"/>
          <w:sz w:val="32"/>
          <w:szCs w:val="32"/>
        </w:rPr>
        <w:t>要结合东城区实际，突出创建重点，切实把握关键环节，严格按照标准，一项一项落实，注重监管体系、监管能力、监管实效等方面的提高。对于不足的，要积极整改和完善，力求圆满完成创建工作。</w:t>
      </w:r>
    </w:p>
    <w:p>
      <w:pPr>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（三）广泛宣传，凝聚共识。</w:t>
      </w:r>
      <w:r>
        <w:rPr>
          <w:rFonts w:hint="eastAsia" w:ascii="仿宋_GB2312" w:hAnsi="宋体" w:eastAsia="仿宋_GB2312" w:cs="宋体"/>
          <w:spacing w:val="-6"/>
          <w:sz w:val="32"/>
          <w:szCs w:val="32"/>
        </w:rPr>
        <w:t>区食品药品安全委员会办公室要广泛宣传创建活动的目的意义、政策措施、创建重点和创建标准等内容，增进社会了解，凝聚社会共识，形成全区支持创建、参与创建的良好社会舆论氛围。</w:t>
      </w:r>
    </w:p>
    <w:p>
      <w:pPr>
        <w:pStyle w:val="7"/>
        <w:spacing w:line="590" w:lineRule="exact"/>
        <w:ind w:firstLine="616" w:firstLineChars="200"/>
        <w:rPr>
          <w:rFonts w:ascii="黑体" w:hAnsi="宋体" w:eastAsia="黑体" w:cs="宋体"/>
          <w:spacing w:val="-6"/>
          <w:sz w:val="32"/>
          <w:szCs w:val="32"/>
        </w:rPr>
      </w:pPr>
      <w:r>
        <w:rPr>
          <w:rFonts w:hint="eastAsia" w:ascii="黑体" w:hAnsi="宋体" w:eastAsia="黑体" w:cs="宋体"/>
          <w:spacing w:val="-6"/>
          <w:sz w:val="32"/>
          <w:szCs w:val="32"/>
        </w:rPr>
        <w:t>六、实施步骤</w:t>
      </w:r>
    </w:p>
    <w:p>
      <w:pPr>
        <w:pStyle w:val="7"/>
        <w:spacing w:line="590" w:lineRule="exact"/>
        <w:ind w:firstLine="616" w:firstLineChars="200"/>
        <w:rPr>
          <w:rFonts w:ascii="仿宋_GB2312" w:hAnsi="宋体" w:eastAsia="仿宋_GB2312" w:cs="宋体"/>
          <w:color w:val="FF0000"/>
          <w:spacing w:val="-6"/>
          <w:sz w:val="32"/>
          <w:szCs w:val="32"/>
        </w:rPr>
      </w:pPr>
      <w:r>
        <w:rPr>
          <w:rFonts w:hint="eastAsia" w:ascii="楷体_GB2312" w:hAnsi="宋体" w:eastAsia="楷体_GB2312" w:cs="宋体"/>
          <w:spacing w:val="-6"/>
          <w:sz w:val="32"/>
          <w:szCs w:val="32"/>
        </w:rPr>
        <w:t>（一）启动部署阶段（</w:t>
      </w:r>
      <w:r>
        <w:rPr>
          <w:rFonts w:ascii="楷体_GB2312" w:hAnsi="宋体" w:eastAsia="楷体_GB2312" w:cs="宋体"/>
          <w:spacing w:val="-6"/>
          <w:sz w:val="32"/>
          <w:szCs w:val="32"/>
        </w:rPr>
        <w:t>2017年6</w:t>
      </w:r>
      <w:r>
        <w:rPr>
          <w:rFonts w:hint="eastAsia" w:ascii="楷体_GB2312" w:hAnsi="宋体" w:eastAsia="楷体_GB2312" w:cs="宋体"/>
          <w:spacing w:val="-6"/>
          <w:sz w:val="32"/>
          <w:szCs w:val="32"/>
        </w:rPr>
        <w:t>月）。</w:t>
      </w:r>
      <w:r>
        <w:rPr>
          <w:rFonts w:hint="eastAsia" w:ascii="仿宋_GB2312" w:hAnsi="宋体" w:eastAsia="仿宋_GB2312" w:cs="宋体"/>
          <w:spacing w:val="-6"/>
          <w:sz w:val="32"/>
          <w:szCs w:val="32"/>
        </w:rPr>
        <w:t>以区政府名义印发《东城区创建北京市食品安全示范区工作方案》，明确职责，全面启动创建工作。</w:t>
      </w:r>
    </w:p>
    <w:p>
      <w:pPr>
        <w:pStyle w:val="7"/>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（二）集中创建阶段（</w:t>
      </w:r>
      <w:r>
        <w:rPr>
          <w:rFonts w:ascii="楷体_GB2312" w:hAnsi="宋体" w:eastAsia="楷体_GB2312" w:cs="宋体"/>
          <w:spacing w:val="-6"/>
          <w:sz w:val="32"/>
          <w:szCs w:val="32"/>
        </w:rPr>
        <w:t>2017年7月至2017年10月）。</w:t>
      </w:r>
      <w:r>
        <w:rPr>
          <w:rFonts w:hint="eastAsia" w:ascii="仿宋_GB2312" w:hAnsi="宋体" w:eastAsia="仿宋_GB2312" w:cs="宋体"/>
          <w:spacing w:val="-6"/>
          <w:sz w:val="32"/>
          <w:szCs w:val="32"/>
        </w:rPr>
        <w:t>根据工作方案和创建工作绩效评估标准，在市相关部门的指导下，全面开展创建工作，把握进度，加强督办。</w:t>
      </w:r>
    </w:p>
    <w:p>
      <w:pPr>
        <w:snapToGrid w:val="0"/>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（三）自查自评阶段（</w:t>
      </w:r>
      <w:r>
        <w:rPr>
          <w:rFonts w:ascii="楷体_GB2312" w:hAnsi="宋体" w:eastAsia="楷体_GB2312" w:cs="宋体"/>
          <w:spacing w:val="-6"/>
          <w:sz w:val="32"/>
          <w:szCs w:val="32"/>
        </w:rPr>
        <w:t>2017年11月）。</w:t>
      </w:r>
      <w:r>
        <w:rPr>
          <w:rFonts w:hint="eastAsia" w:ascii="仿宋_GB2312" w:hAnsi="宋体" w:eastAsia="仿宋_GB2312" w:cs="宋体"/>
          <w:spacing w:val="-6"/>
          <w:sz w:val="32"/>
          <w:szCs w:val="32"/>
        </w:rPr>
        <w:t>按照《北京市东城区食品安全示范区创建工作绩效评估实施细则》开展自查自评。</w:t>
      </w:r>
    </w:p>
    <w:p>
      <w:pPr>
        <w:snapToGrid w:val="0"/>
        <w:spacing w:line="590" w:lineRule="exact"/>
        <w:ind w:firstLine="616" w:firstLineChars="200"/>
        <w:rPr>
          <w:rFonts w:ascii="仿宋_GB2312" w:hAnsi="宋体" w:eastAsia="仿宋_GB2312" w:cs="宋体"/>
          <w:spacing w:val="-6"/>
          <w:sz w:val="32"/>
          <w:szCs w:val="32"/>
        </w:rPr>
      </w:pPr>
      <w:r>
        <w:rPr>
          <w:rFonts w:hint="eastAsia" w:ascii="楷体_GB2312" w:hAnsi="宋体" w:eastAsia="楷体_GB2312" w:cs="宋体"/>
          <w:spacing w:val="-6"/>
          <w:sz w:val="32"/>
          <w:szCs w:val="32"/>
        </w:rPr>
        <w:t>（四）考核评价阶段（</w:t>
      </w:r>
      <w:r>
        <w:rPr>
          <w:rFonts w:ascii="楷体_GB2312" w:hAnsi="宋体" w:eastAsia="楷体_GB2312" w:cs="宋体"/>
          <w:spacing w:val="-6"/>
          <w:sz w:val="32"/>
          <w:szCs w:val="32"/>
        </w:rPr>
        <w:t>2017年12月）。</w:t>
      </w:r>
      <w:r>
        <w:rPr>
          <w:rFonts w:hint="eastAsia" w:ascii="仿宋_GB2312" w:hAnsi="宋体" w:eastAsia="仿宋_GB2312" w:cs="宋体"/>
          <w:spacing w:val="-6"/>
          <w:sz w:val="32"/>
          <w:szCs w:val="32"/>
        </w:rPr>
        <w:t>接受北京市食药安委会办公室组织相关单位对我区进行的考核评价，同时接受媒体和社会的监督。</w:t>
      </w:r>
    </w:p>
    <w:p>
      <w:pPr>
        <w:snapToGrid w:val="0"/>
        <w:spacing w:line="590" w:lineRule="exact"/>
        <w:ind w:firstLine="616" w:firstLineChars="200"/>
        <w:rPr>
          <w:rFonts w:ascii="仿宋_GB2312" w:hAnsi="宋体" w:eastAsia="仿宋_GB2312" w:cs="宋体"/>
          <w:spacing w:val="-6"/>
          <w:sz w:val="32"/>
          <w:szCs w:val="32"/>
        </w:rPr>
      </w:pPr>
    </w:p>
    <w:p>
      <w:pPr>
        <w:snapToGrid w:val="0"/>
        <w:spacing w:line="590" w:lineRule="exact"/>
        <w:ind w:left="1697" w:leftChars="292" w:hanging="1084" w:hangingChars="352"/>
        <w:rPr>
          <w:rFonts w:ascii="仿宋_GB2312" w:hAnsi="宋体" w:eastAsia="仿宋_GB2312" w:cs="宋体"/>
          <w:spacing w:val="-6"/>
          <w:sz w:val="32"/>
          <w:szCs w:val="32"/>
        </w:rPr>
      </w:pPr>
      <w:r>
        <w:rPr>
          <w:rFonts w:hint="eastAsia" w:ascii="仿宋_GB2312" w:hAnsi="宋体" w:eastAsia="仿宋_GB2312" w:cs="宋体"/>
          <w:spacing w:val="-6"/>
          <w:sz w:val="32"/>
          <w:szCs w:val="32"/>
        </w:rPr>
        <w:t>附件：</w:t>
      </w:r>
      <w:r>
        <w:rPr>
          <w:rFonts w:ascii="仿宋_GB2312" w:hAnsi="宋体" w:eastAsia="仿宋_GB2312" w:cs="宋体"/>
          <w:spacing w:val="-6"/>
          <w:sz w:val="32"/>
          <w:szCs w:val="32"/>
        </w:rPr>
        <w:t>1.北京市东城区食品安全示范区创建工作各成员单位主要工作职责</w:t>
      </w:r>
    </w:p>
    <w:p>
      <w:pPr>
        <w:snapToGrid w:val="0"/>
        <w:spacing w:line="590" w:lineRule="exact"/>
        <w:ind w:left="1701" w:leftChars="294" w:hanging="1084" w:hangingChars="352"/>
        <w:rPr>
          <w:rFonts w:ascii="仿宋_GB2312" w:hAnsi="宋体" w:eastAsia="仿宋_GB2312" w:cs="宋体"/>
          <w:spacing w:val="-6"/>
          <w:sz w:val="32"/>
          <w:szCs w:val="32"/>
        </w:rPr>
      </w:pPr>
      <w:r>
        <w:rPr>
          <w:rFonts w:ascii="仿宋_GB2312" w:hAnsi="宋体" w:eastAsia="仿宋_GB2312" w:cs="宋体"/>
          <w:spacing w:val="-6"/>
          <w:sz w:val="32"/>
          <w:szCs w:val="32"/>
        </w:rPr>
        <w:t xml:space="preserve">     2.</w:t>
      </w:r>
      <w:r>
        <w:rPr>
          <w:rFonts w:hint="eastAsia" w:ascii="仿宋_GB2312" w:hAnsi="宋体" w:eastAsia="仿宋_GB2312" w:cs="宋体"/>
          <w:spacing w:val="-6"/>
          <w:sz w:val="32"/>
          <w:szCs w:val="32"/>
        </w:rPr>
        <w:t>北京市东城区食品安全示范区创建工作绩效评估实施细则（</w:t>
      </w:r>
      <w:r>
        <w:rPr>
          <w:rFonts w:ascii="仿宋_GB2312" w:hAnsi="宋体" w:eastAsia="仿宋_GB2312" w:cs="宋体"/>
          <w:spacing w:val="-6"/>
          <w:sz w:val="32"/>
          <w:szCs w:val="32"/>
        </w:rPr>
        <w:t>2017年）</w:t>
      </w:r>
    </w:p>
    <w:p>
      <w:pPr>
        <w:pStyle w:val="7"/>
        <w:spacing w:line="590" w:lineRule="exact"/>
        <w:rPr>
          <w:rFonts w:ascii="黑体" w:hAnsi="黑体" w:eastAsia="黑体" w:cs="宋体"/>
          <w:spacing w:val="-10"/>
          <w:sz w:val="32"/>
          <w:szCs w:val="32"/>
        </w:rPr>
      </w:pPr>
      <w:r>
        <w:rPr>
          <w:rFonts w:ascii="黑体" w:hAnsi="黑体" w:eastAsia="黑体" w:cs="宋体"/>
          <w:spacing w:val="-6"/>
          <w:sz w:val="32"/>
          <w:szCs w:val="32"/>
        </w:rPr>
        <w:br w:type="page"/>
      </w:r>
      <w:r>
        <w:rPr>
          <w:rFonts w:hint="eastAsia" w:ascii="黑体" w:hAnsi="黑体" w:eastAsia="黑体" w:cs="宋体"/>
          <w:spacing w:val="-10"/>
          <w:sz w:val="32"/>
          <w:szCs w:val="32"/>
        </w:rPr>
        <w:t>附件1</w:t>
      </w:r>
    </w:p>
    <w:p>
      <w:pPr>
        <w:pStyle w:val="7"/>
        <w:spacing w:line="560" w:lineRule="exact"/>
        <w:rPr>
          <w:rFonts w:ascii="黑体" w:hAnsi="黑体" w:eastAsia="黑体" w:cs="宋体"/>
          <w:spacing w:val="-10"/>
          <w:sz w:val="32"/>
          <w:szCs w:val="32"/>
        </w:rPr>
      </w:pPr>
    </w:p>
    <w:p>
      <w:pPr>
        <w:pStyle w:val="7"/>
        <w:spacing w:line="680" w:lineRule="exact"/>
        <w:jc w:val="center"/>
        <w:rPr>
          <w:rFonts w:ascii="方正小标宋简体" w:hAnsi="宋体" w:eastAsia="方正小标宋简体" w:cs="仿宋"/>
          <w:color w:val="000000"/>
          <w:spacing w:val="-14"/>
          <w:kern w:val="0"/>
          <w:sz w:val="44"/>
          <w:szCs w:val="44"/>
        </w:rPr>
      </w:pPr>
      <w:r>
        <w:rPr>
          <w:rFonts w:hint="eastAsia" w:ascii="方正小标宋简体" w:hAnsi="宋体" w:eastAsia="方正小标宋简体" w:cs="仿宋"/>
          <w:color w:val="000000"/>
          <w:spacing w:val="-14"/>
          <w:kern w:val="0"/>
          <w:sz w:val="44"/>
          <w:szCs w:val="44"/>
        </w:rPr>
        <w:t>北京市东城区食品安全示范区创建工作</w:t>
      </w:r>
    </w:p>
    <w:p>
      <w:pPr>
        <w:pStyle w:val="7"/>
        <w:spacing w:line="680" w:lineRule="exact"/>
        <w:jc w:val="center"/>
        <w:rPr>
          <w:rFonts w:ascii="方正小标宋简体" w:hAnsi="宋体" w:eastAsia="方正小标宋简体"/>
          <w:spacing w:val="-10"/>
          <w:sz w:val="44"/>
          <w:szCs w:val="44"/>
        </w:rPr>
      </w:pPr>
      <w:r>
        <w:rPr>
          <w:rFonts w:hint="eastAsia" w:ascii="方正小标宋简体" w:hAnsi="宋体" w:eastAsia="方正小标宋简体"/>
          <w:spacing w:val="-10"/>
          <w:sz w:val="44"/>
          <w:szCs w:val="44"/>
        </w:rPr>
        <w:t>成员单位主要工作职责</w:t>
      </w:r>
    </w:p>
    <w:p>
      <w:pPr>
        <w:pStyle w:val="7"/>
        <w:spacing w:line="560" w:lineRule="exact"/>
        <w:jc w:val="center"/>
        <w:rPr>
          <w:rFonts w:ascii="方正小标宋简体" w:hAnsi="宋体" w:eastAsia="方正小标宋简体"/>
          <w:spacing w:val="-10"/>
          <w:sz w:val="44"/>
          <w:szCs w:val="44"/>
        </w:rPr>
      </w:pPr>
    </w:p>
    <w:p>
      <w:pPr>
        <w:pStyle w:val="7"/>
        <w:spacing w:line="59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区委组织部：将食品安全考核结果纳入对党政领导班子和相关领导干部的综合考核评价。</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区检察院：建立打击食品安全犯罪联席会议制度，查办食品安全涉嫌犯罪案件。</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区政府办：定期专题研究部署食品安全工作。</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区政府督查室：将食品安全工作纳入辖区绩效考核；对食品安全重点工作的督查进行指导和协调。</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区发展改革委：将食品安全工作纳入国民经济和社会发展规划。</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区教委：实行食品安全校长负责制,落实校园食品安全管理主体责任，完成学校、托幼机构“阳光餐饮”工程建设任务。</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区住房城市建设委：督促施工单位落实建筑工地食品安全管理主体责任，开展食品安全日常检查。</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区城管委：完成餐厨垃圾和废弃油脂处理的相关工作，指导餐饮服务单位建立餐厨垃圾和废弃油脂处置管理制度。</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区商务委：落实政府粮食质量安全监管责任；加快便民早餐服务体系建设；引导和鼓励食品规模化生产和连锁经营、提高统一配送程度。</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区卫生计生委：对食品安全企业标准进行备案；协助食药监管部门作好食物中毒、食源性疾患的流行病学调查、检测等工作；对各职能部门没收的动物及动物制品以及经检疫不合格的肉、肉制品进行无害化处理。</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区财政局：加大经费保障力度，食品安全经费纳入区财政预算。</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区人力社保局：协助食药监管部门完善基层食品药品监察员培训、考核以及报酬保障等制度。</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区环保局：对餐饮单位油水分离、油烟排放进行监督管理。</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区民政局：督促、协助养老助残餐饮企业和养老机构食堂开展“阳光餐饮”工程建设。</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东城公安分局：设立打击食品安全犯罪的专职或兼职队伍；联合建立打击食品安全犯罪联席会议制度；对食品药品监管部门通报、移送的涉嫌犯罪的线索、案件进行受理、审查和立案侦查。</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东城工商分局：协助食药监管部门开展无照无证餐饮单位治理；在职责范围内对辖区持证食品生产经营企业建立食品安全信用档案并动态管理。</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区质监局：落实食品相关产品生产领域的监督检查计划并实施监督检查。</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食品药品监管局：牵头推进“示范区”创建工作；引导督促食品生产经营者健全完善食品安全管理制度；加大对食品生产经营者的监督检查力度，重点对无照无证餐饮单位进行分类治理；强化食品安全培训与宣传。</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区食药安委办：协调推进“示范区”创建相关工作。</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区城管执法监察局：对餐厨垃圾收集清运进行执法检查和违法案件查处；开展流动无照食品摊贩监管工作。</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 xml:space="preserve">各街道办事处：落实属地监管责任，严防重大食品安全事故或影响恶劣的食品安全事件的发生；组织本街道创建“示范区”的具体实施工作，加强对创建工作的宣传力度，提升社区居民对“示范区”创建工作的知晓率、支持率和参与率。 </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区新闻中心：协助做好“示范区”创建工作的宣传，协调各类新闻媒体对我区“示范区”创建工作进行宣传报道。</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区食品医药行业协会：在行业内开展“示范区”创建宣传等工作；引导和督促食品生产经营者依法生产经营，推动行业诚信建设。</w:t>
      </w:r>
    </w:p>
    <w:p>
      <w:pPr>
        <w:spacing w:line="590" w:lineRule="exact"/>
        <w:ind w:firstLine="616" w:firstLineChars="200"/>
        <w:rPr>
          <w:rFonts w:ascii="仿宋_GB2312" w:hAnsi="Courier New" w:eastAsia="仿宋_GB2312" w:cs="Courier New"/>
          <w:spacing w:val="-6"/>
          <w:sz w:val="32"/>
          <w:szCs w:val="32"/>
        </w:rPr>
      </w:pPr>
      <w:r>
        <w:rPr>
          <w:rFonts w:hint="eastAsia" w:ascii="仿宋_GB2312" w:hAnsi="Courier New" w:eastAsia="仿宋_GB2312" w:cs="Courier New"/>
          <w:spacing w:val="-6"/>
          <w:sz w:val="32"/>
          <w:szCs w:val="32"/>
        </w:rPr>
        <w:t>区消协：对因食品安全问题造成消费者损害的食品安全案件，探索建立通过公益诉讼渠道向企业追偿的工作机制。</w:t>
      </w:r>
    </w:p>
    <w:p>
      <w:pPr>
        <w:spacing w:line="590" w:lineRule="exact"/>
        <w:ind w:firstLine="616" w:firstLineChars="200"/>
        <w:rPr>
          <w:rFonts w:ascii="仿宋_GB2312" w:hAnsi="Courier New" w:eastAsia="仿宋_GB2312" w:cs="Courier New"/>
          <w:spacing w:val="-6"/>
          <w:sz w:val="32"/>
          <w:szCs w:val="32"/>
        </w:rPr>
      </w:pPr>
    </w:p>
    <w:p>
      <w:pPr>
        <w:spacing w:line="590" w:lineRule="exact"/>
        <w:ind w:firstLine="616" w:firstLineChars="200"/>
        <w:rPr>
          <w:rFonts w:ascii="仿宋_GB2312" w:hAnsi="Courier New" w:eastAsia="仿宋_GB2312" w:cs="Courier New"/>
          <w:spacing w:val="-6"/>
          <w:sz w:val="32"/>
          <w:szCs w:val="32"/>
        </w:rPr>
        <w:sectPr>
          <w:footerReference r:id="rId3" w:type="default"/>
          <w:footerReference r:id="rId4" w:type="even"/>
          <w:pgSz w:w="11906" w:h="16838"/>
          <w:pgMar w:top="2098" w:right="1474" w:bottom="1985" w:left="1588" w:header="851" w:footer="1474" w:gutter="0"/>
          <w:cols w:space="425" w:num="1"/>
          <w:docGrid w:type="lines" w:linePitch="435" w:charSpace="0"/>
        </w:sectPr>
      </w:pPr>
    </w:p>
    <w:p>
      <w:pPr>
        <w:widowControl/>
        <w:shd w:val="clear" w:color="auto" w:fill="FFFFFF"/>
        <w:adjustRightInd w:val="0"/>
        <w:snapToGrid w:val="0"/>
        <w:spacing w:line="578" w:lineRule="exact"/>
        <w:rPr>
          <w:rFonts w:ascii="黑体" w:hAnsi="宋体" w:eastAsia="黑体" w:cs="仿宋"/>
          <w:color w:val="000000"/>
          <w:spacing w:val="-14"/>
          <w:kern w:val="0"/>
          <w:sz w:val="32"/>
          <w:szCs w:val="32"/>
        </w:rPr>
      </w:pPr>
      <w:r>
        <w:rPr>
          <w:rFonts w:hint="eastAsia" w:ascii="黑体" w:hAnsi="宋体" w:eastAsia="黑体" w:cs="仿宋"/>
          <w:color w:val="000000"/>
          <w:spacing w:val="-14"/>
          <w:kern w:val="0"/>
          <w:sz w:val="32"/>
          <w:szCs w:val="32"/>
        </w:rPr>
        <w:t>附件</w:t>
      </w:r>
      <w:r>
        <w:rPr>
          <w:rFonts w:ascii="黑体" w:hAnsi="宋体" w:eastAsia="黑体" w:cs="仿宋"/>
          <w:color w:val="000000"/>
          <w:spacing w:val="-14"/>
          <w:kern w:val="0"/>
          <w:sz w:val="32"/>
          <w:szCs w:val="32"/>
        </w:rPr>
        <w:t>2</w:t>
      </w:r>
    </w:p>
    <w:p>
      <w:pPr>
        <w:widowControl/>
        <w:shd w:val="clear" w:color="auto" w:fill="FFFFFF"/>
        <w:adjustRightInd w:val="0"/>
        <w:snapToGrid w:val="0"/>
        <w:spacing w:beforeLines="100" w:afterLines="50" w:line="578" w:lineRule="exact"/>
        <w:jc w:val="center"/>
        <w:rPr>
          <w:rFonts w:ascii="方正小标宋简体" w:hAnsi="宋体" w:eastAsia="方正小标宋简体" w:cs="仿宋"/>
          <w:color w:val="000000"/>
          <w:spacing w:val="-14"/>
          <w:kern w:val="0"/>
          <w:sz w:val="44"/>
          <w:szCs w:val="44"/>
        </w:rPr>
      </w:pPr>
      <w:r>
        <w:rPr>
          <w:rFonts w:hint="eastAsia" w:ascii="方正小标宋简体" w:hAnsi="宋体" w:eastAsia="方正小标宋简体" w:cs="仿宋"/>
          <w:color w:val="000000"/>
          <w:spacing w:val="-14"/>
          <w:kern w:val="0"/>
          <w:sz w:val="44"/>
          <w:szCs w:val="44"/>
        </w:rPr>
        <w:t>东城区创建北京市食品安全示范区工作绩效评估分解表(2017年)</w:t>
      </w:r>
      <w:r>
        <w:rPr>
          <w:rFonts w:ascii="方正小标宋简体" w:hAnsi="宋体" w:eastAsia="方正小标宋简体" w:cs="仿宋"/>
          <w:color w:val="000000"/>
          <w:spacing w:val="-14"/>
          <w:kern w:val="0"/>
          <w:sz w:val="44"/>
          <w:szCs w:val="44"/>
        </w:rPr>
        <w:t xml:space="preserve"> </w:t>
      </w:r>
    </w:p>
    <w:p>
      <w:pPr>
        <w:widowControl/>
        <w:shd w:val="clear" w:color="auto" w:fill="FFFFFF"/>
        <w:adjustRightInd w:val="0"/>
        <w:snapToGrid w:val="0"/>
        <w:spacing w:line="580" w:lineRule="exact"/>
        <w:ind w:firstLine="832"/>
        <w:jc w:val="left"/>
        <w:rPr>
          <w:rFonts w:ascii="黑体" w:hAnsi="黑体" w:eastAsia="黑体" w:cs="仿宋"/>
          <w:color w:val="000000"/>
          <w:spacing w:val="-12"/>
          <w:kern w:val="0"/>
          <w:sz w:val="32"/>
          <w:szCs w:val="32"/>
        </w:rPr>
      </w:pPr>
      <w:r>
        <w:rPr>
          <w:rFonts w:hint="eastAsia" w:ascii="方正小标宋简体" w:hAnsi="宋体" w:eastAsia="方正小标宋简体" w:cs="仿宋"/>
          <w:color w:val="000000"/>
          <w:spacing w:val="-12"/>
          <w:kern w:val="0"/>
          <w:sz w:val="44"/>
          <w:szCs w:val="44"/>
        </w:rPr>
        <w:t xml:space="preserve"> </w:t>
      </w:r>
      <w:r>
        <w:rPr>
          <w:rFonts w:hint="eastAsia" w:ascii="黑体" w:hAnsi="黑体" w:eastAsia="黑体" w:cs="仿宋"/>
          <w:color w:val="000000"/>
          <w:spacing w:val="-12"/>
          <w:kern w:val="0"/>
          <w:sz w:val="32"/>
          <w:szCs w:val="32"/>
        </w:rPr>
        <w:t>一、“党政同责”落实到位(总分值14.5分)</w:t>
      </w:r>
    </w:p>
    <w:tbl>
      <w:tblPr>
        <w:tblStyle w:val="18"/>
        <w:tblW w:w="54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19"/>
        <w:gridCol w:w="5651"/>
        <w:gridCol w:w="2654"/>
        <w:gridCol w:w="1954"/>
        <w:gridCol w:w="106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 w:hRule="atLeast"/>
          <w:tblHeader/>
          <w:jc w:val="center"/>
        </w:trPr>
        <w:tc>
          <w:tcPr>
            <w:tcW w:w="464" w:type="pc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考核指标</w:t>
            </w:r>
          </w:p>
        </w:tc>
        <w:tc>
          <w:tcPr>
            <w:tcW w:w="1987"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黑体" w:hAnsi="黑体" w:eastAsia="黑体"/>
                <w:color w:val="000000"/>
                <w:spacing w:val="-12"/>
                <w:sz w:val="24"/>
              </w:rPr>
            </w:pPr>
            <w:r>
              <w:rPr>
                <w:rFonts w:hint="eastAsia" w:ascii="黑体" w:hAnsi="黑体" w:eastAsia="黑体"/>
                <w:color w:val="000000"/>
                <w:spacing w:val="-12"/>
                <w:sz w:val="24"/>
              </w:rPr>
              <w:t>考评标准</w:t>
            </w:r>
          </w:p>
        </w:tc>
        <w:tc>
          <w:tcPr>
            <w:tcW w:w="933"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黑体" w:hAnsi="黑体" w:eastAsia="黑体"/>
                <w:color w:val="000000"/>
                <w:spacing w:val="-12"/>
                <w:sz w:val="24"/>
              </w:rPr>
            </w:pPr>
            <w:r>
              <w:rPr>
                <w:rFonts w:hint="eastAsia" w:ascii="黑体" w:hAnsi="黑体" w:eastAsia="黑体"/>
                <w:color w:val="000000"/>
                <w:spacing w:val="-12"/>
                <w:sz w:val="24"/>
              </w:rPr>
              <w:t>资料查验</w:t>
            </w:r>
          </w:p>
        </w:tc>
        <w:tc>
          <w:tcPr>
            <w:tcW w:w="687"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黑体" w:hAnsi="黑体" w:eastAsia="黑体"/>
                <w:color w:val="000000"/>
                <w:spacing w:val="-20"/>
                <w:sz w:val="24"/>
              </w:rPr>
            </w:pPr>
            <w:r>
              <w:rPr>
                <w:rFonts w:hint="eastAsia" w:ascii="黑体" w:hAnsi="黑体" w:eastAsia="黑体"/>
                <w:color w:val="000000"/>
                <w:spacing w:val="-20"/>
                <w:sz w:val="24"/>
              </w:rPr>
              <w:t>现场评估与群众感受</w:t>
            </w:r>
          </w:p>
        </w:tc>
        <w:tc>
          <w:tcPr>
            <w:tcW w:w="373"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黑体" w:hAnsi="黑体" w:eastAsia="黑体"/>
                <w:color w:val="000000"/>
                <w:spacing w:val="-12"/>
                <w:sz w:val="24"/>
              </w:rPr>
            </w:pPr>
            <w:r>
              <w:rPr>
                <w:rFonts w:hint="eastAsia" w:ascii="黑体" w:hAnsi="黑体" w:eastAsia="黑体"/>
                <w:color w:val="000000"/>
                <w:spacing w:val="-12"/>
                <w:sz w:val="24"/>
              </w:rPr>
              <w:t>评分部门</w:t>
            </w:r>
          </w:p>
        </w:tc>
        <w:tc>
          <w:tcPr>
            <w:tcW w:w="555"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黑体" w:hAnsi="黑体" w:eastAsia="黑体"/>
                <w:color w:val="000000"/>
                <w:spacing w:val="-12"/>
                <w:sz w:val="24"/>
              </w:rPr>
            </w:pPr>
            <w:r>
              <w:rPr>
                <w:rFonts w:hint="eastAsia" w:ascii="黑体" w:hAnsi="黑体" w:eastAsia="黑体"/>
                <w:color w:val="000000"/>
                <w:spacing w:val="-12"/>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464" w:type="pct"/>
            <w:vMerge w:val="restart"/>
            <w:tcBorders>
              <w:top w:val="single" w:color="auto" w:sz="4" w:space="0"/>
            </w:tcBorders>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t>(</w:t>
            </w:r>
            <w:r>
              <w:rPr>
                <w:rFonts w:hint="eastAsia" w:ascii="仿宋_GB2312" w:hAnsi="仿宋" w:eastAsia="仿宋_GB2312"/>
                <w:color w:val="000000"/>
                <w:spacing w:val="-12"/>
                <w:sz w:val="24"/>
              </w:rPr>
              <w:t>一</w:t>
            </w:r>
            <w:r>
              <w:rPr>
                <w:rFonts w:ascii="仿宋_GB2312" w:hAnsi="仿宋" w:eastAsia="仿宋_GB2312"/>
                <w:color w:val="000000"/>
                <w:spacing w:val="-12"/>
                <w:sz w:val="24"/>
              </w:rPr>
              <w:t>)</w:t>
            </w:r>
            <w:r>
              <w:rPr>
                <w:rFonts w:hint="eastAsia" w:ascii="仿宋_GB2312" w:hAnsi="仿宋" w:eastAsia="仿宋_GB2312"/>
                <w:color w:val="000000"/>
                <w:spacing w:val="-12"/>
                <w:sz w:val="24"/>
              </w:rPr>
              <w:t>创建方案制定及印发【1】</w:t>
            </w:r>
          </w:p>
        </w:tc>
        <w:tc>
          <w:tcPr>
            <w:tcW w:w="1987"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1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以区政府名义出台创建方案，得0.5分</w:t>
            </w:r>
          </w:p>
        </w:tc>
        <w:tc>
          <w:tcPr>
            <w:tcW w:w="933" w:type="pct"/>
            <w:vMerge w:val="restar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《xx区创建北京市食品安全示范区工作方案/实施方案》的印发单位、印发时间</w:t>
            </w:r>
          </w:p>
        </w:tc>
        <w:tc>
          <w:tcPr>
            <w:tcW w:w="687" w:type="pct"/>
            <w:vMerge w:val="restar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restar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Merge w:val="restar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464" w:type="pct"/>
            <w:vMerge w:val="continue"/>
            <w:vAlign w:val="center"/>
          </w:tcPr>
          <w:p>
            <w:pPr>
              <w:adjustRightInd w:val="0"/>
              <w:snapToGrid w:val="0"/>
              <w:rPr>
                <w:rFonts w:ascii="仿宋_GB2312" w:hAnsi="仿宋" w:eastAsia="仿宋_GB2312"/>
                <w:color w:val="000000"/>
                <w:spacing w:val="-12"/>
                <w:sz w:val="24"/>
              </w:rPr>
            </w:pP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2016年年底前印发得0.5分；2017年1-2月印发，得0.3分；2017年3月以后印发，不得分</w:t>
            </w:r>
          </w:p>
        </w:tc>
        <w:tc>
          <w:tcPr>
            <w:tcW w:w="933" w:type="pct"/>
            <w:vMerge w:val="continue"/>
            <w:vAlign w:val="center"/>
          </w:tcPr>
          <w:p>
            <w:pPr>
              <w:adjustRightInd w:val="0"/>
              <w:snapToGrid w:val="0"/>
              <w:rPr>
                <w:rFonts w:ascii="仿宋_GB2312" w:hAnsi="仿宋" w:eastAsia="仿宋_GB2312"/>
                <w:color w:val="000000"/>
                <w:spacing w:val="-12"/>
                <w:sz w:val="24"/>
              </w:rPr>
            </w:pPr>
          </w:p>
        </w:tc>
        <w:tc>
          <w:tcPr>
            <w:tcW w:w="687" w:type="pct"/>
            <w:vMerge w:val="continue"/>
            <w:vAlign w:val="center"/>
          </w:tcPr>
          <w:p>
            <w:pPr>
              <w:adjustRightInd w:val="0"/>
              <w:snapToGrid w:val="0"/>
              <w:rPr>
                <w:rFonts w:ascii="仿宋_GB2312" w:hAnsi="仿宋" w:eastAsia="仿宋_GB2312"/>
                <w:color w:val="000000"/>
                <w:spacing w:val="-12"/>
                <w:sz w:val="24"/>
              </w:rPr>
            </w:pPr>
          </w:p>
        </w:tc>
        <w:tc>
          <w:tcPr>
            <w:tcW w:w="373" w:type="pct"/>
            <w:vMerge w:val="continue"/>
            <w:vAlign w:val="center"/>
          </w:tcPr>
          <w:p>
            <w:pPr>
              <w:adjustRightInd w:val="0"/>
              <w:snapToGrid w:val="0"/>
              <w:rPr>
                <w:rFonts w:ascii="仿宋_GB2312" w:hAnsi="仿宋" w:eastAsia="仿宋_GB2312"/>
                <w:color w:val="000000"/>
                <w:spacing w:val="-12"/>
                <w:sz w:val="24"/>
              </w:rPr>
            </w:pPr>
          </w:p>
        </w:tc>
        <w:tc>
          <w:tcPr>
            <w:tcW w:w="555"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 w:hRule="atLeast"/>
          <w:jc w:val="center"/>
        </w:trPr>
        <w:tc>
          <w:tcPr>
            <w:tcW w:w="464"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(二)创建组织机构健全【</w:t>
            </w:r>
            <w:r>
              <w:rPr>
                <w:rFonts w:ascii="仿宋_GB2312" w:hAnsi="仿宋" w:eastAsia="仿宋_GB2312"/>
                <w:color w:val="000000"/>
                <w:spacing w:val="-12"/>
                <w:sz w:val="24"/>
              </w:rPr>
              <w:t>1</w:t>
            </w:r>
            <w:r>
              <w:rPr>
                <w:rFonts w:hint="eastAsia" w:ascii="仿宋_GB2312" w:hAnsi="仿宋" w:eastAsia="仿宋_GB2312"/>
                <w:color w:val="000000"/>
                <w:spacing w:val="-12"/>
                <w:sz w:val="24"/>
              </w:rPr>
              <w:t>】</w:t>
            </w: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8"/>
                <w:sz w:val="24"/>
              </w:rPr>
              <w:t>建立工作机制，明确组织机构，成立创建工作领导小组，得</w:t>
            </w:r>
            <w:r>
              <w:rPr>
                <w:rFonts w:ascii="仿宋_GB2312" w:hAnsi="仿宋" w:eastAsia="仿宋_GB2312"/>
                <w:color w:val="000000"/>
                <w:spacing w:val="-18"/>
                <w:sz w:val="24"/>
              </w:rPr>
              <w:t>0.5</w:t>
            </w:r>
            <w:r>
              <w:rPr>
                <w:rFonts w:hint="eastAsia" w:ascii="仿宋_GB2312" w:hAnsi="仿宋" w:eastAsia="仿宋_GB2312"/>
                <w:color w:val="000000"/>
                <w:spacing w:val="-18"/>
                <w:sz w:val="24"/>
              </w:rPr>
              <w:t>分</w:t>
            </w:r>
          </w:p>
        </w:tc>
        <w:tc>
          <w:tcPr>
            <w:tcW w:w="933"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区政府成立领导小组相关成员单位组成文件</w:t>
            </w:r>
          </w:p>
        </w:tc>
        <w:tc>
          <w:tcPr>
            <w:tcW w:w="68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 w:hRule="atLeast"/>
          <w:jc w:val="center"/>
        </w:trPr>
        <w:tc>
          <w:tcPr>
            <w:tcW w:w="464" w:type="pct"/>
            <w:vMerge w:val="continue"/>
            <w:vAlign w:val="center"/>
          </w:tcPr>
          <w:p>
            <w:pPr>
              <w:adjustRightInd w:val="0"/>
              <w:snapToGrid w:val="0"/>
              <w:rPr>
                <w:rFonts w:ascii="仿宋_GB2312" w:hAnsi="仿宋" w:eastAsia="仿宋_GB2312"/>
                <w:color w:val="000000"/>
                <w:spacing w:val="-12"/>
                <w:sz w:val="24"/>
              </w:rPr>
            </w:pPr>
          </w:p>
        </w:tc>
        <w:tc>
          <w:tcPr>
            <w:tcW w:w="1987" w:type="pct"/>
            <w:vAlign w:val="center"/>
          </w:tcPr>
          <w:p>
            <w:pPr>
              <w:adjustRightInd w:val="0"/>
              <w:snapToGrid w:val="0"/>
              <w:rPr>
                <w:rFonts w:ascii="仿宋_GB2312" w:hAnsi="仿宋" w:eastAsia="仿宋_GB2312"/>
                <w:color w:val="000000"/>
                <w:spacing w:val="-20"/>
                <w:sz w:val="24"/>
              </w:rPr>
            </w:pPr>
            <w:r>
              <w:rPr>
                <w:rFonts w:ascii="仿宋_GB2312" w:hAnsi="仿宋" w:eastAsia="仿宋_GB2312"/>
                <w:color w:val="000000"/>
                <w:spacing w:val="-20"/>
                <w:sz w:val="24"/>
              </w:rPr>
              <w:fldChar w:fldCharType="begin"/>
            </w:r>
            <w:r>
              <w:rPr>
                <w:rFonts w:ascii="仿宋_GB2312" w:hAnsi="仿宋" w:eastAsia="仿宋_GB2312"/>
                <w:color w:val="000000"/>
                <w:spacing w:val="-20"/>
                <w:sz w:val="24"/>
              </w:rPr>
              <w:instrText xml:space="preserve">= 2 \* GB3</w:instrText>
            </w:r>
            <w:r>
              <w:rPr>
                <w:rFonts w:ascii="仿宋_GB2312" w:hAnsi="仿宋" w:eastAsia="仿宋_GB2312"/>
                <w:color w:val="000000"/>
                <w:spacing w:val="-20"/>
                <w:sz w:val="24"/>
              </w:rPr>
              <w:fldChar w:fldCharType="separate"/>
            </w:r>
            <w:r>
              <w:rPr>
                <w:rFonts w:hint="eastAsia" w:ascii="仿宋_GB2312" w:hAnsi="仿宋" w:eastAsia="仿宋_GB2312"/>
                <w:color w:val="000000"/>
                <w:spacing w:val="-20"/>
                <w:sz w:val="24"/>
              </w:rPr>
              <w:t>②</w:t>
            </w:r>
            <w:r>
              <w:rPr>
                <w:rFonts w:ascii="仿宋_GB2312" w:hAnsi="仿宋" w:eastAsia="仿宋_GB2312"/>
                <w:color w:val="000000"/>
                <w:spacing w:val="-20"/>
                <w:sz w:val="24"/>
              </w:rPr>
              <w:fldChar w:fldCharType="end"/>
            </w:r>
            <w:r>
              <w:rPr>
                <w:rFonts w:hint="eastAsia" w:ascii="仿宋_GB2312" w:hAnsi="仿宋" w:eastAsia="仿宋_GB2312"/>
                <w:color w:val="000000"/>
                <w:spacing w:val="-20"/>
                <w:sz w:val="24"/>
              </w:rPr>
              <w:t>区委书记或区长任组长，得</w:t>
            </w:r>
            <w:r>
              <w:rPr>
                <w:rFonts w:ascii="仿宋_GB2312" w:hAnsi="仿宋" w:eastAsia="仿宋_GB2312"/>
                <w:color w:val="000000"/>
                <w:spacing w:val="-20"/>
                <w:sz w:val="24"/>
              </w:rPr>
              <w:t>0.5分；其他领导牵头，不得分</w:t>
            </w:r>
          </w:p>
        </w:tc>
        <w:tc>
          <w:tcPr>
            <w:tcW w:w="933" w:type="pct"/>
            <w:vMerge w:val="continue"/>
            <w:vAlign w:val="center"/>
          </w:tcPr>
          <w:p>
            <w:pPr>
              <w:adjustRightInd w:val="0"/>
              <w:snapToGrid w:val="0"/>
              <w:rPr>
                <w:rFonts w:ascii="仿宋_GB2312" w:hAnsi="仿宋" w:eastAsia="仿宋_GB2312"/>
                <w:color w:val="000000"/>
                <w:spacing w:val="-12"/>
                <w:sz w:val="24"/>
              </w:rPr>
            </w:pPr>
          </w:p>
        </w:tc>
        <w:tc>
          <w:tcPr>
            <w:tcW w:w="687" w:type="pct"/>
            <w:vMerge w:val="continue"/>
            <w:vAlign w:val="center"/>
          </w:tcPr>
          <w:p>
            <w:pPr>
              <w:adjustRightInd w:val="0"/>
              <w:snapToGrid w:val="0"/>
              <w:rPr>
                <w:rFonts w:ascii="仿宋_GB2312" w:hAnsi="仿宋" w:eastAsia="仿宋_GB2312"/>
                <w:color w:val="000000"/>
                <w:spacing w:val="-12"/>
                <w:sz w:val="24"/>
              </w:rPr>
            </w:pPr>
          </w:p>
        </w:tc>
        <w:tc>
          <w:tcPr>
            <w:tcW w:w="373" w:type="pct"/>
            <w:vMerge w:val="continue"/>
            <w:vAlign w:val="center"/>
          </w:tcPr>
          <w:p>
            <w:pPr>
              <w:adjustRightInd w:val="0"/>
              <w:snapToGrid w:val="0"/>
              <w:rPr>
                <w:rFonts w:ascii="仿宋_GB2312" w:hAnsi="仿宋" w:eastAsia="仿宋_GB2312"/>
                <w:color w:val="000000"/>
                <w:spacing w:val="-12"/>
                <w:sz w:val="24"/>
              </w:rPr>
            </w:pPr>
          </w:p>
        </w:tc>
        <w:tc>
          <w:tcPr>
            <w:tcW w:w="555"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 w:hRule="atLeast"/>
          <w:jc w:val="center"/>
        </w:trPr>
        <w:tc>
          <w:tcPr>
            <w:tcW w:w="464"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(三)部署、推进创建工作【1】</w:t>
            </w: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区委书记或区长召开创建工作部署大会，得0.6分</w:t>
            </w:r>
          </w:p>
        </w:tc>
        <w:tc>
          <w:tcPr>
            <w:tcW w:w="933"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示范区创建部署会的会议纪要(简报)或领导讲话</w:t>
            </w:r>
          </w:p>
        </w:tc>
        <w:tc>
          <w:tcPr>
            <w:tcW w:w="68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464" w:type="pct"/>
            <w:vMerge w:val="continue"/>
            <w:vAlign w:val="center"/>
          </w:tcPr>
          <w:p>
            <w:pPr>
              <w:adjustRightInd w:val="0"/>
              <w:snapToGrid w:val="0"/>
              <w:rPr>
                <w:rFonts w:ascii="仿宋_GB2312" w:hAnsi="仿宋" w:eastAsia="仿宋_GB2312"/>
                <w:color w:val="000000"/>
                <w:spacing w:val="-12"/>
                <w:sz w:val="24"/>
              </w:rPr>
            </w:pP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自2016年8月以来，每季度召开1次创建食品安全示范区推进会或食品安全专题会得0.4分，每少1次扣0.1分</w:t>
            </w:r>
          </w:p>
        </w:tc>
        <w:tc>
          <w:tcPr>
            <w:tcW w:w="933" w:type="pct"/>
            <w:vAlign w:val="center"/>
          </w:tcPr>
          <w:p>
            <w:pPr>
              <w:adjustRightInd w:val="0"/>
              <w:snapToGrid w:val="0"/>
              <w:rPr>
                <w:rFonts w:ascii="仿宋_GB2312" w:hAnsi="仿宋" w:eastAsia="仿宋_GB2312"/>
                <w:color w:val="000000"/>
                <w:spacing w:val="-18"/>
                <w:sz w:val="24"/>
              </w:rPr>
            </w:pPr>
            <w:r>
              <w:rPr>
                <w:rFonts w:hint="eastAsia" w:ascii="仿宋_GB2312" w:hAnsi="仿宋" w:eastAsia="仿宋_GB2312"/>
                <w:color w:val="000000"/>
                <w:spacing w:val="-18"/>
                <w:sz w:val="24"/>
              </w:rPr>
              <w:t>创建示范区推进会或食品安全专题会会议纪要</w:t>
            </w:r>
            <w:r>
              <w:rPr>
                <w:rFonts w:ascii="仿宋_GB2312" w:hAnsi="仿宋" w:eastAsia="仿宋_GB2312"/>
                <w:color w:val="000000"/>
                <w:spacing w:val="-18"/>
                <w:sz w:val="24"/>
              </w:rPr>
              <w:t>(简报)</w:t>
            </w:r>
          </w:p>
        </w:tc>
        <w:tc>
          <w:tcPr>
            <w:tcW w:w="68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continue"/>
            <w:vAlign w:val="center"/>
          </w:tcPr>
          <w:p>
            <w:pPr>
              <w:adjustRightInd w:val="0"/>
              <w:snapToGrid w:val="0"/>
              <w:rPr>
                <w:rFonts w:ascii="仿宋_GB2312" w:hAnsi="仿宋" w:eastAsia="仿宋_GB2312"/>
                <w:color w:val="000000"/>
                <w:spacing w:val="-12"/>
                <w:sz w:val="24"/>
              </w:rPr>
            </w:pPr>
          </w:p>
        </w:tc>
        <w:tc>
          <w:tcPr>
            <w:tcW w:w="555"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464"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(四)组织领导【1.5】</w:t>
            </w: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区政府2017年度工作报告中对食品安全工作有明确要求，得0.5分</w:t>
            </w:r>
          </w:p>
        </w:tc>
        <w:tc>
          <w:tcPr>
            <w:tcW w:w="933"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2017年区政府工作报告</w:t>
            </w:r>
          </w:p>
        </w:tc>
        <w:tc>
          <w:tcPr>
            <w:tcW w:w="68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针对辖</w:t>
            </w:r>
            <w:bookmarkStart w:id="0" w:name="_GoBack"/>
            <w:bookmarkEnd w:id="0"/>
            <w:r>
              <w:rPr>
                <w:rFonts w:hint="eastAsia" w:ascii="仿宋_GB2312" w:hAnsi="仿宋" w:eastAsia="仿宋_GB2312"/>
                <w:color w:val="000000"/>
                <w:spacing w:val="-12"/>
                <w:sz w:val="24"/>
              </w:rPr>
              <w:t>区委区政府对食品安全工作重视程度开展群众调查，调查结果为重视程度不足的，扣0.5分</w:t>
            </w:r>
          </w:p>
        </w:tc>
        <w:tc>
          <w:tcPr>
            <w:tcW w:w="373"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464" w:type="pct"/>
            <w:vMerge w:val="continue"/>
            <w:vAlign w:val="center"/>
          </w:tcPr>
          <w:p>
            <w:pPr>
              <w:adjustRightInd w:val="0"/>
              <w:snapToGrid w:val="0"/>
              <w:rPr>
                <w:rFonts w:ascii="仿宋_GB2312" w:hAnsi="仿宋" w:eastAsia="仿宋_GB2312"/>
                <w:color w:val="000000"/>
                <w:spacing w:val="-12"/>
                <w:sz w:val="24"/>
              </w:rPr>
            </w:pP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区委或区政府主要领导或分管领导自开展创建工作以来，召开食药品安全工作会2次以上，得0.5分，召开会议不足</w:t>
            </w:r>
            <w:r>
              <w:rPr>
                <w:rFonts w:ascii="仿宋_GB2312" w:hAnsi="仿宋" w:eastAsia="仿宋_GB2312"/>
                <w:color w:val="000000"/>
                <w:spacing w:val="-18"/>
                <w:sz w:val="24"/>
              </w:rPr>
              <w:t>2次或未召开会议、批示1-3次得0.3分；未做批示，不得分</w:t>
            </w:r>
          </w:p>
        </w:tc>
        <w:tc>
          <w:tcPr>
            <w:tcW w:w="933"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区委或区政府领导批示，或会议纪要(简报)</w:t>
            </w:r>
          </w:p>
        </w:tc>
        <w:tc>
          <w:tcPr>
            <w:tcW w:w="687" w:type="pct"/>
            <w:vMerge w:val="continue"/>
            <w:vAlign w:val="center"/>
          </w:tcPr>
          <w:p>
            <w:pPr>
              <w:adjustRightInd w:val="0"/>
              <w:snapToGrid w:val="0"/>
              <w:rPr>
                <w:rFonts w:ascii="仿宋_GB2312" w:hAnsi="仿宋" w:eastAsia="仿宋_GB2312"/>
                <w:color w:val="000000"/>
                <w:spacing w:val="-12"/>
                <w:sz w:val="24"/>
              </w:rPr>
            </w:pPr>
          </w:p>
        </w:tc>
        <w:tc>
          <w:tcPr>
            <w:tcW w:w="373" w:type="pct"/>
            <w:vMerge w:val="continue"/>
            <w:vAlign w:val="center"/>
          </w:tcPr>
          <w:p>
            <w:pPr>
              <w:adjustRightInd w:val="0"/>
              <w:snapToGrid w:val="0"/>
              <w:rPr>
                <w:rFonts w:ascii="仿宋_GB2312" w:hAnsi="仿宋" w:eastAsia="仿宋_GB2312"/>
                <w:color w:val="000000"/>
                <w:spacing w:val="-12"/>
                <w:sz w:val="24"/>
              </w:rPr>
            </w:pPr>
          </w:p>
        </w:tc>
        <w:tc>
          <w:tcPr>
            <w:tcW w:w="555"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464" w:type="pct"/>
            <w:vMerge w:val="continue"/>
            <w:vAlign w:val="center"/>
          </w:tcPr>
          <w:p>
            <w:pPr>
              <w:adjustRightInd w:val="0"/>
              <w:snapToGrid w:val="0"/>
              <w:rPr>
                <w:rFonts w:ascii="仿宋_GB2312" w:hAnsi="仿宋" w:eastAsia="仿宋_GB2312"/>
                <w:color w:val="000000"/>
                <w:spacing w:val="-12"/>
                <w:sz w:val="24"/>
              </w:rPr>
            </w:pPr>
          </w:p>
        </w:tc>
        <w:tc>
          <w:tcPr>
            <w:tcW w:w="1987"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区委或区政府主要或分管领导自开展创建工作以来至少开展1次食品安全问题专题调研指导或带队检查，解决食品安全实际问题，得0.5分</w:t>
            </w:r>
          </w:p>
        </w:tc>
        <w:tc>
          <w:tcPr>
            <w:tcW w:w="933"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区委或区政府主要或分管领导的调研新闻报道、简报、新闻图片等相关材料</w:t>
            </w:r>
          </w:p>
        </w:tc>
        <w:tc>
          <w:tcPr>
            <w:tcW w:w="687" w:type="pct"/>
            <w:vMerge w:val="continue"/>
            <w:vAlign w:val="center"/>
          </w:tcPr>
          <w:p>
            <w:pPr>
              <w:adjustRightInd w:val="0"/>
              <w:snapToGrid w:val="0"/>
              <w:rPr>
                <w:rFonts w:ascii="仿宋_GB2312" w:hAnsi="仿宋" w:eastAsia="仿宋_GB2312"/>
                <w:color w:val="000000"/>
                <w:spacing w:val="-12"/>
                <w:sz w:val="24"/>
              </w:rPr>
            </w:pPr>
          </w:p>
        </w:tc>
        <w:tc>
          <w:tcPr>
            <w:tcW w:w="373" w:type="pct"/>
            <w:vMerge w:val="continue"/>
            <w:vAlign w:val="center"/>
          </w:tcPr>
          <w:p>
            <w:pPr>
              <w:adjustRightInd w:val="0"/>
              <w:snapToGrid w:val="0"/>
              <w:rPr>
                <w:rFonts w:ascii="仿宋_GB2312" w:hAnsi="仿宋" w:eastAsia="仿宋_GB2312"/>
                <w:color w:val="000000"/>
                <w:spacing w:val="-12"/>
                <w:sz w:val="24"/>
              </w:rPr>
            </w:pPr>
          </w:p>
        </w:tc>
        <w:tc>
          <w:tcPr>
            <w:tcW w:w="555"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464"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(五)发展和专项规划及重点工作安排【1】</w:t>
            </w:r>
          </w:p>
        </w:tc>
        <w:tc>
          <w:tcPr>
            <w:tcW w:w="1987"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食品安全工作“十三五”专项规划列入区重点专项规划或区政府出台食品药品安全三年行动计划，得1分；否则不得分</w:t>
            </w:r>
          </w:p>
        </w:tc>
        <w:tc>
          <w:tcPr>
            <w:tcW w:w="93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区“十三五”专项规划及立项材料；或区政府印发的三年行动计划</w:t>
            </w:r>
          </w:p>
        </w:tc>
        <w:tc>
          <w:tcPr>
            <w:tcW w:w="68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区发改委</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jc w:val="center"/>
        </w:trPr>
        <w:tc>
          <w:tcPr>
            <w:tcW w:w="464" w:type="pct"/>
            <w:vMerge w:val="restar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(六)责任落实【3】</w:t>
            </w:r>
          </w:p>
        </w:tc>
        <w:tc>
          <w:tcPr>
            <w:tcW w:w="1987"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区政府印发食品安全属地责任管理办法，建立食品安全责任追究制度，得0.5分，否则不得分</w:t>
            </w:r>
          </w:p>
        </w:tc>
        <w:tc>
          <w:tcPr>
            <w:tcW w:w="93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区政府印发的食品安全属地责任办法等食品安全责任追究制度</w:t>
            </w:r>
          </w:p>
        </w:tc>
        <w:tc>
          <w:tcPr>
            <w:tcW w:w="68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3" w:hRule="atLeast"/>
          <w:jc w:val="center"/>
        </w:trPr>
        <w:tc>
          <w:tcPr>
            <w:tcW w:w="464"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987"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区政府对未履行食品安全监管职责部门、街乡进行责任约谈，并取得实效，得0.5分，否则不得分</w:t>
            </w:r>
          </w:p>
        </w:tc>
        <w:tc>
          <w:tcPr>
            <w:tcW w:w="93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责任约谈记录、针对约谈问题采取整改措施的证明文件</w:t>
            </w:r>
          </w:p>
        </w:tc>
        <w:tc>
          <w:tcPr>
            <w:tcW w:w="68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根据责任约谈后采取的整改措施进行现场核查，如发现针对约谈问题未落实相关整改措施的情况，扣0.5分</w:t>
            </w:r>
          </w:p>
        </w:tc>
        <w:tc>
          <w:tcPr>
            <w:tcW w:w="37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 w:hRule="atLeast"/>
          <w:jc w:val="center"/>
        </w:trPr>
        <w:tc>
          <w:tcPr>
            <w:tcW w:w="464"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987"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有健全的农产品安全管理体系……(略)</w:t>
            </w:r>
          </w:p>
        </w:tc>
        <w:tc>
          <w:tcPr>
            <w:tcW w:w="93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68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37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555"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atLeast"/>
          <w:jc w:val="center"/>
        </w:trPr>
        <w:tc>
          <w:tcPr>
            <w:tcW w:w="464"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987"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落实地方政府粮食质量安全监管责任。出台粮食质量安全监管的具体措施，明确相关部门监管责任的，得0.5分</w:t>
            </w:r>
          </w:p>
        </w:tc>
        <w:tc>
          <w:tcPr>
            <w:tcW w:w="93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粮食质量安全监管措施</w:t>
            </w:r>
          </w:p>
        </w:tc>
        <w:tc>
          <w:tcPr>
            <w:tcW w:w="687" w:type="pct"/>
            <w:vAlign w:val="center"/>
          </w:tcPr>
          <w:p>
            <w:pPr>
              <w:adjustRightInd w:val="0"/>
              <w:snapToGrid w:val="0"/>
              <w:spacing w:line="340" w:lineRule="exact"/>
              <w:rPr>
                <w:rFonts w:ascii="仿宋_GB2312" w:hAnsi="仿宋" w:eastAsia="仿宋_GB2312"/>
                <w:color w:val="000000"/>
                <w:spacing w:val="-14"/>
                <w:sz w:val="24"/>
              </w:rPr>
            </w:pPr>
            <w:r>
              <w:rPr>
                <w:rFonts w:hint="eastAsia" w:ascii="仿宋_GB2312" w:hAnsi="仿宋" w:eastAsia="仿宋_GB2312"/>
                <w:color w:val="000000"/>
                <w:spacing w:val="-14"/>
                <w:sz w:val="24"/>
              </w:rPr>
              <w:t>针对辖区粮食质量安全和监管工作开展群众满意度调查，调查结果较差的扣0.25分</w:t>
            </w:r>
          </w:p>
        </w:tc>
        <w:tc>
          <w:tcPr>
            <w:tcW w:w="373"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市粮食局</w:t>
            </w:r>
          </w:p>
        </w:tc>
        <w:tc>
          <w:tcPr>
            <w:tcW w:w="555"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464"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(七)督查考核【2】</w:t>
            </w:r>
          </w:p>
        </w:tc>
        <w:tc>
          <w:tcPr>
            <w:tcW w:w="1987"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区政府已制定食品安全工作评议考核办法，对辖区各街乡和食品有关监管部门进行评议考核，得0.5分，否则不得分</w:t>
            </w:r>
          </w:p>
        </w:tc>
        <w:tc>
          <w:tcPr>
            <w:tcW w:w="933"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食品安全工作考核办法、考核方案</w:t>
            </w:r>
          </w:p>
        </w:tc>
        <w:tc>
          <w:tcPr>
            <w:tcW w:w="68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区食药安委办区政府督查室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46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87"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区政府对食品安全重点工作开展督查，得0.5分，否则不得分</w:t>
            </w:r>
          </w:p>
        </w:tc>
        <w:tc>
          <w:tcPr>
            <w:tcW w:w="933"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68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55" w:type="pct"/>
            <w:vMerge w:val="continue"/>
            <w:vAlign w:val="center"/>
          </w:tcPr>
          <w:p>
            <w:pPr>
              <w:adjustRightInd w:val="0"/>
              <w:snapToGrid w:val="0"/>
              <w:spacing w:line="40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 w:hRule="atLeast"/>
          <w:jc w:val="center"/>
        </w:trPr>
        <w:tc>
          <w:tcPr>
            <w:tcW w:w="46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87"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区政府将食品安全列入辖区绩效考核，权重达到3%的，得0.5分；未纳入，权重未达到3%，不得分</w:t>
            </w:r>
          </w:p>
        </w:tc>
        <w:tc>
          <w:tcPr>
            <w:tcW w:w="933"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区政府相关考核文件</w:t>
            </w:r>
          </w:p>
        </w:tc>
        <w:tc>
          <w:tcPr>
            <w:tcW w:w="68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55" w:type="pct"/>
            <w:vMerge w:val="continue"/>
            <w:vAlign w:val="center"/>
          </w:tcPr>
          <w:p>
            <w:pPr>
              <w:adjustRightInd w:val="0"/>
              <w:snapToGrid w:val="0"/>
              <w:spacing w:line="40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9" w:hRule="atLeast"/>
          <w:jc w:val="center"/>
        </w:trPr>
        <w:tc>
          <w:tcPr>
            <w:tcW w:w="464"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87"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区级党委或相关部门将食品安全考核结果纳入对党政领导班子和相关领导干部的综合考核评价，权重达到3%,得0.5分</w:t>
            </w:r>
          </w:p>
        </w:tc>
        <w:tc>
          <w:tcPr>
            <w:tcW w:w="93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区委相关考核文件</w:t>
            </w:r>
          </w:p>
        </w:tc>
        <w:tc>
          <w:tcPr>
            <w:tcW w:w="687"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37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55"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464"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(八)完善监管体系【4】</w:t>
            </w:r>
          </w:p>
        </w:tc>
        <w:tc>
          <w:tcPr>
            <w:tcW w:w="1987"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辖区各部门职责分工明确，密切沟通配合、依法行使职权、承担责任的全程联动机制，就部门之间、区域间的协调议事、信息通报、形势会商、联合执法、事故处置等事项做出具体规定，得1分，每缺少1个具体事项扣0.2分</w:t>
            </w:r>
          </w:p>
        </w:tc>
        <w:tc>
          <w:tcPr>
            <w:tcW w:w="93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机制建立文件，辖区部门职责划分等相关文件</w:t>
            </w:r>
          </w:p>
        </w:tc>
        <w:tc>
          <w:tcPr>
            <w:tcW w:w="68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就辖区食品安全相关监管部门工作配合、协调联动情况开展群众调查。调查结果显示较差的，扣0.5分</w:t>
            </w:r>
          </w:p>
        </w:tc>
        <w:tc>
          <w:tcPr>
            <w:tcW w:w="37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464"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87"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每年度定期召开委员会会议2次；委员会办公室会议和联络员会议各4次，得1分，未定期召开，不得分</w:t>
            </w:r>
          </w:p>
        </w:tc>
        <w:tc>
          <w:tcPr>
            <w:tcW w:w="93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食药安委、食药安委办相关会议制度，召开委员会会议、委员会办公室会议和联络员会议的会议纪要</w:t>
            </w:r>
          </w:p>
        </w:tc>
        <w:tc>
          <w:tcPr>
            <w:tcW w:w="68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37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464"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87"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区农业部门与食品药品监管部门就加强食用农产品质量安全监管建立合作机制，得1分</w:t>
            </w:r>
          </w:p>
        </w:tc>
        <w:tc>
          <w:tcPr>
            <w:tcW w:w="93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68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37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555"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64"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87"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建立辖区各部门食品安全信息共享机制，相互通报风险监测评估、食源性疾病有关情况、各类线索等信息，全年部门间通报不少于6件(含6件)得1分，每少一件扣0.1分</w:t>
            </w:r>
          </w:p>
        </w:tc>
        <w:tc>
          <w:tcPr>
            <w:tcW w:w="93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区食药安委办各部门间相互通报情况文件</w:t>
            </w:r>
          </w:p>
        </w:tc>
        <w:tc>
          <w:tcPr>
            <w:tcW w:w="68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37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555"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区卫计委</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公安分局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工商分局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区质监局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区城管执法局</w:t>
            </w:r>
          </w:p>
        </w:tc>
      </w:tr>
    </w:tbl>
    <w:p>
      <w:pPr>
        <w:widowControl/>
        <w:shd w:val="clear" w:color="auto" w:fill="FFFFFF"/>
        <w:adjustRightInd w:val="0"/>
        <w:snapToGrid w:val="0"/>
        <w:spacing w:line="578" w:lineRule="exact"/>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二、“四有两责”落实到位(总分值13.5分)</w:t>
      </w:r>
    </w:p>
    <w:tbl>
      <w:tblPr>
        <w:tblStyle w:val="18"/>
        <w:tblW w:w="5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15"/>
        <w:gridCol w:w="5075"/>
        <w:gridCol w:w="2652"/>
        <w:gridCol w:w="2589"/>
        <w:gridCol w:w="137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blHeader/>
          <w:jc w:val="center"/>
        </w:trPr>
        <w:tc>
          <w:tcPr>
            <w:tcW w:w="426" w:type="pc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考核指标</w:t>
            </w:r>
          </w:p>
        </w:tc>
        <w:tc>
          <w:tcPr>
            <w:tcW w:w="1778"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考评标准</w:t>
            </w:r>
          </w:p>
        </w:tc>
        <w:tc>
          <w:tcPr>
            <w:tcW w:w="929"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资料查验</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现场评估与群众感受</w:t>
            </w:r>
          </w:p>
        </w:tc>
        <w:tc>
          <w:tcPr>
            <w:tcW w:w="481"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评分部门</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7" w:hRule="atLeast"/>
          <w:jc w:val="center"/>
        </w:trPr>
        <w:tc>
          <w:tcPr>
            <w:tcW w:w="426" w:type="pct"/>
            <w:vMerge w:val="restart"/>
            <w:tcBorders>
              <w:top w:val="single" w:color="auto" w:sz="4" w:space="0"/>
            </w:tcBorders>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(九)队伍编制保障【3】</w:t>
            </w:r>
          </w:p>
        </w:tc>
        <w:tc>
          <w:tcPr>
            <w:tcW w:w="1778"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辖区食品各监管机构食品安全监管工作人员比例达到辖区常住人口万分之三，得1分，达到万分之二不到万分之三的，得0.5分，其余不得分。(含专职从事食品安全监管工作的聘用人员)</w:t>
            </w:r>
          </w:p>
        </w:tc>
        <w:tc>
          <w:tcPr>
            <w:tcW w:w="929"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辖区各相关食品监管部门机构编制统计表及聘用人员缴纳社保记录</w:t>
            </w:r>
          </w:p>
        </w:tc>
        <w:tc>
          <w:tcPr>
            <w:tcW w:w="907"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根据人员统计表抽取5名监管人员进行身份核查，每有1人身份资料不符，扣0.1分</w:t>
            </w:r>
          </w:p>
        </w:tc>
        <w:tc>
          <w:tcPr>
            <w:tcW w:w="481" w:type="pct"/>
            <w:tcBorders>
              <w:top w:val="single" w:color="auto" w:sz="4" w:space="0"/>
              <w:bottom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tcBorders>
              <w:top w:val="single" w:color="auto" w:sz="4" w:space="0"/>
              <w:bottom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区人力社保局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atLeast"/>
          <w:jc w:val="center"/>
        </w:trPr>
        <w:tc>
          <w:tcPr>
            <w:tcW w:w="426"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778"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建立食品药品监察员队伍并加强管理，食品药品监管所配备的街道(乡镇)工作人员和监察员人数总和不低于区食品药品监管机构派驻人员数，得0.5分</w:t>
            </w:r>
          </w:p>
        </w:tc>
        <w:tc>
          <w:tcPr>
            <w:tcW w:w="929"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监察员名录及相关管理办法</w:t>
            </w:r>
          </w:p>
        </w:tc>
        <w:tc>
          <w:tcPr>
            <w:tcW w:w="90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随机抽取辖区5个食药所进行核查，每有1个不符合要求的扣0.1分</w:t>
            </w:r>
          </w:p>
        </w:tc>
        <w:tc>
          <w:tcPr>
            <w:tcW w:w="481"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tcBorders>
              <w:top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区人力社保局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4" w:hRule="atLeast"/>
          <w:jc w:val="center"/>
        </w:trPr>
        <w:tc>
          <w:tcPr>
            <w:tcW w:w="426"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778" w:type="pct"/>
            <w:tcBorders>
              <w:bottom w:val="single" w:color="auto" w:sz="4" w:space="0"/>
            </w:tcBorders>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食品药品监察员队伍稳定，专业素质和保障能力能够有效满足日常监管要求，得0.5分</w:t>
            </w:r>
          </w:p>
        </w:tc>
        <w:tc>
          <w:tcPr>
            <w:tcW w:w="929" w:type="pct"/>
            <w:tcBorders>
              <w:bottom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按照《市食品药品安全委员会印发&lt;关于加强农村食品安全治理工作的意见&gt;的通知》、《北京市食品药品监督管理局关于印发&lt;北京市街道(乡镇)食品药品监督管理所街道(乡镇)工作人员和食品药品安全监察员管理办法(试行)&gt;的通知》等文件要求，食品药品监察员相关证明材料</w:t>
            </w:r>
          </w:p>
        </w:tc>
        <w:tc>
          <w:tcPr>
            <w:tcW w:w="907" w:type="pct"/>
            <w:tcBorders>
              <w:bottom w:val="single" w:color="auto" w:sz="4" w:space="0"/>
            </w:tcBorders>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随机抽查5名监察员相关基</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本情况，每发现一名不符合要求的，扣0.1分</w:t>
            </w:r>
          </w:p>
        </w:tc>
        <w:tc>
          <w:tcPr>
            <w:tcW w:w="481" w:type="pct"/>
            <w:tcBorders>
              <w:bottom w:val="single" w:color="auto" w:sz="4" w:space="0"/>
            </w:tcBorders>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tcBorders>
              <w:bottom w:val="single" w:color="auto" w:sz="4" w:space="0"/>
            </w:tcBorders>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426"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77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城镇社区和农村行政村建立食品药品安全信息员、监督员队伍，经培训后开展相关工作，制定管理办法。100%覆盖城镇社区和农村行政村，得0.5分,80%以上覆盖的，得0.3分；80%以下，不得分</w:t>
            </w:r>
          </w:p>
        </w:tc>
        <w:tc>
          <w:tcPr>
            <w:tcW w:w="92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印发的建立食品药品安全信息员、监督员队伍的相关文件；印发的食品药品信息员、监察员管理办法；食品药品安全信息员、监督员名录(含联系方式)</w:t>
            </w:r>
          </w:p>
        </w:tc>
        <w:tc>
          <w:tcPr>
            <w:tcW w:w="90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随机抽取5名信息员、监督员，针对培训、开展工作情况进行核查。如存在未参加培训、不具备食品安全基本知识以及不能正常开展工作的，每发现1名扣0.1分</w:t>
            </w:r>
          </w:p>
        </w:tc>
        <w:tc>
          <w:tcPr>
            <w:tcW w:w="481"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8" w:hRule="atLeast"/>
          <w:jc w:val="center"/>
        </w:trPr>
        <w:tc>
          <w:tcPr>
            <w:tcW w:w="426"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77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区食品药品监管局在编食品药品专业人员占全部监管人员比例达60%，得0.5分。(专业人员占比=食品药品及相关专业人员数量/食品药品监管机构所有人员数量)</w:t>
            </w:r>
          </w:p>
        </w:tc>
        <w:tc>
          <w:tcPr>
            <w:tcW w:w="92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人事部门在编监管人员的花名册</w:t>
            </w:r>
          </w:p>
        </w:tc>
        <w:tc>
          <w:tcPr>
            <w:tcW w:w="90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随机抽查5名专业人员并核实专业背景，每发现1人与资料不符，扣0.1分，扣完为止</w:t>
            </w:r>
          </w:p>
        </w:tc>
        <w:tc>
          <w:tcPr>
            <w:tcW w:w="481"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426"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(十)人员培训教育【</w:t>
            </w:r>
            <w:r>
              <w:rPr>
                <w:rFonts w:ascii="仿宋_GB2312" w:hAnsi="仿宋" w:eastAsia="仿宋_GB2312"/>
                <w:color w:val="000000"/>
                <w:spacing w:val="-12"/>
                <w:sz w:val="24"/>
              </w:rPr>
              <w:t>1</w:t>
            </w:r>
            <w:r>
              <w:rPr>
                <w:rFonts w:hint="eastAsia" w:ascii="仿宋_GB2312" w:hAnsi="仿宋" w:eastAsia="仿宋_GB2312"/>
                <w:color w:val="000000"/>
                <w:spacing w:val="-12"/>
                <w:sz w:val="24"/>
              </w:rPr>
              <w:t>】</w:t>
            </w:r>
          </w:p>
        </w:tc>
        <w:tc>
          <w:tcPr>
            <w:tcW w:w="177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辖区各食品安全监管部门执法人员食品安全知识培训覆盖率达到100%，得0.5分；每人每年参加食品安全相关内容的培训时间不少于</w:t>
            </w:r>
            <w:r>
              <w:rPr>
                <w:rFonts w:ascii="仿宋_GB2312" w:hAnsi="仿宋" w:eastAsia="仿宋_GB2312"/>
                <w:color w:val="000000"/>
                <w:spacing w:val="-12"/>
                <w:sz w:val="24"/>
              </w:rPr>
              <w:t>40</w:t>
            </w:r>
            <w:r>
              <w:rPr>
                <w:rFonts w:hint="eastAsia" w:ascii="仿宋_GB2312" w:hAnsi="仿宋" w:eastAsia="仿宋_GB2312"/>
                <w:color w:val="000000"/>
                <w:spacing w:val="-12"/>
                <w:sz w:val="24"/>
              </w:rPr>
              <w:t>小时，得0.5分</w:t>
            </w:r>
          </w:p>
        </w:tc>
        <w:tc>
          <w:tcPr>
            <w:tcW w:w="92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年度培训计划制定及实施情况(包括培训通知、培训签到表、图片等)</w:t>
            </w:r>
          </w:p>
        </w:tc>
        <w:tc>
          <w:tcPr>
            <w:tcW w:w="907"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随机抽查5名监管执法人员的培训情况，每有1人未达到要求扣0.1分</w:t>
            </w:r>
          </w:p>
        </w:tc>
        <w:tc>
          <w:tcPr>
            <w:tcW w:w="481"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5" w:hRule="atLeast"/>
          <w:jc w:val="center"/>
        </w:trPr>
        <w:tc>
          <w:tcPr>
            <w:tcW w:w="426" w:type="pct"/>
            <w:vMerge w:val="restar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(十一)检验检测保障【4.5】</w:t>
            </w:r>
          </w:p>
        </w:tc>
        <w:tc>
          <w:tcPr>
            <w:tcW w:w="1778"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食品药品监督管理所配备检测室,严格按照《北京市食品药品监督管理局食品快速检测工作规范》，配备不少于两名快速检测人员，检测设备配发到位并规范开展快检及数据上报工作,得0.5分;食药监管所快检数量不低于15件/月，得0.5分。否则不得分</w:t>
            </w:r>
          </w:p>
        </w:tc>
        <w:tc>
          <w:tcPr>
            <w:tcW w:w="929"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随机抽查辖区食品药品监管所，查看食品快检相关工作制度、检验记录等资料</w:t>
            </w:r>
          </w:p>
        </w:tc>
        <w:tc>
          <w:tcPr>
            <w:tcW w:w="90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随机抽取5个食品药品监管所，现场开展食品快速检测。如存在快检不能正常开展或试剂过期情况严</w:t>
            </w:r>
            <w:r>
              <w:rPr>
                <w:rFonts w:hint="eastAsia" w:ascii="仿宋_GB2312" w:hAnsi="仿宋" w:eastAsia="仿宋_GB2312"/>
                <w:color w:val="000000"/>
                <w:spacing w:val="-18"/>
                <w:sz w:val="24"/>
              </w:rPr>
              <w:t>重或快检操作明显不规范等行为，每有</w:t>
            </w:r>
            <w:r>
              <w:rPr>
                <w:rFonts w:ascii="仿宋_GB2312" w:hAnsi="仿宋" w:eastAsia="仿宋_GB2312"/>
                <w:color w:val="000000"/>
                <w:spacing w:val="-18"/>
                <w:sz w:val="24"/>
              </w:rPr>
              <w:t>1家扣0.1分</w:t>
            </w:r>
          </w:p>
        </w:tc>
        <w:tc>
          <w:tcPr>
            <w:tcW w:w="481"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80"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426"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778"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区食品</w:t>
            </w:r>
            <w:r>
              <w:rPr>
                <w:rFonts w:ascii="仿宋_GB2312" w:hAnsi="仿宋" w:eastAsia="仿宋_GB2312"/>
                <w:color w:val="000000"/>
                <w:spacing w:val="-12"/>
                <w:sz w:val="24"/>
              </w:rPr>
              <w:t>药品监控分中心</w:t>
            </w:r>
            <w:r>
              <w:rPr>
                <w:rFonts w:hint="eastAsia" w:ascii="仿宋_GB2312" w:hAnsi="仿宋" w:eastAsia="仿宋_GB2312"/>
                <w:color w:val="000000"/>
                <w:spacing w:val="-12"/>
                <w:sz w:val="24"/>
              </w:rPr>
              <w:t>具备对常见食品微生物、重金属、理化指标的实验室检验能力，能够为防控食品安全突发事件提供及时有力的应急检测支持，得0.5分</w:t>
            </w:r>
          </w:p>
        </w:tc>
        <w:tc>
          <w:tcPr>
            <w:tcW w:w="929"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检验设备和检验项目清单等资料</w:t>
            </w:r>
          </w:p>
        </w:tc>
        <w:tc>
          <w:tcPr>
            <w:tcW w:w="90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现场查看是否能够满足常见食品微生物、重金属、理化指标的检验需求。存</w:t>
            </w:r>
            <w:r>
              <w:rPr>
                <w:rFonts w:hint="eastAsia" w:ascii="仿宋_GB2312" w:hAnsi="仿宋" w:eastAsia="仿宋_GB2312"/>
                <w:color w:val="000000"/>
                <w:spacing w:val="-18"/>
                <w:sz w:val="24"/>
              </w:rPr>
              <w:t>在一项能力缺失，扣</w:t>
            </w:r>
            <w:r>
              <w:rPr>
                <w:rFonts w:ascii="仿宋_GB2312" w:hAnsi="仿宋" w:eastAsia="仿宋_GB2312"/>
                <w:color w:val="000000"/>
                <w:spacing w:val="-18"/>
                <w:sz w:val="24"/>
              </w:rPr>
              <w:t>0.25分</w:t>
            </w:r>
          </w:p>
        </w:tc>
        <w:tc>
          <w:tcPr>
            <w:tcW w:w="481"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80"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426" w:type="pct"/>
            <w:vMerge w:val="continue"/>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p>
        </w:tc>
        <w:tc>
          <w:tcPr>
            <w:tcW w:w="1778"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按照《食品</w:t>
            </w:r>
            <w:r>
              <w:rPr>
                <w:rFonts w:ascii="仿宋_GB2312" w:hAnsi="仿宋" w:eastAsia="仿宋_GB2312"/>
                <w:color w:val="000000"/>
                <w:spacing w:val="-12"/>
                <w:sz w:val="24"/>
              </w:rPr>
              <w:t>药品</w:t>
            </w:r>
            <w:r>
              <w:rPr>
                <w:rFonts w:hint="eastAsia" w:ascii="仿宋_GB2312" w:hAnsi="仿宋" w:eastAsia="仿宋_GB2312"/>
                <w:color w:val="000000"/>
                <w:spacing w:val="-12"/>
                <w:sz w:val="24"/>
              </w:rPr>
              <w:t>监管总局 国家</w:t>
            </w:r>
            <w:r>
              <w:rPr>
                <w:rFonts w:ascii="仿宋_GB2312" w:hAnsi="仿宋" w:eastAsia="仿宋_GB2312"/>
                <w:color w:val="000000"/>
                <w:spacing w:val="-12"/>
                <w:sz w:val="24"/>
              </w:rPr>
              <w:t>认监委关于印发食品检验机构资质认定条件的通知</w:t>
            </w:r>
            <w:r>
              <w:rPr>
                <w:rFonts w:hint="eastAsia" w:ascii="仿宋_GB2312" w:hAnsi="仿宋" w:eastAsia="仿宋_GB2312"/>
                <w:color w:val="000000"/>
                <w:spacing w:val="-12"/>
                <w:sz w:val="24"/>
              </w:rPr>
              <w:t>》(食药</w:t>
            </w:r>
            <w:r>
              <w:rPr>
                <w:rFonts w:ascii="仿宋_GB2312" w:hAnsi="仿宋" w:eastAsia="仿宋_GB2312"/>
                <w:color w:val="000000"/>
                <w:spacing w:val="-12"/>
                <w:sz w:val="24"/>
              </w:rPr>
              <w:t>监科【</w:t>
            </w:r>
            <w:r>
              <w:rPr>
                <w:rFonts w:hint="eastAsia" w:ascii="仿宋_GB2312" w:hAnsi="仿宋" w:eastAsia="仿宋_GB2312"/>
                <w:color w:val="000000"/>
                <w:spacing w:val="-12"/>
                <w:sz w:val="24"/>
              </w:rPr>
              <w:t>2016</w:t>
            </w:r>
            <w:r>
              <w:rPr>
                <w:rFonts w:ascii="仿宋_GB2312" w:hAnsi="仿宋" w:eastAsia="仿宋_GB2312"/>
                <w:color w:val="000000"/>
                <w:spacing w:val="-12"/>
                <w:sz w:val="24"/>
              </w:rPr>
              <w:t>】</w:t>
            </w:r>
            <w:r>
              <w:rPr>
                <w:rFonts w:hint="eastAsia" w:ascii="仿宋_GB2312" w:hAnsi="仿宋" w:eastAsia="仿宋_GB2312"/>
                <w:color w:val="000000"/>
                <w:spacing w:val="-12"/>
                <w:sz w:val="24"/>
              </w:rPr>
              <w:t>106号)</w:t>
            </w:r>
            <w:r>
              <w:rPr>
                <w:rFonts w:ascii="仿宋_GB2312" w:hAnsi="仿宋" w:eastAsia="仿宋_GB2312"/>
                <w:color w:val="000000"/>
                <w:spacing w:val="-12"/>
                <w:sz w:val="24"/>
              </w:rPr>
              <w:t>，</w:t>
            </w:r>
            <w:r>
              <w:rPr>
                <w:rFonts w:hint="eastAsia" w:ascii="仿宋_GB2312" w:hAnsi="仿宋" w:eastAsia="仿宋_GB2312"/>
                <w:color w:val="000000"/>
                <w:spacing w:val="-12"/>
                <w:sz w:val="24"/>
              </w:rPr>
              <w:t>区食品药品监控分中心应在</w:t>
            </w:r>
            <w:r>
              <w:rPr>
                <w:rFonts w:ascii="仿宋_GB2312" w:hAnsi="仿宋" w:eastAsia="仿宋_GB2312"/>
                <w:color w:val="000000"/>
                <w:spacing w:val="-12"/>
                <w:sz w:val="24"/>
              </w:rPr>
              <w:t>组织、管理体系、检验能力、人员、环境和设施、设备和标准物质等方面达到</w:t>
            </w:r>
            <w:r>
              <w:rPr>
                <w:rFonts w:hint="eastAsia" w:ascii="仿宋_GB2312" w:hAnsi="仿宋" w:eastAsia="仿宋_GB2312"/>
                <w:color w:val="000000"/>
                <w:spacing w:val="-12"/>
                <w:sz w:val="24"/>
              </w:rPr>
              <w:t>规定</w:t>
            </w:r>
            <w:r>
              <w:rPr>
                <w:rFonts w:ascii="仿宋_GB2312" w:hAnsi="仿宋" w:eastAsia="仿宋_GB2312"/>
                <w:color w:val="000000"/>
                <w:spacing w:val="-12"/>
                <w:sz w:val="24"/>
              </w:rPr>
              <w:t>要求</w:t>
            </w:r>
            <w:r>
              <w:rPr>
                <w:rFonts w:hint="eastAsia" w:ascii="仿宋_GB2312" w:hAnsi="仿宋" w:eastAsia="仿宋_GB2312"/>
                <w:color w:val="000000"/>
                <w:spacing w:val="-12"/>
                <w:sz w:val="24"/>
              </w:rPr>
              <w:t>。</w:t>
            </w:r>
          </w:p>
          <w:p>
            <w:pPr>
              <w:adjustRightInd w:val="0"/>
              <w:snapToGrid w:val="0"/>
              <w:spacing w:line="290" w:lineRule="exact"/>
              <w:ind w:firstLine="480"/>
              <w:rPr>
                <w:rFonts w:ascii="仿宋_GB2312" w:hAnsi="仿宋" w:eastAsia="仿宋_GB2312"/>
                <w:color w:val="000000"/>
                <w:spacing w:val="-16"/>
                <w:sz w:val="24"/>
              </w:rPr>
            </w:pPr>
            <w:r>
              <w:rPr>
                <w:rFonts w:hint="eastAsia" w:ascii="仿宋_GB2312" w:hAnsi="仿宋" w:eastAsia="仿宋_GB2312"/>
                <w:color w:val="000000"/>
                <w:spacing w:val="-16"/>
                <w:sz w:val="24"/>
              </w:rPr>
              <w:t>区监控分中心应具备与</w:t>
            </w:r>
            <w:r>
              <w:rPr>
                <w:rFonts w:ascii="仿宋_GB2312" w:hAnsi="仿宋" w:eastAsia="仿宋_GB2312"/>
                <w:color w:val="000000"/>
                <w:spacing w:val="-16"/>
                <w:sz w:val="24"/>
              </w:rPr>
              <w:t>开展的检验活动</w:t>
            </w:r>
            <w:r>
              <w:rPr>
                <w:rFonts w:hint="eastAsia" w:ascii="仿宋_GB2312" w:hAnsi="仿宋" w:eastAsia="仿宋_GB2312"/>
                <w:color w:val="000000"/>
                <w:spacing w:val="-16"/>
                <w:sz w:val="24"/>
              </w:rPr>
              <w:t>相适应</w:t>
            </w:r>
            <w:r>
              <w:rPr>
                <w:rFonts w:ascii="仿宋_GB2312" w:hAnsi="仿宋" w:eastAsia="仿宋_GB2312"/>
                <w:color w:val="000000"/>
                <w:spacing w:val="-16"/>
                <w:sz w:val="24"/>
              </w:rPr>
              <w:t>的管理人员和</w:t>
            </w:r>
            <w:r>
              <w:rPr>
                <w:rFonts w:hint="eastAsia" w:ascii="仿宋_GB2312" w:hAnsi="仿宋" w:eastAsia="仿宋_GB2312"/>
                <w:color w:val="000000"/>
                <w:spacing w:val="-16"/>
                <w:sz w:val="24"/>
              </w:rPr>
              <w:t>充足</w:t>
            </w:r>
            <w:r>
              <w:rPr>
                <w:rFonts w:ascii="仿宋_GB2312" w:hAnsi="仿宋" w:eastAsia="仿宋_GB2312"/>
                <w:color w:val="000000"/>
                <w:spacing w:val="-16"/>
                <w:sz w:val="24"/>
              </w:rPr>
              <w:t>的技术人员。其中</w:t>
            </w:r>
            <w:r>
              <w:rPr>
                <w:rFonts w:hint="eastAsia" w:ascii="仿宋_GB2312" w:hAnsi="仿宋" w:eastAsia="仿宋_GB2312"/>
                <w:color w:val="000000"/>
                <w:spacing w:val="-16"/>
                <w:sz w:val="24"/>
              </w:rPr>
              <w:t>，技术</w:t>
            </w:r>
            <w:r>
              <w:rPr>
                <w:rFonts w:ascii="仿宋_GB2312" w:hAnsi="仿宋" w:eastAsia="仿宋_GB2312"/>
                <w:color w:val="000000"/>
                <w:spacing w:val="-16"/>
                <w:sz w:val="24"/>
              </w:rPr>
              <w:t>检验人员</w:t>
            </w:r>
            <w:r>
              <w:rPr>
                <w:rFonts w:hint="eastAsia" w:ascii="仿宋_GB2312" w:hAnsi="仿宋" w:eastAsia="仿宋_GB2312"/>
                <w:color w:val="000000"/>
                <w:spacing w:val="-16"/>
                <w:sz w:val="24"/>
              </w:rPr>
              <w:t>具有食品、生物、化学等相关专业专科及以上学历并具有</w:t>
            </w:r>
            <w:r>
              <w:rPr>
                <w:rFonts w:ascii="仿宋_GB2312" w:hAnsi="仿宋" w:eastAsia="仿宋_GB2312"/>
                <w:color w:val="000000"/>
                <w:spacing w:val="-16"/>
                <w:sz w:val="24"/>
              </w:rPr>
              <w:t>1年及以上食品检测工作经历，或者具有5年及以上食品检测工作经历，得0.3分；技术负责人、授权签字人应具有食品、生物、化学等相关专业的</w:t>
            </w:r>
            <w:r>
              <w:rPr>
                <w:rFonts w:hint="eastAsia" w:ascii="仿宋_GB2312" w:hAnsi="仿宋" w:eastAsia="仿宋_GB2312"/>
                <w:color w:val="000000"/>
                <w:spacing w:val="-16"/>
                <w:sz w:val="24"/>
              </w:rPr>
              <w:t>中级</w:t>
            </w:r>
            <w:r>
              <w:rPr>
                <w:rFonts w:ascii="仿宋_GB2312" w:hAnsi="仿宋" w:eastAsia="仿宋_GB2312"/>
                <w:color w:val="000000"/>
                <w:spacing w:val="-16"/>
                <w:sz w:val="24"/>
              </w:rPr>
              <w:t>及以上技术职称或同等能力(可视为具有同等能力的情形</w:t>
            </w:r>
            <w:r>
              <w:rPr>
                <w:rFonts w:hint="eastAsia" w:ascii="仿宋_GB2312" w:hAnsi="仿宋" w:eastAsia="仿宋_GB2312"/>
                <w:color w:val="000000"/>
                <w:spacing w:val="-16"/>
                <w:sz w:val="24"/>
              </w:rPr>
              <w:t>：食品、生物、化学等相关专业博士研究生毕业，从事食品检验工作</w:t>
            </w:r>
            <w:r>
              <w:rPr>
                <w:rFonts w:ascii="仿宋_GB2312" w:hAnsi="仿宋" w:eastAsia="仿宋_GB2312"/>
                <w:color w:val="000000"/>
                <w:spacing w:val="-16"/>
                <w:sz w:val="24"/>
              </w:rPr>
              <w:t>1年及以上；食品、生物、化学等相关专业硕士研究</w:t>
            </w:r>
            <w:r>
              <w:rPr>
                <w:rFonts w:hint="eastAsia" w:ascii="仿宋_GB2312" w:hAnsi="仿宋" w:eastAsia="仿宋_GB2312"/>
                <w:color w:val="000000"/>
                <w:spacing w:val="-16"/>
                <w:sz w:val="24"/>
              </w:rPr>
              <w:t>生毕业，从事食品检验工作</w:t>
            </w:r>
            <w:r>
              <w:rPr>
                <w:rFonts w:ascii="仿宋_GB2312" w:hAnsi="仿宋" w:eastAsia="仿宋_GB2312"/>
                <w:color w:val="000000"/>
                <w:spacing w:val="-16"/>
                <w:sz w:val="24"/>
              </w:rPr>
              <w:t>3年及以上；食品、生物、化学等相关专业大学本科毕业，从事食品检验工作5年及以上；食品、生物、化学等相关专业大学专科毕业，从事食品检验工作8年及以上)，数量不少于</w:t>
            </w:r>
            <w:r>
              <w:rPr>
                <w:rFonts w:hint="eastAsia" w:ascii="仿宋_GB2312" w:hAnsi="仿宋" w:eastAsia="仿宋_GB2312"/>
                <w:color w:val="000000"/>
                <w:spacing w:val="-16"/>
                <w:sz w:val="24"/>
              </w:rPr>
              <w:t>从事</w:t>
            </w:r>
            <w:r>
              <w:rPr>
                <w:rFonts w:ascii="仿宋_GB2312" w:hAnsi="仿宋" w:eastAsia="仿宋_GB2312"/>
                <w:color w:val="000000"/>
                <w:spacing w:val="-16"/>
                <w:sz w:val="24"/>
              </w:rPr>
              <w:t>食品检验活动人数的30%。</w:t>
            </w:r>
            <w:r>
              <w:rPr>
                <w:rFonts w:hint="eastAsia" w:ascii="仿宋_GB2312" w:hAnsi="仿宋" w:eastAsia="仿宋_GB2312"/>
                <w:color w:val="000000"/>
                <w:spacing w:val="-16"/>
                <w:sz w:val="24"/>
              </w:rPr>
              <w:t>得</w:t>
            </w:r>
            <w:r>
              <w:rPr>
                <w:rFonts w:ascii="仿宋_GB2312" w:hAnsi="仿宋" w:eastAsia="仿宋_GB2312"/>
                <w:color w:val="000000"/>
                <w:spacing w:val="-16"/>
                <w:sz w:val="24"/>
              </w:rPr>
              <w:t>0.2</w:t>
            </w:r>
            <w:r>
              <w:rPr>
                <w:rFonts w:hint="eastAsia" w:ascii="仿宋_GB2312" w:hAnsi="仿宋" w:eastAsia="仿宋_GB2312"/>
                <w:color w:val="000000"/>
                <w:spacing w:val="-16"/>
                <w:sz w:val="24"/>
              </w:rPr>
              <w:t>分</w:t>
            </w:r>
            <w:r>
              <w:rPr>
                <w:rFonts w:ascii="仿宋_GB2312" w:hAnsi="仿宋" w:eastAsia="仿宋_GB2312"/>
                <w:color w:val="000000"/>
                <w:spacing w:val="-16"/>
                <w:sz w:val="24"/>
              </w:rPr>
              <w:t>。</w:t>
            </w:r>
            <w:r>
              <w:rPr>
                <w:rFonts w:hint="eastAsia" w:ascii="仿宋_GB2312" w:hAnsi="仿宋" w:eastAsia="仿宋_GB2312"/>
                <w:color w:val="000000"/>
                <w:spacing w:val="-16"/>
                <w:sz w:val="24"/>
              </w:rPr>
              <w:t>否则不得分</w:t>
            </w:r>
          </w:p>
        </w:tc>
        <w:tc>
          <w:tcPr>
            <w:tcW w:w="929"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区监控分中心人员名单及技术人员资质</w:t>
            </w:r>
            <w:r>
              <w:rPr>
                <w:rFonts w:ascii="仿宋_GB2312" w:hAnsi="仿宋" w:eastAsia="仿宋_GB2312"/>
                <w:color w:val="000000"/>
                <w:spacing w:val="-12"/>
                <w:sz w:val="24"/>
              </w:rPr>
              <w:t>文件，</w:t>
            </w:r>
            <w:r>
              <w:rPr>
                <w:rFonts w:hint="eastAsia" w:ascii="仿宋_GB2312" w:hAnsi="仿宋" w:eastAsia="仿宋_GB2312"/>
                <w:color w:val="000000"/>
                <w:spacing w:val="-12"/>
                <w:sz w:val="24"/>
              </w:rPr>
              <w:t>有关职称或同等能力的证明文件</w:t>
            </w:r>
          </w:p>
        </w:tc>
        <w:tc>
          <w:tcPr>
            <w:tcW w:w="907"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81"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80"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42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hAnsi="仿宋" w:eastAsia="仿宋_GB2312"/>
                <w:color w:val="000000"/>
                <w:spacing w:val="-12"/>
                <w:sz w:val="24"/>
              </w:rPr>
            </w:pPr>
          </w:p>
        </w:tc>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监测点检测设备配发到位，得0.25分；建立监测点管理制度，开始对社会提供检测，得0.25分</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查看相关证明材料</w:t>
            </w:r>
          </w:p>
        </w:tc>
        <w:tc>
          <w:tcPr>
            <w:tcW w:w="9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1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随机抽取5个社区监测点，对其建设和运行情况进行暗访。发现不符合规范要求的或监测点不能正常运转的，每发现1个扣0.1分。针对监测点运行情况开展群众调查，结果较差的，扣0.1分</w:t>
            </w:r>
          </w:p>
        </w:tc>
        <w:tc>
          <w:tcPr>
            <w:tcW w:w="481"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 w:hRule="atLeast"/>
          <w:jc w:val="center"/>
        </w:trPr>
        <w:tc>
          <w:tcPr>
            <w:tcW w:w="42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p>
        </w:tc>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明确措施支持农产品乡镇管理站……(略)</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9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4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9" w:hRule="atLeast"/>
          <w:jc w:val="center"/>
        </w:trPr>
        <w:tc>
          <w:tcPr>
            <w:tcW w:w="42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p>
        </w:tc>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6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⑥</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推动区级农产品质量安全与监管执法……(略)</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9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4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42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p>
        </w:tc>
        <w:tc>
          <w:tcPr>
            <w:tcW w:w="177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7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⑦</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建有区级综合质检站……(略)</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9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8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1" w:hRule="atLeast"/>
          <w:jc w:val="center"/>
        </w:trPr>
        <w:tc>
          <w:tcPr>
            <w:tcW w:w="426" w:type="pct"/>
            <w:vMerge w:val="restart"/>
            <w:tcBorders>
              <w:top w:val="single" w:color="auto" w:sz="4" w:space="0"/>
            </w:tcBorders>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(十二)经费保障【4】</w:t>
            </w:r>
          </w:p>
        </w:tc>
        <w:tc>
          <w:tcPr>
            <w:tcW w:w="1778" w:type="pct"/>
            <w:tcBorders>
              <w:top w:val="single" w:color="auto" w:sz="4" w:space="0"/>
            </w:tcBorders>
            <w:vAlign w:val="center"/>
          </w:tcPr>
          <w:p>
            <w:pPr>
              <w:widowControl/>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将食品安全监管经费纳入区财政预算，得1分；食品安全经费(包括市区两级经费)投入较上年度增幅超过5%的，得1分，否则不得分</w:t>
            </w:r>
          </w:p>
        </w:tc>
        <w:tc>
          <w:tcPr>
            <w:tcW w:w="929" w:type="pct"/>
            <w:tcBorders>
              <w:top w:val="single" w:color="auto" w:sz="4" w:space="0"/>
            </w:tcBorders>
            <w:vAlign w:val="center"/>
          </w:tcPr>
          <w:p>
            <w:pPr>
              <w:widowControl/>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近两年区政府针对食品安全财政预算、专项资金预算及追加资金等投入的批复</w:t>
            </w:r>
          </w:p>
        </w:tc>
        <w:tc>
          <w:tcPr>
            <w:tcW w:w="907" w:type="pct"/>
            <w:tcBorders>
              <w:top w:val="single" w:color="auto" w:sz="4" w:space="0"/>
            </w:tcBorders>
            <w:vAlign w:val="center"/>
          </w:tcPr>
          <w:p>
            <w:pPr>
              <w:widowControl/>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81" w:type="pct"/>
            <w:vMerge w:val="restart"/>
            <w:tcBorders>
              <w:top w:val="single" w:color="auto" w:sz="4" w:space="0"/>
            </w:tcBorders>
            <w:vAlign w:val="center"/>
          </w:tcPr>
          <w:p>
            <w:pPr>
              <w:widowControl/>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tcBorders>
              <w:top w:val="single" w:color="auto" w:sz="4" w:space="0"/>
            </w:tcBorders>
            <w:vAlign w:val="center"/>
          </w:tcPr>
          <w:p>
            <w:pPr>
              <w:widowControl/>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8" w:hRule="atLeast"/>
          <w:jc w:val="center"/>
        </w:trPr>
        <w:tc>
          <w:tcPr>
            <w:tcW w:w="42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778"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区财政安排专项资金用于食品检验检测、宣传教育、技术培训、应急处置、执法装备、信息化建设、食品药品安全监察员队伍建设等重点工作，得1分</w:t>
            </w:r>
          </w:p>
        </w:tc>
        <w:tc>
          <w:tcPr>
            <w:tcW w:w="929"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近两年区政府针对食品安全财政预算、专项资金预算及追加资金等投入的批复、预算的支付凭证等</w:t>
            </w:r>
          </w:p>
        </w:tc>
        <w:tc>
          <w:tcPr>
            <w:tcW w:w="90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随机抽取2个项目进行核查，存在预算执行不到位或存在违规行为的，每发现1项扣0.2分</w:t>
            </w:r>
          </w:p>
        </w:tc>
        <w:tc>
          <w:tcPr>
            <w:tcW w:w="481"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80" w:type="pct"/>
            <w:vAlign w:val="center"/>
          </w:tcPr>
          <w:p>
            <w:pPr>
              <w:widowControl/>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42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778"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辖区各食品安全监管部门市、区两级食品安全检验检测经费满足4份</w:t>
            </w:r>
            <w:r>
              <w:rPr>
                <w:rFonts w:ascii="仿宋_GB2312" w:hAnsi="仿宋" w:eastAsia="仿宋_GB2312"/>
                <w:color w:val="000000"/>
                <w:spacing w:val="-12"/>
                <w:sz w:val="24"/>
              </w:rPr>
              <w:t>/</w:t>
            </w:r>
            <w:r>
              <w:rPr>
                <w:rFonts w:hint="eastAsia" w:ascii="仿宋_GB2312" w:hAnsi="仿宋" w:eastAsia="仿宋_GB2312"/>
                <w:color w:val="000000"/>
                <w:spacing w:val="-12"/>
                <w:sz w:val="24"/>
              </w:rPr>
              <w:t>千人口</w:t>
            </w:r>
            <w:r>
              <w:rPr>
                <w:rFonts w:ascii="仿宋_GB2312" w:hAnsi="仿宋" w:eastAsia="仿宋_GB2312"/>
                <w:color w:val="000000"/>
                <w:spacing w:val="-12"/>
                <w:sz w:val="24"/>
              </w:rPr>
              <w:t>·</w:t>
            </w:r>
            <w:r>
              <w:rPr>
                <w:rFonts w:hint="eastAsia" w:ascii="仿宋_GB2312" w:hAnsi="仿宋" w:eastAsia="仿宋_GB2312"/>
                <w:color w:val="000000"/>
                <w:spacing w:val="-12"/>
                <w:sz w:val="24"/>
              </w:rPr>
              <w:t>年的检测样本量(不含快速检测，样品检测费用按平均200</w:t>
            </w:r>
            <w:r>
              <w:rPr>
                <w:rFonts w:ascii="仿宋_GB2312" w:hAnsi="仿宋" w:eastAsia="仿宋_GB2312"/>
                <w:color w:val="000000"/>
                <w:spacing w:val="-12"/>
                <w:sz w:val="24"/>
              </w:rPr>
              <w:t>0</w:t>
            </w:r>
            <w:r>
              <w:rPr>
                <w:rFonts w:hint="eastAsia" w:ascii="仿宋_GB2312" w:hAnsi="仿宋" w:eastAsia="仿宋_GB2312"/>
                <w:color w:val="000000"/>
                <w:spacing w:val="-12"/>
                <w:sz w:val="24"/>
              </w:rPr>
              <w:t>元</w:t>
            </w:r>
            <w:r>
              <w:rPr>
                <w:rFonts w:ascii="仿宋_GB2312" w:hAnsi="仿宋" w:eastAsia="仿宋_GB2312"/>
                <w:color w:val="000000"/>
                <w:spacing w:val="-12"/>
                <w:sz w:val="24"/>
              </w:rPr>
              <w:t>/</w:t>
            </w:r>
            <w:r>
              <w:rPr>
                <w:rFonts w:hint="eastAsia" w:ascii="仿宋_GB2312" w:hAnsi="仿宋" w:eastAsia="仿宋_GB2312"/>
                <w:color w:val="000000"/>
                <w:spacing w:val="-12"/>
                <w:sz w:val="24"/>
              </w:rPr>
              <w:t>份计算)，得1分；未能满足的按比例扣分</w:t>
            </w:r>
          </w:p>
        </w:tc>
        <w:tc>
          <w:tcPr>
            <w:tcW w:w="929"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辖区食品安全各监管部门年度的食品安全检验经费预算、评估有效期内食品安全检验经费结算凭证等</w:t>
            </w:r>
          </w:p>
        </w:tc>
        <w:tc>
          <w:tcPr>
            <w:tcW w:w="90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81"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80"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atLeast"/>
          <w:jc w:val="center"/>
        </w:trPr>
        <w:tc>
          <w:tcPr>
            <w:tcW w:w="426"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(十三)执法装备保障【1】</w:t>
            </w:r>
          </w:p>
        </w:tc>
        <w:tc>
          <w:tcPr>
            <w:tcW w:w="1778"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开展创建示范区后，区政府出台相关政策或加大财政投入，用于提升食品安全相关执法装备的配备水平，得1分</w:t>
            </w:r>
          </w:p>
        </w:tc>
        <w:tc>
          <w:tcPr>
            <w:tcW w:w="929"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查看相关证明材料。</w:t>
            </w:r>
          </w:p>
        </w:tc>
        <w:tc>
          <w:tcPr>
            <w:tcW w:w="90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根据相关材料，随机抽取5个食药监管所进行执法装备现场检查，每发现存在1个装备配备不到位的情况，扣0.1分。扣完为止</w:t>
            </w:r>
          </w:p>
        </w:tc>
        <w:tc>
          <w:tcPr>
            <w:tcW w:w="481"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80"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区财政局</w:t>
            </w:r>
          </w:p>
        </w:tc>
      </w:tr>
    </w:tbl>
    <w:p>
      <w:pPr>
        <w:widowControl/>
        <w:shd w:val="clear" w:color="auto" w:fill="FFFFFF"/>
        <w:adjustRightInd w:val="0"/>
        <w:snapToGrid w:val="0"/>
        <w:spacing w:line="578" w:lineRule="exact"/>
        <w:ind w:firstLine="592" w:firstLineChars="200"/>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三、食品源头治理有效(17.5分)</w:t>
      </w:r>
    </w:p>
    <w:tbl>
      <w:tblPr>
        <w:tblStyle w:val="18"/>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31"/>
        <w:gridCol w:w="6029"/>
        <w:gridCol w:w="1895"/>
        <w:gridCol w:w="2166"/>
        <w:gridCol w:w="1327"/>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 w:hRule="atLeast"/>
          <w:tblHeader/>
          <w:jc w:val="center"/>
        </w:trPr>
        <w:tc>
          <w:tcPr>
            <w:tcW w:w="5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考核指标</w:t>
            </w:r>
          </w:p>
        </w:tc>
        <w:tc>
          <w:tcPr>
            <w:tcW w:w="2113"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考评标准</w:t>
            </w:r>
          </w:p>
        </w:tc>
        <w:tc>
          <w:tcPr>
            <w:tcW w:w="664"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资料查验</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现场评估与群众感受</w:t>
            </w:r>
          </w:p>
        </w:tc>
        <w:tc>
          <w:tcPr>
            <w:tcW w:w="465"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评分部门</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jc w:val="center"/>
              <w:rPr>
                <w:rFonts w:ascii="黑体" w:hAnsi="黑体" w:eastAsia="黑体"/>
                <w:color w:val="000000"/>
                <w:spacing w:val="-12"/>
                <w:sz w:val="24"/>
              </w:rPr>
            </w:pPr>
            <w:r>
              <w:rPr>
                <w:rFonts w:hint="eastAsia" w:ascii="黑体" w:hAnsi="黑体" w:eastAsia="黑体"/>
                <w:color w:val="000000"/>
                <w:spacing w:val="-12"/>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jc w:val="center"/>
        </w:trPr>
        <w:tc>
          <w:tcPr>
            <w:tcW w:w="537" w:type="pct"/>
            <w:vMerge w:val="restar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(十四)北京与天津、河北及其他省(区市)食品药品安全区域联动协作机制建设【1.5】</w:t>
            </w:r>
          </w:p>
        </w:tc>
        <w:tc>
          <w:tcPr>
            <w:tcW w:w="2113" w:type="pc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贯</w:t>
            </w:r>
            <w:r>
              <w:rPr>
                <w:rFonts w:hint="eastAsia" w:ascii="仿宋_GB2312" w:hAnsi="仿宋" w:eastAsia="仿宋_GB2312"/>
                <w:color w:val="000000"/>
                <w:spacing w:val="-16"/>
                <w:sz w:val="24"/>
              </w:rPr>
              <w:t>彻实施食用农产品产销衔接机制，落实大型批发市场、商场农畜产品协议准入制度；贯彻国家食品药品监督管理总局《食用农产品市场销售质量安全监督管理办法》，落实产地证明、检测证明制度。区政府或有关部门出台关于加强食用农产品产销衔接机制有关文件得0.5分</w:t>
            </w:r>
          </w:p>
        </w:tc>
        <w:tc>
          <w:tcPr>
            <w:tcW w:w="664" w:type="pct"/>
            <w:vMerge w:val="restar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查验区政府或有关部门出台的文件、签署的有关协议、可证明的有关文本、实际落实情况说明</w:t>
            </w:r>
          </w:p>
        </w:tc>
        <w:tc>
          <w:tcPr>
            <w:tcW w:w="759" w:type="pct"/>
            <w:vMerge w:val="restar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选取1家大型批发市场进行现场检查，每发现1项不合格，扣0.1分，扣完为止；</w:t>
            </w:r>
          </w:p>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针对辖区大型批发市场、商超食用农产品安全状况开展群众调查，结果较差的，扣0.1分</w:t>
            </w:r>
          </w:p>
        </w:tc>
        <w:tc>
          <w:tcPr>
            <w:tcW w:w="465" w:type="pct"/>
            <w:vMerge w:val="restar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Merge w:val="restart"/>
            <w:tcBorders>
              <w:top w:val="single" w:color="auto" w:sz="4" w:space="0"/>
            </w:tcBorders>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大型批发市场、商超总部与供应基地签订牛羊肉等畜产品准入协议，得0.25分</w:t>
            </w:r>
          </w:p>
        </w:tc>
        <w:tc>
          <w:tcPr>
            <w:tcW w:w="664" w:type="pct"/>
            <w:vMerge w:val="continue"/>
            <w:vAlign w:val="center"/>
          </w:tcPr>
          <w:p>
            <w:pPr>
              <w:adjustRightInd w:val="0"/>
              <w:snapToGrid w:val="0"/>
              <w:jc w:val="left"/>
              <w:rPr>
                <w:rFonts w:ascii="仿宋_GB2312" w:hAnsi="仿宋" w:eastAsia="仿宋_GB2312"/>
                <w:color w:val="000000"/>
                <w:spacing w:val="-12"/>
                <w:sz w:val="24"/>
              </w:rPr>
            </w:pPr>
          </w:p>
        </w:tc>
        <w:tc>
          <w:tcPr>
            <w:tcW w:w="759" w:type="pct"/>
            <w:vMerge w:val="continue"/>
            <w:vAlign w:val="center"/>
          </w:tcPr>
          <w:p>
            <w:pPr>
              <w:adjustRightInd w:val="0"/>
              <w:snapToGrid w:val="0"/>
              <w:jc w:val="left"/>
              <w:rPr>
                <w:rFonts w:ascii="仿宋_GB2312" w:hAnsi="仿宋" w:eastAsia="仿宋_GB2312"/>
                <w:color w:val="000000"/>
                <w:spacing w:val="-12"/>
                <w:sz w:val="24"/>
              </w:rPr>
            </w:pP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有规范的产地证明、检测证明等文件，得0.25分</w:t>
            </w:r>
          </w:p>
        </w:tc>
        <w:tc>
          <w:tcPr>
            <w:tcW w:w="664" w:type="pct"/>
            <w:vMerge w:val="continue"/>
            <w:vAlign w:val="center"/>
          </w:tcPr>
          <w:p>
            <w:pPr>
              <w:adjustRightInd w:val="0"/>
              <w:snapToGrid w:val="0"/>
              <w:jc w:val="left"/>
              <w:rPr>
                <w:rFonts w:ascii="仿宋_GB2312" w:hAnsi="仿宋" w:eastAsia="仿宋_GB2312"/>
                <w:color w:val="000000"/>
                <w:spacing w:val="-12"/>
                <w:sz w:val="24"/>
              </w:rPr>
            </w:pPr>
          </w:p>
        </w:tc>
        <w:tc>
          <w:tcPr>
            <w:tcW w:w="759" w:type="pct"/>
            <w:vMerge w:val="continue"/>
            <w:vAlign w:val="center"/>
          </w:tcPr>
          <w:p>
            <w:pPr>
              <w:adjustRightInd w:val="0"/>
              <w:snapToGrid w:val="0"/>
              <w:jc w:val="left"/>
              <w:rPr>
                <w:rFonts w:ascii="仿宋_GB2312" w:hAnsi="仿宋" w:eastAsia="仿宋_GB2312"/>
                <w:color w:val="000000"/>
                <w:spacing w:val="-12"/>
                <w:sz w:val="24"/>
              </w:rPr>
            </w:pP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有规范的产销目录，并有规范的产销目录管理制度，得0.25分；有实际落实情况报告，得0.25分</w:t>
            </w:r>
          </w:p>
        </w:tc>
        <w:tc>
          <w:tcPr>
            <w:tcW w:w="664" w:type="pct"/>
            <w:vMerge w:val="continue"/>
            <w:vAlign w:val="center"/>
          </w:tcPr>
          <w:p>
            <w:pPr>
              <w:adjustRightInd w:val="0"/>
              <w:snapToGrid w:val="0"/>
              <w:jc w:val="left"/>
              <w:rPr>
                <w:rFonts w:ascii="仿宋_GB2312" w:hAnsi="仿宋" w:eastAsia="仿宋_GB2312"/>
                <w:color w:val="000000"/>
                <w:spacing w:val="-12"/>
                <w:sz w:val="24"/>
              </w:rPr>
            </w:pPr>
          </w:p>
        </w:tc>
        <w:tc>
          <w:tcPr>
            <w:tcW w:w="759" w:type="pct"/>
            <w:vMerge w:val="continue"/>
            <w:vAlign w:val="center"/>
          </w:tcPr>
          <w:p>
            <w:pPr>
              <w:adjustRightInd w:val="0"/>
              <w:snapToGrid w:val="0"/>
              <w:jc w:val="left"/>
              <w:rPr>
                <w:rFonts w:ascii="仿宋_GB2312" w:hAnsi="仿宋" w:eastAsia="仿宋_GB2312"/>
                <w:color w:val="000000"/>
                <w:spacing w:val="-12"/>
                <w:sz w:val="24"/>
              </w:rPr>
            </w:pP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537"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(十五)农产品生产主体统计登记情况【1.5】</w:t>
            </w: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完成区生产主体普查……(略)</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465"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签订农产品质量安全责任书……(略)</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537"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(十六)农产品“三品”认证工作【1】</w:t>
            </w: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农产品“三品”认证覆盖率达到或超过60%……(略)</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5"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 w:hRule="atLeast"/>
          <w:jc w:val="center"/>
        </w:trPr>
        <w:tc>
          <w:tcPr>
            <w:tcW w:w="537"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(十七)农业基地标准化覆盖水平【1】</w:t>
            </w: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区农业基地标准化覆盖率达到或超过40%……(略)</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5"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537"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(十八) 果品标准化基地建设进展情况【1.5分】</w:t>
            </w: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果品产地认证面积占该区果品产地总面积60%及以上……(略)</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5"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市园林绿化局</w:t>
            </w:r>
          </w:p>
        </w:tc>
        <w:tc>
          <w:tcPr>
            <w:tcW w:w="462"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537" w:type="pct"/>
            <w:vAlign w:val="center"/>
          </w:tcPr>
          <w:p>
            <w:pPr>
              <w:adjustRightInd w:val="0"/>
              <w:snapToGrid w:val="0"/>
              <w:spacing w:line="340" w:lineRule="exact"/>
              <w:jc w:val="left"/>
              <w:rPr>
                <w:rFonts w:ascii="仿宋_GB2312" w:hAnsi="仿宋" w:eastAsia="仿宋_GB2312"/>
                <w:color w:val="000000"/>
                <w:spacing w:val="-18"/>
                <w:w w:val="95"/>
                <w:sz w:val="24"/>
              </w:rPr>
            </w:pPr>
            <w:r>
              <w:rPr>
                <w:rFonts w:hint="eastAsia" w:ascii="仿宋_GB2312" w:hAnsi="仿宋" w:eastAsia="仿宋_GB2312"/>
                <w:color w:val="000000"/>
                <w:spacing w:val="-18"/>
                <w:w w:val="95"/>
                <w:sz w:val="24"/>
              </w:rPr>
              <w:t>(十九)建立食用林产品无公害认证奖励补贴机制【1】</w:t>
            </w:r>
          </w:p>
        </w:tc>
        <w:tc>
          <w:tcPr>
            <w:tcW w:w="2113" w:type="pct"/>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建立明确的食用林产品无公害认证奖励补贴机制……(略)</w:t>
            </w:r>
          </w:p>
        </w:tc>
        <w:tc>
          <w:tcPr>
            <w:tcW w:w="664" w:type="pc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9" w:type="pc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5" w:type="pc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市园林绿化局</w:t>
            </w:r>
          </w:p>
        </w:tc>
        <w:tc>
          <w:tcPr>
            <w:tcW w:w="462" w:type="pc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atLeast"/>
          <w:jc w:val="center"/>
        </w:trPr>
        <w:tc>
          <w:tcPr>
            <w:tcW w:w="537" w:type="pct"/>
            <w:vMerge w:val="restar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(二十)集中交易市场管理规范情况【2】</w:t>
            </w:r>
          </w:p>
        </w:tc>
        <w:tc>
          <w:tcPr>
            <w:tcW w:w="2113" w:type="pct"/>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w:t>
            </w:r>
            <w:r>
              <w:rPr>
                <w:rFonts w:hint="eastAsia" w:ascii="仿宋_GB2312" w:hAnsi="仿宋" w:eastAsia="仿宋_GB2312"/>
                <w:color w:val="000000"/>
                <w:spacing w:val="-16"/>
                <w:sz w:val="24"/>
              </w:rPr>
              <w:t>区各集中交易市场全部建立食品安全管理制度并上墙，建立市场准入准出、不合格产品处置和信息公示、信息通报制度，不合格产品违法销售行为向社会公示，并向监管部门报告，不合格产品得到有效处置，建成农产品快速检测室，检测台账有记录，并有信息公示牌，在售食品不存在过期、腐败变质，得0.5分；每发现一项不符合要求的扣0.1分</w:t>
            </w:r>
          </w:p>
        </w:tc>
        <w:tc>
          <w:tcPr>
            <w:tcW w:w="664" w:type="pct"/>
            <w:vMerge w:val="restar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随机抽取2家农贸市场开展现场随机抽查。相关食品安全管理制度、进货相关凭证及快检室建设情况。并查验相关台账、追溯情况、从事直接入口食品工作的食品生产经营健康证明、管理档案、持证情况及其它相关资料</w:t>
            </w:r>
          </w:p>
        </w:tc>
        <w:tc>
          <w:tcPr>
            <w:tcW w:w="759" w:type="pct"/>
            <w:vMerge w:val="restart"/>
            <w:vAlign w:val="center"/>
          </w:tcPr>
          <w:p>
            <w:pPr>
              <w:adjustRightInd w:val="0"/>
              <w:snapToGrid w:val="0"/>
              <w:spacing w:line="340" w:lineRule="exact"/>
              <w:jc w:val="left"/>
              <w:rPr>
                <w:rFonts w:ascii="仿宋_GB2312" w:hAnsi="仿宋" w:eastAsia="仿宋_GB2312"/>
                <w:color w:val="000000"/>
                <w:spacing w:val="-18"/>
                <w:sz w:val="24"/>
              </w:rPr>
            </w:pPr>
            <w:r>
              <w:rPr>
                <w:rFonts w:hint="eastAsia" w:ascii="仿宋_GB2312" w:hAnsi="仿宋" w:eastAsia="仿宋_GB2312"/>
                <w:color w:val="000000"/>
                <w:spacing w:val="-18"/>
                <w:sz w:val="24"/>
              </w:rPr>
              <w:t>针对市场快速检测设备进行随机测试，根据其可检项目选取3项进行现场随机测试，每有1项不能正常检测的，扣0.1分；</w:t>
            </w:r>
          </w:p>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针对市场内商户、群众开展调查，如发现市场管理情况较差或存在群众集中反映的问题等，经核实每1项扣0.05分，扣完为止</w:t>
            </w:r>
          </w:p>
        </w:tc>
        <w:tc>
          <w:tcPr>
            <w:tcW w:w="465" w:type="pct"/>
            <w:vMerge w:val="restar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Merge w:val="restart"/>
            <w:vAlign w:val="center"/>
          </w:tcPr>
          <w:p>
            <w:pPr>
              <w:adjustRightInd w:val="0"/>
              <w:snapToGrid w:val="0"/>
              <w:spacing w:line="34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537"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95%以上的主城区农贸市场、100个摊位以上的农村农贸市场快速检测设备可检项目不少于8个，得0.5分</w:t>
            </w:r>
          </w:p>
        </w:tc>
        <w:tc>
          <w:tcPr>
            <w:tcW w:w="664"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759"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2"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jc w:val="center"/>
        </w:trPr>
        <w:tc>
          <w:tcPr>
            <w:tcW w:w="537"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市场固定摊位从事接触直接入口食品工作的食品生产经营人员的管理档案齐全、有效，有效健康证明持有率100%；食用农产品经营户履行进货查验，有相关凭证，得0.5分</w:t>
            </w:r>
          </w:p>
        </w:tc>
        <w:tc>
          <w:tcPr>
            <w:tcW w:w="664"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759"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2"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 w:hRule="atLeast"/>
          <w:jc w:val="center"/>
        </w:trPr>
        <w:tc>
          <w:tcPr>
            <w:tcW w:w="537"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4"/>
                <w:sz w:val="24"/>
              </w:rPr>
              <w:t>负责人及食品安全管理人员培训符合40小时/年的要求，得0.25分</w:t>
            </w:r>
          </w:p>
        </w:tc>
        <w:tc>
          <w:tcPr>
            <w:tcW w:w="664"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759"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c>
          <w:tcPr>
            <w:tcW w:w="462" w:type="pct"/>
            <w:vMerge w:val="continue"/>
            <w:vAlign w:val="center"/>
          </w:tcPr>
          <w:p>
            <w:pPr>
              <w:adjustRightInd w:val="0"/>
              <w:snapToGrid w:val="0"/>
              <w:spacing w:line="340" w:lineRule="exact"/>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537" w:type="pct"/>
            <w:vMerge w:val="continue"/>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2"/>
                <w:sz w:val="24"/>
              </w:rPr>
            </w:pPr>
          </w:p>
        </w:tc>
        <w:tc>
          <w:tcPr>
            <w:tcW w:w="2113" w:type="pct"/>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食用农产品可以通过电子手段或入市销售者记录准确追溯，得0.25分</w:t>
            </w:r>
          </w:p>
        </w:tc>
        <w:tc>
          <w:tcPr>
            <w:tcW w:w="664" w:type="pct"/>
            <w:vMerge w:val="continue"/>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2"/>
                <w:sz w:val="24"/>
              </w:rPr>
            </w:pPr>
          </w:p>
        </w:tc>
        <w:tc>
          <w:tcPr>
            <w:tcW w:w="759" w:type="pct"/>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8"/>
                <w:sz w:val="24"/>
              </w:rPr>
            </w:pPr>
            <w:r>
              <w:rPr>
                <w:rFonts w:hint="eastAsia" w:ascii="仿宋_GB2312" w:hAnsi="仿宋" w:eastAsia="仿宋_GB2312"/>
                <w:color w:val="000000"/>
                <w:spacing w:val="-18"/>
                <w:sz w:val="24"/>
              </w:rPr>
              <w:t>现场随机抽查5个品种，查看产品产地证明、销售凭证等信息是否完备，是否可追溯，每有1批次存在信息缺失，扣0.1分</w:t>
            </w:r>
          </w:p>
        </w:tc>
        <w:tc>
          <w:tcPr>
            <w:tcW w:w="465" w:type="pct"/>
            <w:vMerge w:val="continue"/>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2"/>
                <w:sz w:val="24"/>
              </w:rPr>
            </w:pPr>
          </w:p>
        </w:tc>
        <w:tc>
          <w:tcPr>
            <w:tcW w:w="462" w:type="pct"/>
            <w:vMerge w:val="continue"/>
            <w:tcBorders>
              <w:bottom w:val="single" w:color="auto" w:sz="4" w:space="0"/>
            </w:tcBorders>
            <w:vAlign w:val="center"/>
          </w:tcPr>
          <w:p>
            <w:pPr>
              <w:adjustRightInd w:val="0"/>
              <w:snapToGrid w:val="0"/>
              <w:spacing w:line="340" w:lineRule="exact"/>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7"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(二十一)餐厨垃圾和废弃油脂处理【4分】</w:t>
            </w: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按照规定</w:t>
            </w:r>
            <w:r>
              <w:rPr>
                <w:rFonts w:ascii="仿宋_GB2312" w:hAnsi="仿宋" w:eastAsia="仿宋_GB2312"/>
                <w:color w:val="000000"/>
                <w:spacing w:val="-12"/>
                <w:sz w:val="24"/>
              </w:rPr>
              <w:t>建立</w:t>
            </w:r>
            <w:r>
              <w:rPr>
                <w:rFonts w:hint="eastAsia" w:ascii="仿宋_GB2312" w:hAnsi="仿宋" w:eastAsia="仿宋_GB2312"/>
                <w:color w:val="000000"/>
                <w:spacing w:val="-12"/>
                <w:sz w:val="24"/>
              </w:rPr>
              <w:t>辖区餐饮单位</w:t>
            </w:r>
            <w:r>
              <w:rPr>
                <w:rFonts w:ascii="仿宋_GB2312" w:hAnsi="仿宋" w:eastAsia="仿宋_GB2312"/>
                <w:color w:val="000000"/>
                <w:spacing w:val="-12"/>
                <w:sz w:val="24"/>
              </w:rPr>
              <w:t>餐厨垃圾和废弃油脂统计台账</w:t>
            </w:r>
            <w:r>
              <w:rPr>
                <w:rFonts w:hint="eastAsia" w:ascii="仿宋_GB2312" w:hAnsi="仿宋" w:eastAsia="仿宋_GB2312"/>
                <w:color w:val="000000"/>
                <w:spacing w:val="-12"/>
                <w:sz w:val="24"/>
              </w:rPr>
              <w:t>。以台账覆盖率(纳入台账的餐饮单位个数占辖区内餐饮单位(不含集体用餐配送单位和中央厨房)总数的比率)作为评分依据，台账覆盖率≥80%，得满分1分；7</w:t>
            </w:r>
            <w:r>
              <w:rPr>
                <w:rFonts w:ascii="仿宋_GB2312" w:hAnsi="仿宋" w:eastAsia="仿宋_GB2312"/>
                <w:color w:val="000000"/>
                <w:spacing w:val="-12"/>
                <w:sz w:val="24"/>
              </w:rPr>
              <w:t>0≤</w:t>
            </w:r>
            <w:r>
              <w:rPr>
                <w:rFonts w:hint="eastAsia" w:ascii="仿宋_GB2312" w:hAnsi="仿宋" w:eastAsia="仿宋_GB2312"/>
                <w:color w:val="000000"/>
                <w:spacing w:val="-12"/>
                <w:sz w:val="24"/>
              </w:rPr>
              <w:t>台账覆盖率＜80%，得0.8分；6</w:t>
            </w:r>
            <w:r>
              <w:rPr>
                <w:rFonts w:ascii="仿宋_GB2312" w:hAnsi="仿宋" w:eastAsia="仿宋_GB2312"/>
                <w:color w:val="000000"/>
                <w:spacing w:val="-12"/>
                <w:sz w:val="24"/>
              </w:rPr>
              <w:t>0%</w:t>
            </w:r>
            <w:r>
              <w:rPr>
                <w:rFonts w:hint="eastAsia" w:ascii="仿宋_GB2312" w:hAnsi="仿宋" w:eastAsia="仿宋_GB2312"/>
                <w:color w:val="000000"/>
                <w:spacing w:val="-12"/>
                <w:sz w:val="24"/>
              </w:rPr>
              <w:t>≤台账覆盖率＜70%，得0.6分；5</w:t>
            </w:r>
            <w:r>
              <w:rPr>
                <w:rFonts w:ascii="仿宋_GB2312" w:hAnsi="仿宋" w:eastAsia="仿宋_GB2312"/>
                <w:color w:val="000000"/>
                <w:spacing w:val="-12"/>
                <w:sz w:val="24"/>
              </w:rPr>
              <w:t>0</w:t>
            </w:r>
            <w:r>
              <w:rPr>
                <w:rFonts w:hint="eastAsia" w:ascii="仿宋_GB2312" w:hAnsi="仿宋" w:eastAsia="仿宋_GB2312"/>
                <w:color w:val="000000"/>
                <w:spacing w:val="-12"/>
                <w:sz w:val="24"/>
              </w:rPr>
              <w:t>%≤台账覆盖率＜</w:t>
            </w:r>
            <w:r>
              <w:rPr>
                <w:rFonts w:ascii="仿宋_GB2312" w:hAnsi="仿宋" w:eastAsia="仿宋_GB2312"/>
                <w:color w:val="000000"/>
                <w:spacing w:val="-12"/>
                <w:sz w:val="24"/>
              </w:rPr>
              <w:t>6</w:t>
            </w:r>
            <w:r>
              <w:rPr>
                <w:rFonts w:hint="eastAsia" w:ascii="仿宋_GB2312" w:hAnsi="仿宋" w:eastAsia="仿宋_GB2312"/>
                <w:color w:val="000000"/>
                <w:spacing w:val="-12"/>
                <w:sz w:val="24"/>
              </w:rPr>
              <w:t>0%，得0.4分；台账覆盖率＜5</w:t>
            </w:r>
            <w:r>
              <w:rPr>
                <w:rFonts w:ascii="仿宋_GB2312" w:hAnsi="仿宋" w:eastAsia="仿宋_GB2312"/>
                <w:color w:val="000000"/>
                <w:spacing w:val="-12"/>
                <w:sz w:val="24"/>
              </w:rPr>
              <w:t>0</w:t>
            </w:r>
            <w:r>
              <w:rPr>
                <w:rFonts w:hint="eastAsia" w:ascii="仿宋_GB2312" w:hAnsi="仿宋" w:eastAsia="仿宋_GB2312"/>
                <w:color w:val="000000"/>
                <w:spacing w:val="-12"/>
                <w:sz w:val="24"/>
              </w:rPr>
              <w:t>%，得0.2分；未建立台账的得0分</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查验</w:t>
            </w:r>
            <w:r>
              <w:rPr>
                <w:rFonts w:ascii="仿宋_GB2312" w:hAnsi="仿宋" w:eastAsia="仿宋_GB2312"/>
                <w:color w:val="000000"/>
                <w:spacing w:val="-12"/>
                <w:sz w:val="24"/>
              </w:rPr>
              <w:t>餐饮单位餐厨垃圾和废弃油脂台账建立情况</w:t>
            </w:r>
          </w:p>
        </w:tc>
        <w:tc>
          <w:tcPr>
            <w:tcW w:w="759" w:type="pct"/>
            <w:vMerge w:val="restart"/>
            <w:vAlign w:val="center"/>
          </w:tcPr>
          <w:p>
            <w:pPr>
              <w:adjustRightInd w:val="0"/>
              <w:snapToGrid w:val="0"/>
              <w:spacing w:line="280" w:lineRule="exact"/>
              <w:jc w:val="left"/>
              <w:rPr>
                <w:rFonts w:ascii="仿宋_GB2312" w:hAnsi="仿宋" w:eastAsia="仿宋_GB2312"/>
                <w:color w:val="000000"/>
                <w:spacing w:val="-16"/>
                <w:sz w:val="24"/>
              </w:rPr>
            </w:pPr>
            <w:r>
              <w:rPr>
                <w:rFonts w:hint="eastAsia" w:ascii="仿宋_GB2312" w:hAnsi="仿宋" w:eastAsia="仿宋_GB2312"/>
                <w:color w:val="000000"/>
                <w:spacing w:val="-16"/>
                <w:sz w:val="24"/>
              </w:rPr>
              <w:t>随机抽取</w:t>
            </w:r>
            <w:r>
              <w:rPr>
                <w:rFonts w:ascii="仿宋_GB2312" w:hAnsi="仿宋" w:eastAsia="仿宋_GB2312"/>
                <w:color w:val="000000"/>
                <w:spacing w:val="-16"/>
                <w:sz w:val="24"/>
              </w:rPr>
              <w:t>餐厨垃圾</w:t>
            </w:r>
            <w:r>
              <w:rPr>
                <w:rFonts w:hint="eastAsia" w:ascii="仿宋_GB2312" w:hAnsi="仿宋" w:eastAsia="仿宋_GB2312"/>
                <w:color w:val="000000"/>
                <w:spacing w:val="-16"/>
                <w:sz w:val="24"/>
              </w:rPr>
              <w:t>和</w:t>
            </w:r>
            <w:r>
              <w:rPr>
                <w:rFonts w:ascii="仿宋_GB2312" w:hAnsi="仿宋" w:eastAsia="仿宋_GB2312"/>
                <w:color w:val="000000"/>
                <w:spacing w:val="-16"/>
                <w:sz w:val="24"/>
              </w:rPr>
              <w:t>废弃油脂</w:t>
            </w:r>
            <w:r>
              <w:rPr>
                <w:rFonts w:hint="eastAsia" w:ascii="仿宋_GB2312" w:hAnsi="仿宋" w:eastAsia="仿宋_GB2312"/>
                <w:color w:val="000000"/>
                <w:spacing w:val="-16"/>
                <w:sz w:val="24"/>
              </w:rPr>
              <w:t>规范收运名单中餐饮单位，现场查看单独收集餐厨垃圾和废弃油脂情况，每发现未按规定单独收集，扣0.1分；</w:t>
            </w:r>
          </w:p>
          <w:p>
            <w:pPr>
              <w:adjustRightInd w:val="0"/>
              <w:snapToGrid w:val="0"/>
              <w:spacing w:line="2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针对辖区餐饮企业餐厨垃圾、废弃油脂收运处置情况面向群众开展调查，如发现群众集中反映的问题，每有1项扣0.1分，扣完为止</w:t>
            </w:r>
          </w:p>
        </w:tc>
        <w:tc>
          <w:tcPr>
            <w:tcW w:w="465"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市城市管理委</w:t>
            </w:r>
          </w:p>
        </w:tc>
        <w:tc>
          <w:tcPr>
            <w:tcW w:w="462"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6"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根据辖区餐厨垃圾规范收运名单，餐饮单位单独收集餐厨垃圾，并委托有资质的收运单位运至符合规定的处理</w:t>
            </w:r>
            <w:r>
              <w:rPr>
                <w:rFonts w:ascii="仿宋_GB2312" w:hAnsi="仿宋" w:eastAsia="仿宋_GB2312"/>
                <w:color w:val="000000"/>
                <w:spacing w:val="-12"/>
                <w:sz w:val="24"/>
              </w:rPr>
              <w:t>设施进行处理</w:t>
            </w:r>
            <w:r>
              <w:rPr>
                <w:rFonts w:hint="eastAsia" w:ascii="仿宋_GB2312" w:hAnsi="仿宋" w:eastAsia="仿宋_GB2312"/>
                <w:color w:val="000000"/>
                <w:spacing w:val="-12"/>
                <w:sz w:val="24"/>
              </w:rPr>
              <w:t>。纳入餐厨垃圾规范收运的餐饮单位与有资质的收运单位签订收运合同并提供完整的收集处置记录，得1分，每抽查到一个不能提供</w:t>
            </w:r>
            <w:r>
              <w:rPr>
                <w:rFonts w:ascii="仿宋_GB2312" w:hAnsi="仿宋" w:eastAsia="仿宋_GB2312"/>
                <w:color w:val="000000"/>
                <w:spacing w:val="-12"/>
                <w:sz w:val="24"/>
              </w:rPr>
              <w:t>有效的</w:t>
            </w:r>
            <w:r>
              <w:rPr>
                <w:rFonts w:hint="eastAsia" w:ascii="仿宋_GB2312" w:hAnsi="仿宋" w:eastAsia="仿宋_GB2312"/>
                <w:color w:val="000000"/>
                <w:spacing w:val="-12"/>
                <w:sz w:val="24"/>
              </w:rPr>
              <w:t>收运合同及收集处置记录的餐饮单位，</w:t>
            </w:r>
            <w:r>
              <w:rPr>
                <w:rFonts w:ascii="仿宋_GB2312" w:hAnsi="仿宋" w:eastAsia="仿宋_GB2312"/>
                <w:color w:val="000000"/>
                <w:spacing w:val="-12"/>
                <w:sz w:val="24"/>
              </w:rPr>
              <w:t>扣</w:t>
            </w:r>
            <w:r>
              <w:rPr>
                <w:rFonts w:hint="eastAsia" w:ascii="仿宋_GB2312" w:hAnsi="仿宋" w:eastAsia="仿宋_GB2312"/>
                <w:color w:val="000000"/>
                <w:spacing w:val="-12"/>
                <w:sz w:val="24"/>
              </w:rPr>
              <w:t>0.1分</w:t>
            </w:r>
            <w:r>
              <w:rPr>
                <w:rFonts w:ascii="仿宋_GB2312" w:hAnsi="仿宋" w:eastAsia="仿宋_GB2312"/>
                <w:color w:val="000000"/>
                <w:spacing w:val="-12"/>
                <w:sz w:val="24"/>
              </w:rPr>
              <w:t>，扣完为止</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随机</w:t>
            </w:r>
            <w:r>
              <w:rPr>
                <w:rFonts w:ascii="仿宋_GB2312" w:hAnsi="仿宋" w:eastAsia="仿宋_GB2312"/>
                <w:color w:val="000000"/>
                <w:spacing w:val="-12"/>
                <w:sz w:val="24"/>
              </w:rPr>
              <w:t>抽查</w:t>
            </w:r>
            <w:r>
              <w:rPr>
                <w:rFonts w:hint="eastAsia" w:ascii="仿宋_GB2312" w:hAnsi="仿宋" w:eastAsia="仿宋_GB2312"/>
                <w:color w:val="000000"/>
                <w:spacing w:val="-12"/>
                <w:sz w:val="24"/>
              </w:rPr>
              <w:t>纳入餐厨垃圾规范收运的餐饮单位签订收运合同的</w:t>
            </w:r>
            <w:r>
              <w:rPr>
                <w:rFonts w:ascii="仿宋_GB2312" w:hAnsi="仿宋" w:eastAsia="仿宋_GB2312"/>
                <w:color w:val="000000"/>
                <w:spacing w:val="-12"/>
                <w:sz w:val="24"/>
              </w:rPr>
              <w:t>情况，以及收集处置记录</w:t>
            </w:r>
          </w:p>
        </w:tc>
        <w:tc>
          <w:tcPr>
            <w:tcW w:w="759" w:type="pct"/>
            <w:vMerge w:val="continue"/>
            <w:vAlign w:val="center"/>
          </w:tcPr>
          <w:p>
            <w:pPr>
              <w:adjustRightInd w:val="0"/>
              <w:snapToGrid w:val="0"/>
              <w:spacing w:line="28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餐厨垃圾规范收运率≥50%，得</w:t>
            </w:r>
            <w:r>
              <w:rPr>
                <w:rFonts w:ascii="仿宋_GB2312" w:hAnsi="仿宋" w:eastAsia="仿宋_GB2312"/>
                <w:color w:val="000000"/>
                <w:spacing w:val="-12"/>
                <w:sz w:val="24"/>
              </w:rPr>
              <w:t>0.</w:t>
            </w:r>
            <w:r>
              <w:rPr>
                <w:rFonts w:hint="eastAsia" w:ascii="仿宋_GB2312" w:hAnsi="仿宋" w:eastAsia="仿宋_GB2312"/>
                <w:color w:val="000000"/>
                <w:spacing w:val="-12"/>
                <w:sz w:val="24"/>
              </w:rPr>
              <w:t>5分，否则不得分</w:t>
            </w:r>
          </w:p>
        </w:tc>
        <w:tc>
          <w:tcPr>
            <w:tcW w:w="664" w:type="pct"/>
            <w:vAlign w:val="center"/>
          </w:tcPr>
          <w:p>
            <w:pPr>
              <w:adjustRightInd w:val="0"/>
              <w:snapToGrid w:val="0"/>
              <w:jc w:val="left"/>
              <w:rPr>
                <w:rFonts w:ascii="仿宋_GB2312" w:hAnsi="仿宋" w:eastAsia="仿宋_GB2312"/>
                <w:color w:val="000000"/>
                <w:spacing w:val="-18"/>
                <w:sz w:val="24"/>
              </w:rPr>
            </w:pPr>
            <w:r>
              <w:rPr>
                <w:rFonts w:hint="eastAsia" w:ascii="仿宋_GB2312" w:hAnsi="仿宋" w:eastAsia="仿宋_GB2312"/>
                <w:color w:val="000000"/>
                <w:spacing w:val="-18"/>
                <w:sz w:val="24"/>
              </w:rPr>
              <w:t>餐厨垃圾规范收运名单、统计情况说明</w:t>
            </w:r>
          </w:p>
        </w:tc>
        <w:tc>
          <w:tcPr>
            <w:tcW w:w="759" w:type="pct"/>
            <w:vAlign w:val="center"/>
          </w:tcPr>
          <w:p>
            <w:pPr>
              <w:adjustRightInd w:val="0"/>
              <w:snapToGrid w:val="0"/>
              <w:spacing w:line="280" w:lineRule="exact"/>
              <w:jc w:val="left"/>
              <w:rPr>
                <w:rFonts w:ascii="仿宋_GB2312" w:hAnsi="仿宋" w:eastAsia="仿宋_GB2312"/>
                <w:color w:val="000000"/>
                <w:spacing w:val="-12"/>
                <w:sz w:val="24"/>
              </w:rPr>
            </w:pPr>
          </w:p>
        </w:tc>
        <w:tc>
          <w:tcPr>
            <w:tcW w:w="465"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市城市管理委</w:t>
            </w:r>
          </w:p>
        </w:tc>
        <w:tc>
          <w:tcPr>
            <w:tcW w:w="462" w:type="pct"/>
            <w:vMerge w:val="restar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3"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根据辖区餐厨废弃油脂规范收运名单，餐饮单位单独收集餐厨废弃油脂，并委托有资质的收运单位运至符合规定的处理设施进行处理。纳入餐厨废弃油脂规范收运的餐饮单位与有资质的收运单位签订收运合同，并提供完整的收集处置记录，得0.5分，每抽查到一个不能提供有效的收运合同及收集处置记录的，扣0.05分，扣完为止</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随机</w:t>
            </w:r>
            <w:r>
              <w:rPr>
                <w:rFonts w:ascii="仿宋_GB2312" w:hAnsi="仿宋" w:eastAsia="仿宋_GB2312"/>
                <w:color w:val="000000"/>
                <w:spacing w:val="-12"/>
                <w:sz w:val="24"/>
              </w:rPr>
              <w:t>抽查</w:t>
            </w:r>
            <w:r>
              <w:rPr>
                <w:rFonts w:hint="eastAsia" w:ascii="仿宋_GB2312" w:hAnsi="仿宋" w:eastAsia="仿宋_GB2312"/>
                <w:color w:val="000000"/>
                <w:spacing w:val="-12"/>
                <w:sz w:val="24"/>
              </w:rPr>
              <w:t>纳入餐厨废弃油脂规范收运的餐饮单位签订收运</w:t>
            </w:r>
            <w:r>
              <w:rPr>
                <w:rFonts w:ascii="仿宋_GB2312" w:hAnsi="仿宋" w:eastAsia="仿宋_GB2312"/>
                <w:color w:val="000000"/>
                <w:spacing w:val="-12"/>
                <w:sz w:val="24"/>
              </w:rPr>
              <w:t>合同情况，</w:t>
            </w:r>
            <w:r>
              <w:rPr>
                <w:rFonts w:hint="eastAsia" w:ascii="仿宋_GB2312" w:hAnsi="仿宋" w:eastAsia="仿宋_GB2312"/>
                <w:color w:val="000000"/>
                <w:spacing w:val="-12"/>
                <w:sz w:val="24"/>
              </w:rPr>
              <w:t>及收集处置记录</w:t>
            </w:r>
          </w:p>
        </w:tc>
        <w:tc>
          <w:tcPr>
            <w:tcW w:w="759" w:type="pct"/>
            <w:vMerge w:val="restart"/>
            <w:vAlign w:val="center"/>
          </w:tcPr>
          <w:p>
            <w:pPr>
              <w:adjustRightInd w:val="0"/>
              <w:snapToGrid w:val="0"/>
              <w:spacing w:line="280" w:lineRule="exact"/>
              <w:jc w:val="left"/>
              <w:rPr>
                <w:rFonts w:ascii="仿宋_GB2312" w:hAnsi="仿宋" w:eastAsia="仿宋_GB2312"/>
                <w:color w:val="000000"/>
                <w:spacing w:val="-16"/>
                <w:sz w:val="24"/>
              </w:rPr>
            </w:pPr>
            <w:r>
              <w:rPr>
                <w:rFonts w:hint="eastAsia" w:ascii="仿宋_GB2312" w:hAnsi="仿宋" w:eastAsia="仿宋_GB2312"/>
                <w:color w:val="000000"/>
                <w:spacing w:val="-16"/>
                <w:sz w:val="24"/>
              </w:rPr>
              <w:t>随机抽取</w:t>
            </w:r>
            <w:r>
              <w:rPr>
                <w:rFonts w:ascii="仿宋_GB2312" w:hAnsi="仿宋" w:eastAsia="仿宋_GB2312"/>
                <w:color w:val="000000"/>
                <w:spacing w:val="-16"/>
                <w:sz w:val="24"/>
              </w:rPr>
              <w:t>餐厨垃圾</w:t>
            </w:r>
            <w:r>
              <w:rPr>
                <w:rFonts w:hint="eastAsia" w:ascii="仿宋_GB2312" w:hAnsi="仿宋" w:eastAsia="仿宋_GB2312"/>
                <w:color w:val="000000"/>
                <w:spacing w:val="-16"/>
                <w:sz w:val="24"/>
              </w:rPr>
              <w:t>和</w:t>
            </w:r>
            <w:r>
              <w:rPr>
                <w:rFonts w:ascii="仿宋_GB2312" w:hAnsi="仿宋" w:eastAsia="仿宋_GB2312"/>
                <w:color w:val="000000"/>
                <w:spacing w:val="-16"/>
                <w:sz w:val="24"/>
              </w:rPr>
              <w:t>废弃油脂</w:t>
            </w:r>
            <w:r>
              <w:rPr>
                <w:rFonts w:hint="eastAsia" w:ascii="仿宋_GB2312" w:hAnsi="仿宋" w:eastAsia="仿宋_GB2312"/>
                <w:color w:val="000000"/>
                <w:spacing w:val="-16"/>
                <w:sz w:val="24"/>
              </w:rPr>
              <w:t>规范收运名单中餐饮单位，现场查看单独收集餐厨垃圾和废弃油脂情况，每发现未按规定单独收集，扣0.1分；</w:t>
            </w:r>
          </w:p>
          <w:p>
            <w:pPr>
              <w:adjustRightInd w:val="0"/>
              <w:snapToGrid w:val="0"/>
              <w:spacing w:line="2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针对辖区餐饮企业餐厨垃圾、废弃油脂收运处置情况面向群众开展调查，如发现群众集中反映的问题，每有1项扣0.1分，扣完为止</w:t>
            </w: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3" w:hRule="atLeast"/>
          <w:jc w:val="center"/>
        </w:trPr>
        <w:tc>
          <w:tcPr>
            <w:tcW w:w="537" w:type="pct"/>
            <w:vMerge w:val="continue"/>
            <w:vAlign w:val="center"/>
          </w:tcPr>
          <w:p>
            <w:pPr>
              <w:adjustRightInd w:val="0"/>
              <w:snapToGrid w:val="0"/>
              <w:jc w:val="left"/>
              <w:rPr>
                <w:rFonts w:ascii="仿宋_GB2312" w:hAnsi="仿宋" w:eastAsia="仿宋_GB2312"/>
                <w:color w:val="000000"/>
                <w:spacing w:val="-12"/>
                <w:sz w:val="24"/>
              </w:rPr>
            </w:pPr>
          </w:p>
        </w:tc>
        <w:tc>
          <w:tcPr>
            <w:tcW w:w="2113" w:type="pct"/>
            <w:vAlign w:val="center"/>
          </w:tcPr>
          <w:p>
            <w:pPr>
              <w:adjustRightInd w:val="0"/>
              <w:snapToGrid w:val="0"/>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餐后废弃油脂规范收运率≥50</w:t>
            </w:r>
            <w:r>
              <w:rPr>
                <w:rFonts w:ascii="仿宋_GB2312" w:hAnsi="仿宋" w:eastAsia="仿宋_GB2312"/>
                <w:color w:val="000000"/>
                <w:spacing w:val="-12"/>
                <w:sz w:val="24"/>
              </w:rPr>
              <w:t>%</w:t>
            </w:r>
            <w:r>
              <w:rPr>
                <w:rFonts w:hint="eastAsia" w:ascii="仿宋_GB2312" w:hAnsi="仿宋" w:eastAsia="仿宋_GB2312"/>
                <w:color w:val="000000"/>
                <w:spacing w:val="-12"/>
                <w:sz w:val="24"/>
              </w:rPr>
              <w:t>，得1分；49</w:t>
            </w:r>
            <w:r>
              <w:rPr>
                <w:rFonts w:ascii="仿宋_GB2312" w:hAnsi="仿宋" w:eastAsia="仿宋_GB2312"/>
                <w:color w:val="000000"/>
                <w:spacing w:val="-12"/>
                <w:sz w:val="24"/>
              </w:rPr>
              <w:t>%</w:t>
            </w:r>
            <w:r>
              <w:rPr>
                <w:rFonts w:hint="eastAsia" w:ascii="仿宋_GB2312" w:hAnsi="仿宋" w:eastAsia="仿宋_GB2312"/>
                <w:color w:val="000000"/>
                <w:spacing w:val="-12"/>
                <w:sz w:val="24"/>
              </w:rPr>
              <w:t>≤餐厨废弃油脂规范收运率＜50</w:t>
            </w:r>
            <w:r>
              <w:rPr>
                <w:rFonts w:ascii="仿宋_GB2312" w:hAnsi="仿宋" w:eastAsia="仿宋_GB2312"/>
                <w:color w:val="000000"/>
                <w:spacing w:val="-12"/>
                <w:sz w:val="24"/>
              </w:rPr>
              <w:t>%</w:t>
            </w:r>
            <w:r>
              <w:rPr>
                <w:rFonts w:hint="eastAsia" w:ascii="仿宋_GB2312" w:hAnsi="仿宋" w:eastAsia="仿宋_GB2312"/>
                <w:color w:val="000000"/>
                <w:spacing w:val="-12"/>
                <w:sz w:val="24"/>
              </w:rPr>
              <w:t>，得0.95分；47%≤餐厨废弃油脂规范收运率＜49%，得0.8分；45</w:t>
            </w:r>
            <w:r>
              <w:rPr>
                <w:rFonts w:ascii="仿宋_GB2312" w:hAnsi="仿宋" w:eastAsia="仿宋_GB2312"/>
                <w:color w:val="000000"/>
                <w:spacing w:val="-12"/>
                <w:sz w:val="24"/>
              </w:rPr>
              <w:t>%</w:t>
            </w:r>
            <w:r>
              <w:rPr>
                <w:rFonts w:hint="eastAsia" w:ascii="仿宋_GB2312" w:hAnsi="仿宋" w:eastAsia="仿宋_GB2312"/>
                <w:color w:val="000000"/>
                <w:spacing w:val="-12"/>
                <w:sz w:val="24"/>
              </w:rPr>
              <w:t>≤餐厨废弃油脂规范收运率＜47%，得0.7分；餐厨废弃油脂规范收运率＜4</w:t>
            </w:r>
            <w:r>
              <w:rPr>
                <w:rFonts w:ascii="仿宋_GB2312" w:hAnsi="仿宋" w:eastAsia="仿宋_GB2312"/>
                <w:color w:val="000000"/>
                <w:spacing w:val="-12"/>
                <w:sz w:val="24"/>
              </w:rPr>
              <w:t>5</w:t>
            </w:r>
            <w:r>
              <w:rPr>
                <w:rFonts w:hint="eastAsia" w:ascii="仿宋_GB2312" w:hAnsi="仿宋" w:eastAsia="仿宋_GB2312"/>
                <w:color w:val="000000"/>
                <w:spacing w:val="-12"/>
                <w:sz w:val="24"/>
              </w:rPr>
              <w:t>%，</w:t>
            </w:r>
            <w:r>
              <w:rPr>
                <w:rFonts w:ascii="仿宋_GB2312" w:hAnsi="仿宋" w:eastAsia="仿宋_GB2312"/>
                <w:color w:val="000000"/>
                <w:spacing w:val="-12"/>
                <w:sz w:val="24"/>
              </w:rPr>
              <w:t>得</w:t>
            </w:r>
            <w:r>
              <w:rPr>
                <w:rFonts w:hint="eastAsia" w:ascii="仿宋_GB2312" w:hAnsi="仿宋" w:eastAsia="仿宋_GB2312"/>
                <w:color w:val="000000"/>
                <w:spacing w:val="-12"/>
                <w:sz w:val="24"/>
              </w:rPr>
              <w:t>0分</w:t>
            </w:r>
          </w:p>
        </w:tc>
        <w:tc>
          <w:tcPr>
            <w:tcW w:w="664" w:type="pct"/>
            <w:vAlign w:val="center"/>
          </w:tcPr>
          <w:p>
            <w:pPr>
              <w:adjustRightInd w:val="0"/>
              <w:snapToGrid w:val="0"/>
              <w:jc w:val="left"/>
              <w:rPr>
                <w:rFonts w:ascii="仿宋_GB2312" w:hAnsi="仿宋" w:eastAsia="仿宋_GB2312"/>
                <w:color w:val="000000"/>
                <w:spacing w:val="-12"/>
                <w:sz w:val="24"/>
              </w:rPr>
            </w:pPr>
            <w:r>
              <w:rPr>
                <w:rFonts w:hint="eastAsia" w:ascii="仿宋_GB2312" w:hAnsi="仿宋" w:eastAsia="仿宋_GB2312"/>
                <w:color w:val="000000"/>
                <w:spacing w:val="-12"/>
                <w:sz w:val="24"/>
              </w:rPr>
              <w:t>餐厨废弃油脂规范收运名单、统计情况说明</w:t>
            </w:r>
          </w:p>
        </w:tc>
        <w:tc>
          <w:tcPr>
            <w:tcW w:w="759" w:type="pct"/>
            <w:vMerge w:val="continue"/>
            <w:vAlign w:val="center"/>
          </w:tcPr>
          <w:p>
            <w:pPr>
              <w:adjustRightInd w:val="0"/>
              <w:snapToGrid w:val="0"/>
              <w:jc w:val="left"/>
              <w:rPr>
                <w:rFonts w:ascii="仿宋_GB2312" w:hAnsi="仿宋" w:eastAsia="仿宋_GB2312"/>
                <w:color w:val="000000"/>
                <w:spacing w:val="-12"/>
                <w:sz w:val="24"/>
              </w:rPr>
            </w:pPr>
          </w:p>
        </w:tc>
        <w:tc>
          <w:tcPr>
            <w:tcW w:w="465" w:type="pct"/>
            <w:vMerge w:val="continue"/>
            <w:vAlign w:val="center"/>
          </w:tcPr>
          <w:p>
            <w:pPr>
              <w:adjustRightInd w:val="0"/>
              <w:snapToGrid w:val="0"/>
              <w:jc w:val="left"/>
              <w:rPr>
                <w:rFonts w:ascii="仿宋_GB2312" w:hAnsi="仿宋" w:eastAsia="仿宋_GB2312"/>
                <w:color w:val="000000"/>
                <w:spacing w:val="-12"/>
                <w:sz w:val="24"/>
              </w:rPr>
            </w:pPr>
          </w:p>
        </w:tc>
        <w:tc>
          <w:tcPr>
            <w:tcW w:w="462" w:type="pct"/>
            <w:vMerge w:val="continue"/>
            <w:vAlign w:val="center"/>
          </w:tcPr>
          <w:p>
            <w:pPr>
              <w:adjustRightInd w:val="0"/>
              <w:snapToGrid w:val="0"/>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537" w:type="pct"/>
            <w:vMerge w:val="restar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(二十二)无照无证治理情况【4】</w:t>
            </w: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区政府印发辖区无照无证餐饮单位治理方案，明确组织机构、部门责任、治理目标、时间安排等，得0.5分，否则不得分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区政府印发文件</w:t>
            </w:r>
          </w:p>
        </w:tc>
        <w:tc>
          <w:tcPr>
            <w:tcW w:w="759" w:type="pct"/>
            <w:vMerge w:val="restar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针对辖区无照无证餐饮单位治理力度、措施成效等方面，开展群众调查，群众感受较差的，扣0.2分</w:t>
            </w:r>
          </w:p>
        </w:tc>
        <w:tc>
          <w:tcPr>
            <w:tcW w:w="465" w:type="pct"/>
            <w:vMerge w:val="restar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Merge w:val="restar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537"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明确无照无证餐饮单位治理工作区政府负总责，区领导担任治理领导机构主要领导，得0.5分，否则不得分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区政府印发文件、相关会议纪要</w:t>
            </w:r>
          </w:p>
        </w:tc>
        <w:tc>
          <w:tcPr>
            <w:tcW w:w="759"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2" w:type="pct"/>
            <w:vMerge w:val="continue"/>
          </w:tcPr>
          <w:p>
            <w:pPr>
              <w:adjustRightInd w:val="0"/>
              <w:snapToGrid w:val="0"/>
              <w:spacing w:line="380" w:lineRule="exact"/>
              <w:jc w:val="lef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537"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建立无照无证餐饮单位治理部门联动协调机制，食药监、工商、环保等部门间依据法定职责相互通报无照无证餐饮单位有关信息，得0.5分，否则不得分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区政府印发文件、相关会议纪要、情况通报等</w:t>
            </w:r>
          </w:p>
        </w:tc>
        <w:tc>
          <w:tcPr>
            <w:tcW w:w="759"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5" w:type="pct"/>
            <w:vMerge w:val="restar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工商分局</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7"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区政府召开会议部署无照无证餐饮治理工作，得0.5分，否则不得分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区政府印发的文件、相关会议纪要、简报等</w:t>
            </w:r>
          </w:p>
        </w:tc>
        <w:tc>
          <w:tcPr>
            <w:tcW w:w="759"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5"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2"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工商分局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7"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无照无证餐饮单位台账建立规范、地址详细清楚，得1分；</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摸排暗访发现的无证无照餐饮单位新增达到区台账数量30%以上的(含30%)扣0.5分，20%-30%(含20%)扣0.3分，10%-20%(含10%)扣0.2分，1%-10%(含1%)扣0.1分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根据无证无照餐饮单位统计系统和第三方机构调查情况打分</w:t>
            </w:r>
          </w:p>
        </w:tc>
        <w:tc>
          <w:tcPr>
            <w:tcW w:w="759"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针对无照无证治理情况第三方机构开展暗访暗查</w:t>
            </w:r>
          </w:p>
        </w:tc>
        <w:tc>
          <w:tcPr>
            <w:tcW w:w="465"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2"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7"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2113" w:type="pct"/>
            <w:vAlign w:val="center"/>
          </w:tcPr>
          <w:p>
            <w:pPr>
              <w:adjustRightInd w:val="0"/>
              <w:snapToGrid w:val="0"/>
              <w:spacing w:line="380" w:lineRule="exact"/>
              <w:jc w:val="lef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ascii="仿宋_GB2312" w:hAnsi="仿宋" w:eastAsia="仿宋_GB2312"/>
                <w:color w:val="000000"/>
                <w:spacing w:val="-12"/>
                <w:sz w:val="24"/>
              </w:rPr>
              <w:instrText xml:space="preserve"> </w:instrText>
            </w:r>
            <w:r>
              <w:rPr>
                <w:rFonts w:hint="eastAsia" w:ascii="仿宋_GB2312" w:hAnsi="仿宋" w:eastAsia="仿宋_GB2312"/>
                <w:color w:val="000000"/>
                <w:spacing w:val="-12"/>
                <w:sz w:val="24"/>
              </w:rPr>
              <w:instrText xml:space="preserve">= 6 \* GB3</w:instrText>
            </w:r>
            <w:r>
              <w:rPr>
                <w:rFonts w:ascii="仿宋_GB2312" w:hAnsi="仿宋" w:eastAsia="仿宋_GB2312"/>
                <w:color w:val="000000"/>
                <w:spacing w:val="-12"/>
                <w:sz w:val="24"/>
              </w:rPr>
              <w:instrText xml:space="preserve"> </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⑥</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无照无证餐饮单位挂账数≥5000家，治理率达到90%；2000≤无照无证餐饮单位＜5000家，治理率达到95%；无照无证餐饮单位挂账数＜2000家，治理率达到100%，得1分，否则不得分。</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无照无证餐饮单位治理反弹率（无照无证餐饮单位反弹或新增数量/餐饮单位调查总数）高于全市平均水平的，按高出比例扣分，每高1%扣0.1分，最多扣1分；低于全市平均水平不扣分</w:t>
            </w:r>
          </w:p>
        </w:tc>
        <w:tc>
          <w:tcPr>
            <w:tcW w:w="664"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根据无照无证餐饮单位统计系统和第三方调查情况打分</w:t>
            </w:r>
          </w:p>
        </w:tc>
        <w:tc>
          <w:tcPr>
            <w:tcW w:w="759"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针对无照无证治理情况第三方机构开展暗访暗查</w:t>
            </w:r>
          </w:p>
        </w:tc>
        <w:tc>
          <w:tcPr>
            <w:tcW w:w="465" w:type="pct"/>
            <w:vMerge w:val="continue"/>
            <w:vAlign w:val="center"/>
          </w:tcPr>
          <w:p>
            <w:pPr>
              <w:adjustRightInd w:val="0"/>
              <w:snapToGrid w:val="0"/>
              <w:spacing w:line="380" w:lineRule="exact"/>
              <w:jc w:val="left"/>
              <w:rPr>
                <w:rFonts w:ascii="仿宋_GB2312" w:hAnsi="仿宋" w:eastAsia="仿宋_GB2312"/>
                <w:color w:val="000000"/>
                <w:spacing w:val="-12"/>
                <w:sz w:val="24"/>
              </w:rPr>
            </w:pPr>
          </w:p>
        </w:tc>
        <w:tc>
          <w:tcPr>
            <w:tcW w:w="462" w:type="pct"/>
            <w:vAlign w:val="center"/>
          </w:tcPr>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80" w:lineRule="exact"/>
              <w:jc w:val="left"/>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bl>
    <w:p>
      <w:pPr>
        <w:widowControl/>
        <w:spacing w:line="578" w:lineRule="exact"/>
        <w:ind w:firstLine="592" w:firstLineChars="200"/>
        <w:jc w:val="left"/>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四、监督执法检查全面覆盖(32.5分)</w:t>
      </w:r>
    </w:p>
    <w:tbl>
      <w:tblPr>
        <w:tblStyle w:val="18"/>
        <w:tblW w:w="54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48"/>
        <w:gridCol w:w="5605"/>
        <w:gridCol w:w="2113"/>
        <w:gridCol w:w="2138"/>
        <w:gridCol w:w="153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43" w:type="pc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考核指标</w:t>
            </w:r>
          </w:p>
        </w:tc>
        <w:tc>
          <w:tcPr>
            <w:tcW w:w="1966"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考评标准</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资料查验</w:t>
            </w:r>
          </w:p>
        </w:tc>
        <w:tc>
          <w:tcPr>
            <w:tcW w:w="75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现场评估与群众感受</w:t>
            </w:r>
          </w:p>
        </w:tc>
        <w:tc>
          <w:tcPr>
            <w:tcW w:w="537"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评分部门</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290" w:lineRule="exact"/>
              <w:jc w:val="center"/>
              <w:rPr>
                <w:rFonts w:ascii="黑体" w:hAnsi="黑体" w:eastAsia="黑体"/>
                <w:color w:val="000000"/>
                <w:spacing w:val="-12"/>
                <w:sz w:val="24"/>
              </w:rPr>
            </w:pPr>
            <w:r>
              <w:rPr>
                <w:rFonts w:hint="eastAsia" w:ascii="黑体" w:hAnsi="黑体" w:eastAsia="黑体"/>
                <w:color w:val="000000"/>
                <w:spacing w:val="-12"/>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3" w:type="pct"/>
            <w:vMerge w:val="restar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(二十三)食品安全全程监管机制健全并有效落实【5】</w:t>
            </w:r>
          </w:p>
        </w:tc>
        <w:tc>
          <w:tcPr>
            <w:tcW w:w="1966" w:type="pc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开展覆盖各行业、全面的农产品质量……(略)</w:t>
            </w:r>
          </w:p>
        </w:tc>
        <w:tc>
          <w:tcPr>
            <w:tcW w:w="741" w:type="pc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restar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tcBorders>
              <w:top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3"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966"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落实农产品质量安全检测任务，履行属地监督抽检监测职责，完成市级建议年度定量检测样本量的得0.5分，没有完成的按完成比例计分</w:t>
            </w:r>
          </w:p>
        </w:tc>
        <w:tc>
          <w:tcPr>
            <w:tcW w:w="741"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查验年度检测工作计划与工作总结</w:t>
            </w:r>
          </w:p>
        </w:tc>
        <w:tc>
          <w:tcPr>
            <w:tcW w:w="750"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continue"/>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p>
        </w:tc>
        <w:tc>
          <w:tcPr>
            <w:tcW w:w="462" w:type="pct"/>
            <w:tcBorders>
              <w:bottom w:val="single" w:color="auto" w:sz="4" w:space="0"/>
            </w:tcBorders>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3"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966"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各辖区建立年度食品抽检计划(包括网络食品经营)，按时限要求完成区级抽检任务，得1分，未完成监测任务，每少一个样本扣0.1分，直到扣完为止；未按要求上报抽检监测数据，每缺少10条扣0.1分，扣完为止</w:t>
            </w:r>
          </w:p>
        </w:tc>
        <w:tc>
          <w:tcPr>
            <w:tcW w:w="741"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依据市食药监局抽检数据统计结果</w:t>
            </w:r>
          </w:p>
        </w:tc>
        <w:tc>
          <w:tcPr>
            <w:tcW w:w="750"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84" w:hRule="atLeast"/>
          <w:jc w:val="center"/>
        </w:trPr>
        <w:tc>
          <w:tcPr>
            <w:tcW w:w="543"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966"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按照《北京市食品药品监督管理局</w:t>
            </w:r>
            <w:r>
              <w:rPr>
                <w:rFonts w:ascii="仿宋_GB2312" w:hAnsi="仿宋" w:eastAsia="仿宋_GB2312"/>
                <w:color w:val="000000"/>
                <w:spacing w:val="-12"/>
                <w:sz w:val="24"/>
              </w:rPr>
              <w:t>2017</w:t>
            </w:r>
            <w:r>
              <w:rPr>
                <w:rFonts w:hint="eastAsia" w:ascii="仿宋_GB2312" w:hAnsi="仿宋" w:eastAsia="仿宋_GB2312"/>
                <w:color w:val="000000"/>
                <w:spacing w:val="-12"/>
                <w:sz w:val="24"/>
              </w:rPr>
              <w:t>年食品药品安全监测计划》要求，组织开展区级食用农产品抽检任务，每月不少于</w:t>
            </w:r>
            <w:r>
              <w:rPr>
                <w:rFonts w:ascii="仿宋_GB2312" w:hAnsi="仿宋" w:eastAsia="仿宋_GB2312"/>
                <w:color w:val="000000"/>
                <w:spacing w:val="-12"/>
                <w:sz w:val="24"/>
              </w:rPr>
              <w:t>20</w:t>
            </w:r>
            <w:r>
              <w:rPr>
                <w:rFonts w:hint="eastAsia" w:ascii="仿宋_GB2312" w:hAnsi="仿宋" w:eastAsia="仿宋_GB2312"/>
                <w:color w:val="000000"/>
                <w:spacing w:val="-12"/>
                <w:sz w:val="24"/>
              </w:rPr>
              <w:t>件，全年不少于</w:t>
            </w:r>
            <w:r>
              <w:rPr>
                <w:rFonts w:ascii="仿宋_GB2312" w:hAnsi="仿宋" w:eastAsia="仿宋_GB2312"/>
                <w:color w:val="000000"/>
                <w:spacing w:val="-12"/>
                <w:sz w:val="24"/>
              </w:rPr>
              <w:t>240</w:t>
            </w:r>
            <w:r>
              <w:rPr>
                <w:rFonts w:hint="eastAsia" w:ascii="仿宋_GB2312" w:hAnsi="仿宋" w:eastAsia="仿宋_GB2312"/>
                <w:color w:val="000000"/>
                <w:spacing w:val="-12"/>
                <w:sz w:val="24"/>
              </w:rPr>
              <w:t>件，并按时完成报送工作，得</w:t>
            </w:r>
            <w:r>
              <w:rPr>
                <w:rFonts w:ascii="仿宋_GB2312" w:hAnsi="仿宋" w:eastAsia="仿宋_GB2312"/>
                <w:color w:val="000000"/>
                <w:spacing w:val="-12"/>
                <w:sz w:val="24"/>
              </w:rPr>
              <w:t>0.3</w:t>
            </w:r>
            <w:r>
              <w:rPr>
                <w:rFonts w:hint="eastAsia" w:ascii="仿宋_GB2312" w:hAnsi="仿宋" w:eastAsia="仿宋_GB2312"/>
                <w:color w:val="000000"/>
                <w:spacing w:val="-12"/>
                <w:sz w:val="24"/>
              </w:rPr>
              <w:t>分；按照《北京市食品药品监督管理局</w:t>
            </w:r>
            <w:r>
              <w:rPr>
                <w:rFonts w:ascii="仿宋_GB2312" w:hAnsi="仿宋" w:eastAsia="仿宋_GB2312"/>
                <w:color w:val="000000"/>
                <w:spacing w:val="-12"/>
                <w:sz w:val="24"/>
              </w:rPr>
              <w:t>2017</w:t>
            </w:r>
            <w:r>
              <w:rPr>
                <w:rFonts w:hint="eastAsia" w:ascii="仿宋_GB2312" w:hAnsi="仿宋" w:eastAsia="仿宋_GB2312"/>
                <w:color w:val="000000"/>
                <w:spacing w:val="-12"/>
                <w:sz w:val="24"/>
              </w:rPr>
              <w:t>年食品药品安全监测计划》附件《</w:t>
            </w:r>
            <w:r>
              <w:rPr>
                <w:rFonts w:ascii="仿宋_GB2312" w:hAnsi="仿宋" w:eastAsia="仿宋_GB2312"/>
                <w:color w:val="000000"/>
                <w:spacing w:val="-12"/>
                <w:sz w:val="24"/>
              </w:rPr>
              <w:t>2017</w:t>
            </w:r>
            <w:r>
              <w:rPr>
                <w:rFonts w:hint="eastAsia" w:ascii="仿宋_GB2312" w:hAnsi="仿宋" w:eastAsia="仿宋_GB2312"/>
                <w:color w:val="000000"/>
                <w:spacing w:val="-12"/>
                <w:sz w:val="24"/>
              </w:rPr>
              <w:t>年北京市各区局承担食用农产品抽检监测检测项目及进度安排》，对列入指定品种的食用农产品，抽样量不少于样品量的</w:t>
            </w:r>
            <w:r>
              <w:rPr>
                <w:rFonts w:ascii="仿宋_GB2312" w:hAnsi="仿宋" w:eastAsia="仿宋_GB2312"/>
                <w:color w:val="000000"/>
                <w:spacing w:val="-12"/>
                <w:sz w:val="24"/>
              </w:rPr>
              <w:t>50%</w:t>
            </w:r>
            <w:r>
              <w:rPr>
                <w:rFonts w:hint="eastAsia" w:ascii="仿宋_GB2312" w:hAnsi="仿宋" w:eastAsia="仿宋_GB2312"/>
                <w:color w:val="000000"/>
                <w:spacing w:val="-12"/>
                <w:sz w:val="24"/>
              </w:rPr>
              <w:t>，检验项目包含所指定的项目，得</w:t>
            </w:r>
            <w:r>
              <w:rPr>
                <w:rFonts w:ascii="仿宋_GB2312" w:hAnsi="仿宋" w:eastAsia="仿宋_GB2312"/>
                <w:color w:val="000000"/>
                <w:spacing w:val="-12"/>
                <w:sz w:val="24"/>
              </w:rPr>
              <w:t>0.3</w:t>
            </w:r>
            <w:r>
              <w:rPr>
                <w:rFonts w:hint="eastAsia" w:ascii="仿宋_GB2312" w:hAnsi="仿宋" w:eastAsia="仿宋_GB2312"/>
                <w:color w:val="000000"/>
                <w:spacing w:val="-12"/>
                <w:sz w:val="24"/>
              </w:rPr>
              <w:t>分；抽检品种覆盖本行政区域内生产销售的畜禽肉及副产品、水产品、鲜蛋、蔬菜、水果类、豆类、生干坚果与籽类等</w:t>
            </w:r>
            <w:r>
              <w:rPr>
                <w:rFonts w:ascii="仿宋_GB2312" w:hAnsi="仿宋" w:eastAsia="仿宋_GB2312"/>
                <w:color w:val="000000"/>
                <w:spacing w:val="-12"/>
                <w:sz w:val="24"/>
              </w:rPr>
              <w:t>7</w:t>
            </w:r>
            <w:r>
              <w:rPr>
                <w:rFonts w:hint="eastAsia" w:ascii="仿宋_GB2312" w:hAnsi="仿宋" w:eastAsia="仿宋_GB2312"/>
                <w:color w:val="000000"/>
                <w:spacing w:val="-12"/>
                <w:sz w:val="24"/>
              </w:rPr>
              <w:t>类、</w:t>
            </w:r>
            <w:r>
              <w:rPr>
                <w:rFonts w:ascii="仿宋_GB2312" w:hAnsi="仿宋" w:eastAsia="仿宋_GB2312"/>
                <w:color w:val="000000"/>
                <w:spacing w:val="-12"/>
                <w:sz w:val="24"/>
              </w:rPr>
              <w:t>33</w:t>
            </w:r>
            <w:r>
              <w:rPr>
                <w:rFonts w:hint="eastAsia" w:ascii="仿宋_GB2312" w:hAnsi="仿宋" w:eastAsia="仿宋_GB2312"/>
                <w:color w:val="000000"/>
                <w:spacing w:val="-12"/>
                <w:sz w:val="24"/>
              </w:rPr>
              <w:t>个细类食用农产品，得</w:t>
            </w:r>
            <w:r>
              <w:rPr>
                <w:rFonts w:ascii="仿宋_GB2312" w:hAnsi="仿宋" w:eastAsia="仿宋_GB2312"/>
                <w:color w:val="000000"/>
                <w:spacing w:val="-12"/>
                <w:sz w:val="24"/>
              </w:rPr>
              <w:t>0.2</w:t>
            </w:r>
            <w:r>
              <w:rPr>
                <w:rFonts w:hint="eastAsia" w:ascii="仿宋_GB2312" w:hAnsi="仿宋" w:eastAsia="仿宋_GB2312"/>
                <w:color w:val="000000"/>
                <w:spacing w:val="-12"/>
                <w:sz w:val="24"/>
              </w:rPr>
              <w:t>分；抽检结果按要求在抽检所在地予以公布，得</w:t>
            </w:r>
            <w:r>
              <w:rPr>
                <w:rFonts w:ascii="仿宋_GB2312" w:hAnsi="仿宋" w:eastAsia="仿宋_GB2312"/>
                <w:color w:val="000000"/>
                <w:spacing w:val="-12"/>
                <w:sz w:val="24"/>
              </w:rPr>
              <w:t>0.2</w:t>
            </w:r>
            <w:r>
              <w:rPr>
                <w:rFonts w:hint="eastAsia" w:ascii="仿宋_GB2312" w:hAnsi="仿宋" w:eastAsia="仿宋_GB2312"/>
                <w:color w:val="000000"/>
                <w:spacing w:val="-12"/>
                <w:sz w:val="24"/>
              </w:rPr>
              <w:t>分；否则不得分</w:t>
            </w:r>
          </w:p>
        </w:tc>
        <w:tc>
          <w:tcPr>
            <w:tcW w:w="741"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食用农产品抽检记录、食用农产品抽检品种和抽检项目清单等相关资料</w:t>
            </w:r>
          </w:p>
        </w:tc>
        <w:tc>
          <w:tcPr>
            <w:tcW w:w="750"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543"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966"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按照国家食品药品监管总局评价性抽检计划方案确定</w:t>
            </w:r>
            <w:r>
              <w:rPr>
                <w:rFonts w:ascii="仿宋_GB2312" w:hAnsi="仿宋" w:eastAsia="仿宋_GB2312"/>
                <w:color w:val="000000"/>
                <w:spacing w:val="-12"/>
                <w:sz w:val="24"/>
              </w:rPr>
              <w:t>的</w:t>
            </w:r>
            <w:r>
              <w:rPr>
                <w:rFonts w:hint="eastAsia" w:ascii="仿宋_GB2312" w:hAnsi="仿宋" w:eastAsia="仿宋_GB2312"/>
                <w:color w:val="000000"/>
                <w:spacing w:val="-12"/>
                <w:sz w:val="24"/>
              </w:rPr>
              <w:t>检测</w:t>
            </w:r>
            <w:r>
              <w:rPr>
                <w:rFonts w:ascii="仿宋_GB2312" w:hAnsi="仿宋" w:eastAsia="仿宋_GB2312"/>
                <w:color w:val="000000"/>
                <w:spacing w:val="-12"/>
                <w:sz w:val="24"/>
              </w:rPr>
              <w:t>品种和</w:t>
            </w:r>
            <w:r>
              <w:rPr>
                <w:rFonts w:hint="eastAsia" w:ascii="仿宋_GB2312" w:hAnsi="仿宋" w:eastAsia="仿宋_GB2312"/>
                <w:color w:val="000000"/>
                <w:spacing w:val="-12"/>
                <w:sz w:val="24"/>
              </w:rPr>
              <w:t>检测</w:t>
            </w:r>
            <w:r>
              <w:rPr>
                <w:rFonts w:ascii="仿宋_GB2312" w:hAnsi="仿宋" w:eastAsia="仿宋_GB2312"/>
                <w:color w:val="000000"/>
                <w:spacing w:val="-12"/>
                <w:sz w:val="24"/>
              </w:rPr>
              <w:t>项目</w:t>
            </w:r>
            <w:r>
              <w:rPr>
                <w:rFonts w:hint="eastAsia" w:ascii="仿宋_GB2312" w:hAnsi="仿宋" w:eastAsia="仿宋_GB2312"/>
                <w:color w:val="000000"/>
                <w:spacing w:val="-12"/>
                <w:sz w:val="24"/>
              </w:rPr>
              <w:t>，区级</w:t>
            </w:r>
            <w:r>
              <w:rPr>
                <w:rFonts w:ascii="仿宋_GB2312" w:hAnsi="仿宋" w:eastAsia="仿宋_GB2312"/>
                <w:color w:val="000000"/>
                <w:spacing w:val="-12"/>
                <w:sz w:val="24"/>
              </w:rPr>
              <w:t>主动组织开展</w:t>
            </w:r>
            <w:r>
              <w:rPr>
                <w:rFonts w:hint="eastAsia" w:ascii="仿宋_GB2312" w:hAnsi="仿宋" w:eastAsia="仿宋_GB2312"/>
                <w:color w:val="000000"/>
                <w:spacing w:val="-12"/>
                <w:sz w:val="24"/>
              </w:rPr>
              <w:t>食用农产品抽检工作</w:t>
            </w:r>
            <w:r>
              <w:rPr>
                <w:rFonts w:ascii="仿宋_GB2312" w:hAnsi="仿宋" w:eastAsia="仿宋_GB2312"/>
                <w:color w:val="000000"/>
                <w:spacing w:val="-12"/>
                <w:sz w:val="24"/>
              </w:rPr>
              <w:t>，</w:t>
            </w:r>
            <w:r>
              <w:rPr>
                <w:rFonts w:hint="eastAsia" w:ascii="仿宋_GB2312" w:hAnsi="仿宋" w:eastAsia="仿宋_GB2312"/>
                <w:color w:val="000000"/>
                <w:spacing w:val="-12"/>
                <w:sz w:val="24"/>
              </w:rPr>
              <w:t>检测项目做到每季度轮换，全年覆盖全部重点项目的，得</w:t>
            </w:r>
            <w:r>
              <w:rPr>
                <w:rFonts w:ascii="仿宋_GB2312" w:hAnsi="仿宋" w:eastAsia="仿宋_GB2312"/>
                <w:color w:val="000000"/>
                <w:spacing w:val="-12"/>
                <w:sz w:val="24"/>
              </w:rPr>
              <w:t>0.5</w:t>
            </w:r>
            <w:r>
              <w:rPr>
                <w:rFonts w:hint="eastAsia" w:ascii="仿宋_GB2312" w:hAnsi="仿宋" w:eastAsia="仿宋_GB2312"/>
                <w:color w:val="000000"/>
                <w:spacing w:val="-12"/>
                <w:sz w:val="24"/>
              </w:rPr>
              <w:t>分</w:t>
            </w:r>
          </w:p>
        </w:tc>
        <w:tc>
          <w:tcPr>
            <w:tcW w:w="741" w:type="pct"/>
            <w:vAlign w:val="center"/>
          </w:tcPr>
          <w:p>
            <w:pPr>
              <w:adjustRightInd w:val="0"/>
              <w:snapToGrid w:val="0"/>
              <w:spacing w:line="290" w:lineRule="exact"/>
              <w:rPr>
                <w:rFonts w:ascii="仿宋_GB2312" w:hAnsi="仿宋" w:eastAsia="仿宋_GB2312"/>
                <w:color w:val="000000"/>
                <w:spacing w:val="-18"/>
                <w:sz w:val="24"/>
              </w:rPr>
            </w:pPr>
            <w:r>
              <w:rPr>
                <w:rFonts w:hint="eastAsia" w:ascii="仿宋_GB2312" w:hAnsi="仿宋" w:eastAsia="仿宋_GB2312"/>
                <w:color w:val="000000"/>
                <w:spacing w:val="-18"/>
                <w:sz w:val="24"/>
              </w:rPr>
              <w:t>食用农产品抽检记录、食用农产品抽检品种和抽检项目清单等相关资料</w:t>
            </w:r>
          </w:p>
        </w:tc>
        <w:tc>
          <w:tcPr>
            <w:tcW w:w="750"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8" w:hRule="atLeast"/>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6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⑥</w:t>
            </w:r>
            <w:r>
              <w:rPr>
                <w:rFonts w:ascii="仿宋_GB2312" w:hAnsi="仿宋" w:eastAsia="仿宋_GB2312"/>
                <w:color w:val="000000"/>
                <w:spacing w:val="-12"/>
                <w:sz w:val="24"/>
              </w:rPr>
              <w:fldChar w:fldCharType="end"/>
            </w:r>
            <w:r>
              <w:rPr>
                <w:rFonts w:hint="eastAsia" w:ascii="仿宋_GB2312" w:hAnsi="仿宋" w:eastAsia="仿宋_GB2312"/>
                <w:color w:val="000000"/>
                <w:spacing w:val="-18"/>
                <w:sz w:val="24"/>
              </w:rPr>
              <w:t>依法依规开展食品相关产品监督抽检后处置，及时送达检验结果、开具责令整改通知书，依法采取查封、扣押等强制措施，立案查处质量违法行为，得0.5分。未按规定时限办理的，1件扣0.1分，扣完为止；存在应立案未立案、应处罚未处罚现象的不得分</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以市质监局产品质量监督业务管理平台统计结果为准</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市质监局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4" w:hRule="atLeast"/>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⑦建立粮食质量安全监管档案，并按要求完成监测和宣传工作，得0.5分</w:t>
            </w:r>
          </w:p>
        </w:tc>
        <w:tc>
          <w:tcPr>
            <w:tcW w:w="741" w:type="pct"/>
            <w:vAlign w:val="center"/>
          </w:tcPr>
          <w:p>
            <w:pPr>
              <w:adjustRightInd w:val="0"/>
              <w:snapToGrid w:val="0"/>
              <w:spacing w:line="320" w:lineRule="exact"/>
              <w:rPr>
                <w:rFonts w:ascii="仿宋_GB2312" w:hAnsi="仿宋" w:eastAsia="仿宋_GB2312"/>
                <w:color w:val="000000"/>
                <w:spacing w:val="-14"/>
                <w:sz w:val="24"/>
              </w:rPr>
            </w:pPr>
            <w:r>
              <w:rPr>
                <w:rFonts w:hint="eastAsia" w:ascii="仿宋_GB2312" w:hAnsi="仿宋" w:eastAsia="仿宋_GB2312"/>
                <w:color w:val="000000"/>
                <w:spacing w:val="-14"/>
                <w:sz w:val="24"/>
              </w:rPr>
              <w:t>查验粮食质量安全监管档案等相关文件、材料</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市粮食局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543"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(二十四)日常检查落实到位、监督检查行为规范【5.5】</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建立日常监管年度工作方案或计划，得0.5分；完备的食品安全日常监管台账登记制度，相关信息资料及监督检查记录完备，得0.5分</w:t>
            </w:r>
          </w:p>
        </w:tc>
        <w:tc>
          <w:tcPr>
            <w:tcW w:w="741"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查验各类日常检查记录、电子检查记录、检查工作计划、总结等</w:t>
            </w:r>
          </w:p>
        </w:tc>
        <w:tc>
          <w:tcPr>
            <w:tcW w:w="750"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针对日常监管情况，面向行政相对人和群众开展调查，如发现日常监督检查未按要求开展或存在调查对象集中反映的问题，经核实，每有1项扣0.1分，扣完为止</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②执行落实食品相关产品监督检查工作计划。计划全部完成的得0.5分；完成80%以上的得0.4分；完成60%以上的得0.3分；完成50%以下或未按计划开展监督检查的不得分</w:t>
            </w:r>
          </w:p>
        </w:tc>
        <w:tc>
          <w:tcPr>
            <w:tcW w:w="741"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市质监局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区质监局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t>③</w:t>
            </w:r>
            <w:r>
              <w:rPr>
                <w:rFonts w:hint="eastAsia" w:ascii="仿宋_GB2312" w:hAnsi="仿宋" w:eastAsia="仿宋_GB2312"/>
                <w:color w:val="000000"/>
                <w:spacing w:val="-12"/>
                <w:sz w:val="24"/>
              </w:rPr>
              <w:t>按照规定的检查频次对辖区食品生产经营者开展日常监督检查全覆盖，得1.5分，否则不得分</w:t>
            </w:r>
          </w:p>
        </w:tc>
        <w:tc>
          <w:tcPr>
            <w:tcW w:w="741"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对农产品生产主体开展日常现场检查……(略)</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按规定建立执法信息公开制度，问题食品召回信息公开制度，并设立公开途径，得0.5分。辖区食品药品监管、农业等部门依据职责和相关规定及时公布食品安全、食用农产品质量安全日常监管等信息，得0.5分</w:t>
            </w:r>
          </w:p>
        </w:tc>
        <w:tc>
          <w:tcPr>
            <w:tcW w:w="741" w:type="pct"/>
            <w:vAlign w:val="center"/>
          </w:tcPr>
          <w:p>
            <w:pPr>
              <w:adjustRightInd w:val="0"/>
              <w:snapToGrid w:val="0"/>
              <w:spacing w:line="320" w:lineRule="exact"/>
              <w:rPr>
                <w:rFonts w:ascii="仿宋_GB2312" w:hAnsi="仿宋" w:eastAsia="仿宋_GB2312"/>
                <w:color w:val="000000"/>
                <w:spacing w:val="-14"/>
                <w:sz w:val="24"/>
              </w:rPr>
            </w:pPr>
            <w:r>
              <w:rPr>
                <w:rFonts w:hint="eastAsia" w:ascii="仿宋_GB2312" w:hAnsi="仿宋" w:eastAsia="仿宋_GB2312"/>
                <w:color w:val="000000"/>
                <w:spacing w:val="-14"/>
                <w:sz w:val="24"/>
              </w:rPr>
              <w:t>查看执法信息公开制度和途径，问题食品召回信息公开制度和途径;</w:t>
            </w:r>
          </w:p>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4"/>
                <w:sz w:val="24"/>
              </w:rPr>
              <w:t>信息公开的文件、公布的信息、网页截图等</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无查看评估周期内的行政处罚卷宗。随机抽取5个应公开案件，每发现1个案件未公开，扣0.2分</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市食品药品监督管理局、市农业局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(二十五)农村集体聚餐【0.</w:t>
            </w:r>
            <w:r>
              <w:rPr>
                <w:rFonts w:ascii="仿宋_GB2312" w:hAnsi="仿宋" w:eastAsia="仿宋_GB2312"/>
                <w:color w:val="000000"/>
                <w:spacing w:val="-12"/>
                <w:sz w:val="24"/>
              </w:rPr>
              <w:t>5</w:t>
            </w:r>
            <w:r>
              <w:rPr>
                <w:rFonts w:hint="eastAsia" w:ascii="仿宋_GB2312" w:hAnsi="仿宋" w:eastAsia="仿宋_GB2312"/>
                <w:color w:val="000000"/>
                <w:spacing w:val="-12"/>
                <w:sz w:val="24"/>
              </w:rPr>
              <w:t>】</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研究部署农村集体聚餐管理相关工作……(略)</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7" w:hRule="atLeast"/>
          <w:jc w:val="center"/>
        </w:trPr>
        <w:tc>
          <w:tcPr>
            <w:tcW w:w="543"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二十六)畜禽鲜蛋产品和水产品整治【4】</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制定整治方案，深入开展治理整顿，整治效果明显，得1分,整治后，在市级评价性监测中，合格率低于全市平均水平，每低1%，扣0.1分</w:t>
            </w:r>
          </w:p>
        </w:tc>
        <w:tc>
          <w:tcPr>
            <w:tcW w:w="741"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相关方案、总结材料</w:t>
            </w:r>
          </w:p>
        </w:tc>
        <w:tc>
          <w:tcPr>
            <w:tcW w:w="750"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随机抽查畜禽鲜蛋产品和水产品整治成效，如发现仍存在问题，扣0.2分；</w:t>
            </w:r>
          </w:p>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面向群众针对辖区畜禽鲜蛋产品和水产品整治成效和安全情况进行调查，调查情况较差的，扣0.2分</w:t>
            </w:r>
          </w:p>
        </w:tc>
        <w:tc>
          <w:tcPr>
            <w:tcW w:w="537"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市食品药品监管局、市农业局</w:t>
            </w:r>
          </w:p>
        </w:tc>
        <w:tc>
          <w:tcPr>
            <w:tcW w:w="462" w:type="pct"/>
            <w:vMerge w:val="restar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食用农产品和食品生产经营各环节风险监测问题复核率达到80%，得1分，60%(含60%)-80%，得0.5分。低于60%，不得分</w:t>
            </w:r>
          </w:p>
        </w:tc>
        <w:tc>
          <w:tcPr>
            <w:tcW w:w="741"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2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食用农产品和食品生产经营各环节监督抽检问题发现率大于全市平均水平得</w:t>
            </w:r>
            <w:r>
              <w:rPr>
                <w:rFonts w:ascii="仿宋_GB2312" w:hAnsi="仿宋" w:eastAsia="仿宋_GB2312"/>
                <w:color w:val="000000"/>
                <w:spacing w:val="-12"/>
                <w:sz w:val="24"/>
              </w:rPr>
              <w:t>1</w:t>
            </w:r>
            <w:r>
              <w:rPr>
                <w:rFonts w:hint="eastAsia" w:ascii="仿宋_GB2312" w:hAnsi="仿宋" w:eastAsia="仿宋_GB2312"/>
                <w:color w:val="000000"/>
                <w:spacing w:val="-12"/>
                <w:sz w:val="24"/>
              </w:rPr>
              <w:t>分，低于全市平均水平的，每低1%,扣0.1分，扣完为止</w:t>
            </w:r>
          </w:p>
        </w:tc>
        <w:tc>
          <w:tcPr>
            <w:tcW w:w="741"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2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jc w:val="center"/>
        </w:trPr>
        <w:tc>
          <w:tcPr>
            <w:tcW w:w="543"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食用农产品和食品生产经营各环节人均(执法人员)立案数全市排名前6位(含第6名)得</w:t>
            </w:r>
            <w:r>
              <w:rPr>
                <w:rFonts w:ascii="仿宋_GB2312" w:hAnsi="仿宋" w:eastAsia="仿宋_GB2312"/>
                <w:color w:val="000000"/>
                <w:spacing w:val="-12"/>
                <w:sz w:val="24"/>
              </w:rPr>
              <w:t>1</w:t>
            </w:r>
            <w:r>
              <w:rPr>
                <w:rFonts w:hint="eastAsia" w:ascii="仿宋_GB2312" w:hAnsi="仿宋" w:eastAsia="仿宋_GB2312"/>
                <w:color w:val="000000"/>
                <w:spacing w:val="-12"/>
                <w:sz w:val="24"/>
              </w:rPr>
              <w:t>分，排名7-12位(含第12名)得0.</w:t>
            </w:r>
            <w:r>
              <w:rPr>
                <w:rFonts w:ascii="仿宋_GB2312" w:hAnsi="仿宋" w:eastAsia="仿宋_GB2312"/>
                <w:color w:val="000000"/>
                <w:spacing w:val="-12"/>
                <w:sz w:val="24"/>
              </w:rPr>
              <w:t>5</w:t>
            </w:r>
            <w:r>
              <w:rPr>
                <w:rFonts w:hint="eastAsia" w:ascii="仿宋_GB2312" w:hAnsi="仿宋" w:eastAsia="仿宋_GB2312"/>
                <w:color w:val="000000"/>
                <w:spacing w:val="-12"/>
                <w:sz w:val="24"/>
              </w:rPr>
              <w:t>分，排名12位以后不得分</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立案情况说明，统计表等</w:t>
            </w:r>
          </w:p>
        </w:tc>
        <w:tc>
          <w:tcPr>
            <w:tcW w:w="750"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2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2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(二十七)农产品安全专项整治方面【0.5】</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制定整治实施方案……(略)</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jc w:val="center"/>
        </w:trPr>
        <w:tc>
          <w:tcPr>
            <w:tcW w:w="543"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(二十八)农村食品安全专项整治【0.5】</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印发专门文件推进农村食品安全治理工作……(略)</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6" w:hRule="atLeast"/>
          <w:jc w:val="center"/>
        </w:trPr>
        <w:tc>
          <w:tcPr>
            <w:tcW w:w="543" w:type="pct"/>
            <w:vAlign w:val="center"/>
          </w:tcPr>
          <w:p>
            <w:pPr>
              <w:adjustRightInd w:val="0"/>
              <w:snapToGrid w:val="0"/>
              <w:spacing w:line="320" w:lineRule="exact"/>
              <w:rPr>
                <w:rFonts w:ascii="仿宋_GB2312" w:hAnsi="仿宋" w:eastAsia="仿宋_GB2312"/>
                <w:color w:val="000000"/>
                <w:spacing w:val="-18"/>
                <w:w w:val="95"/>
                <w:sz w:val="24"/>
              </w:rPr>
            </w:pPr>
            <w:r>
              <w:rPr>
                <w:rFonts w:hint="eastAsia" w:ascii="仿宋_GB2312" w:hAnsi="仿宋" w:eastAsia="仿宋_GB2312"/>
                <w:color w:val="000000"/>
                <w:spacing w:val="-18"/>
                <w:w w:val="95"/>
                <w:sz w:val="24"/>
              </w:rPr>
              <w:t>(二十九)城乡结合部重点地区食品安全综合整合【1】</w:t>
            </w:r>
          </w:p>
        </w:tc>
        <w:tc>
          <w:tcPr>
            <w:tcW w:w="1966" w:type="pct"/>
            <w:vAlign w:val="center"/>
          </w:tcPr>
          <w:p>
            <w:pPr>
              <w:adjustRightInd w:val="0"/>
              <w:snapToGrid w:val="0"/>
              <w:spacing w:line="32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出台整治方案、组织领导机制健全……(略)</w:t>
            </w:r>
          </w:p>
        </w:tc>
        <w:tc>
          <w:tcPr>
            <w:tcW w:w="741"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750"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略</w:t>
            </w:r>
          </w:p>
        </w:tc>
        <w:tc>
          <w:tcPr>
            <w:tcW w:w="537"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Align w:val="center"/>
          </w:tcPr>
          <w:p>
            <w:pPr>
              <w:adjustRightInd w:val="0"/>
              <w:snapToGrid w:val="0"/>
              <w:spacing w:line="320" w:lineRule="exact"/>
              <w:rPr>
                <w:rFonts w:ascii="仿宋_GB2312" w:hAnsi="仿宋" w:eastAsia="仿宋_GB2312"/>
                <w:color w:val="000000"/>
                <w:spacing w:val="-12"/>
                <w:sz w:val="24"/>
              </w:rPr>
            </w:pPr>
            <w:r>
              <w:rPr>
                <w:rFonts w:hint="eastAsia" w:ascii="仿宋_GB2312" w:hAnsi="仿宋" w:eastAsia="仿宋_GB2312"/>
                <w:color w:val="000000"/>
                <w:spacing w:val="-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543"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(三十)校园及周边食品安全治理方面【2】</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政府对学校校园及周边食品安全工作进行研究部署，相关部门联合开展对学生食堂、学生集体用餐配送单位和校园周边食品经营者专项检查，校园及周边食品安全秩序良好。有区政府或区食药安委会议纪要或文件，得0.3分；有专项检查记录，得0.1分；有相关工作总结，得0.1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会议纪要、印发文件、检查记录、工作总结</w:t>
            </w:r>
          </w:p>
        </w:tc>
        <w:tc>
          <w:tcPr>
            <w:tcW w:w="750"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随机抽查一所学校，查看相关管理制度、自查、培训记录等；</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面向在校学生及其家长开展校园食品安全调查，调查结果显示管理情况较差或存在较大安全隐患的，扣0.5分</w:t>
            </w: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市教委、市食品药品监督管理局</w:t>
            </w:r>
          </w:p>
        </w:tc>
        <w:tc>
          <w:tcPr>
            <w:tcW w:w="462"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区教委</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7"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学校实行食品安全校长负责制，将校园食品安全作为学校安全的重要内容，每学期进行专题研究，2017年工作计划中对食品安全工作有明确要求，得0.5分；否则不得分</w:t>
            </w:r>
          </w:p>
        </w:tc>
        <w:tc>
          <w:tcPr>
            <w:tcW w:w="741"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学校2017年年度工作计划、工作方案、会议纪要、安全责任书等相关文件、图片等</w:t>
            </w: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建立健全校园食品安全管理制度，明确食品安全管理人员和每个岗位的安全职责，层层签订食品安全责任书，得0.5分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市教委、市食品药品监督管理局</w:t>
            </w:r>
          </w:p>
        </w:tc>
        <w:tc>
          <w:tcPr>
            <w:tcW w:w="462"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区教委</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加强学校食堂管理，强化从业人员培训，严格管控原料采购、加工制作、清洗消毒和用水卫生等关键环节，定期开展食品安全自查，得0.5分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54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(三十一)食品摊贩食品安全监管【1】</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开展流动无照食品摊贩监管工作，依据《北京市主体功能区规划》中的四类城市功能区划分，以96310城管热线市民举报无照食品摊贩数量为考核标准。(对各区进行差别化分组，首都功能核心区：东城、西城)在分组中举报量最少和同比下降幅度最大的区得1分；举报量同比下降的区得0.5分；举报量有所上升的区得0.2分；举报量大幅上升的区不得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食品摊贩登记与监管等治理工作情况；96310城管热线市民举报情况说明由城管执法局提供</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面向群众开展无照食品摊贩管理情况调查，调查结果显示管理情况较差的，扣0.2分</w:t>
            </w:r>
          </w:p>
        </w:tc>
        <w:tc>
          <w:tcPr>
            <w:tcW w:w="537"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市城管局</w:t>
            </w: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 w:hRule="atLeast"/>
          <w:jc w:val="center"/>
        </w:trPr>
        <w:tc>
          <w:tcPr>
            <w:tcW w:w="543"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(三十二)“阳光餐饮”落实情况【3】</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各辖区出台“阳光餐饮”工程实施方案，得0.5分</w:t>
            </w:r>
          </w:p>
        </w:tc>
        <w:tc>
          <w:tcPr>
            <w:tcW w:w="741"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区“阳光餐饮”工程实施方案或相关文件(实施报告、总结材料等)</w:t>
            </w:r>
          </w:p>
        </w:tc>
        <w:tc>
          <w:tcPr>
            <w:tcW w:w="750"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按照“阳光餐饮”工程推进落实相关材料，随机抽取10家已参与“阳光餐饮”的餐饮单位进行现场检查。其中每发现1家存在“阳光餐饮”工程未落实到位的企业，扣0.1分;</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面向辖区群众针对餐饮业安全管理情况进行调查，调查结果显示管理情况较差的，扣0.5分</w:t>
            </w: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市食药安委办、市食品药品监督管理局、市教委、市商务委</w:t>
            </w:r>
          </w:p>
        </w:tc>
        <w:tc>
          <w:tcPr>
            <w:tcW w:w="462"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②</w:t>
            </w:r>
            <w:r>
              <w:rPr>
                <w:rFonts w:hint="eastAsia" w:ascii="仿宋_GB2312" w:eastAsia="仿宋_GB2312"/>
                <w:color w:val="000000"/>
                <w:spacing w:val="-12"/>
                <w:sz w:val="24"/>
              </w:rPr>
              <w:t>网络订餐平台北京地区餐饮店铺“阳光餐饮”工程建设完成率年中达到20%，全年达到30%以上</w:t>
            </w:r>
            <w:r>
              <w:rPr>
                <w:rFonts w:hint="eastAsia" w:ascii="仿宋_GB2312" w:hAnsi="仿宋" w:eastAsia="仿宋_GB2312"/>
                <w:color w:val="000000"/>
                <w:spacing w:val="-12"/>
                <w:sz w:val="24"/>
              </w:rPr>
              <w:t>，得0.5分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ind w:firstLine="432" w:firstLineChars="200"/>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ind w:firstLine="432" w:firstLineChars="20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中央厨房、集体用餐配送单位</w:t>
            </w:r>
            <w:r>
              <w:rPr>
                <w:rFonts w:hint="eastAsia" w:ascii="仿宋_GB2312" w:eastAsia="仿宋_GB2312"/>
                <w:color w:val="000000"/>
                <w:spacing w:val="-12"/>
                <w:sz w:val="24"/>
              </w:rPr>
              <w:t>“阳光餐饮”工程建设完成率</w:t>
            </w:r>
            <w:r>
              <w:rPr>
                <w:rFonts w:hint="eastAsia" w:ascii="仿宋_GB2312" w:hAnsi="仿宋" w:eastAsia="仿宋_GB2312"/>
                <w:color w:val="000000"/>
                <w:spacing w:val="-12"/>
                <w:sz w:val="24"/>
              </w:rPr>
              <w:t>年中达到60%以上，全年达到100%，得0.5分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按照任务分配完成</w:t>
            </w:r>
            <w:r>
              <w:rPr>
                <w:rFonts w:hint="eastAsia" w:ascii="仿宋_GB2312" w:eastAsia="仿宋_GB2312"/>
                <w:color w:val="000000"/>
                <w:spacing w:val="-12"/>
                <w:sz w:val="24"/>
              </w:rPr>
              <w:t>学校、托幼机构、养老机构食堂和餐饮服务单位“阳光餐饮”工程建设；</w:t>
            </w:r>
            <w:r>
              <w:rPr>
                <w:rFonts w:hint="eastAsia" w:ascii="仿宋_GB2312" w:hAnsi="仿宋" w:eastAsia="仿宋_GB2312"/>
                <w:color w:val="000000"/>
                <w:spacing w:val="-12"/>
                <w:sz w:val="24"/>
              </w:rPr>
              <w:t>年中占40%，年底完成100%，得0.5分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区教委</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7"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辖区餐饮服务企业</w:t>
            </w:r>
            <w:r>
              <w:rPr>
                <w:rFonts w:hint="eastAsia" w:ascii="仿宋_GB2312" w:eastAsia="仿宋_GB2312"/>
                <w:color w:val="000000"/>
                <w:spacing w:val="-12"/>
                <w:sz w:val="24"/>
              </w:rPr>
              <w:t>“阳光餐饮”工程建设完成率</w:t>
            </w:r>
            <w:r>
              <w:rPr>
                <w:rFonts w:hint="eastAsia" w:ascii="仿宋_GB2312" w:hAnsi="仿宋" w:eastAsia="仿宋_GB2312"/>
                <w:color w:val="000000"/>
                <w:spacing w:val="-12"/>
                <w:sz w:val="24"/>
              </w:rPr>
              <w:t>达到30%以上的，得0.25分；规模以上餐饮服务企业</w:t>
            </w:r>
            <w:r>
              <w:rPr>
                <w:rFonts w:hint="eastAsia" w:ascii="仿宋_GB2312" w:eastAsia="仿宋_GB2312"/>
                <w:color w:val="000000"/>
                <w:spacing w:val="-12"/>
                <w:sz w:val="24"/>
              </w:rPr>
              <w:t>“阳光餐饮”工程建设完成率</w:t>
            </w:r>
            <w:r>
              <w:rPr>
                <w:rFonts w:hint="eastAsia" w:ascii="仿宋_GB2312" w:hAnsi="仿宋" w:eastAsia="仿宋_GB2312"/>
                <w:color w:val="000000"/>
                <w:spacing w:val="-12"/>
                <w:sz w:val="24"/>
              </w:rPr>
              <w:t>达到80%以上，得0.25分；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6"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6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⑥</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辖区建成2条以上集食品安全、特色风味、优质服务为一体的“阳光餐饮”工程示范街区，得0.5分</w:t>
            </w:r>
          </w:p>
        </w:tc>
        <w:tc>
          <w:tcPr>
            <w:tcW w:w="741"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区区食药监局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2" w:hRule="atLeast"/>
          <w:jc w:val="center"/>
        </w:trPr>
        <w:tc>
          <w:tcPr>
            <w:tcW w:w="54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(三十三)早餐示范店建设【1】</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加快便民早餐服务体系建设，全区新建或改造符合相关标准的早餐规范店达10家以上，得0.6分；低于10家(含)大于8家(含)，得0.4分；低于8家大于5家(含)，得0.3分；低于5家大于2家(含)，得0.2分；低于2家不得分。在此基础上，向社会公布早餐网点目录，方便市民消费，得0.2分。规范化早餐网点统一配送率达60%以上，得0.2分；低于60%高于(含)50%，得0.1分；低于50%，不得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查看新建或改造的早餐网点统计资料</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随机抽取3家早餐规范点进行检查，看是否满足相关标准，每有一家不合格扣0.1</w:t>
            </w:r>
          </w:p>
        </w:tc>
        <w:tc>
          <w:tcPr>
            <w:tcW w:w="537"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市商务委</w:t>
            </w: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(三十四)创建</w:t>
            </w:r>
            <w:r>
              <w:rPr>
                <w:rFonts w:ascii="仿宋_GB2312" w:hAnsi="仿宋" w:eastAsia="仿宋_GB2312"/>
                <w:color w:val="000000"/>
                <w:spacing w:val="-12"/>
                <w:sz w:val="24"/>
              </w:rPr>
              <w:t>“</w:t>
            </w:r>
            <w:r>
              <w:rPr>
                <w:rFonts w:hint="eastAsia" w:ascii="仿宋_GB2312" w:hAnsi="仿宋" w:eastAsia="仿宋_GB2312"/>
                <w:color w:val="000000"/>
                <w:spacing w:val="-12"/>
                <w:sz w:val="24"/>
              </w:rPr>
              <w:t>放心</w:t>
            </w:r>
            <w:r>
              <w:rPr>
                <w:rFonts w:ascii="仿宋_GB2312" w:hAnsi="仿宋" w:eastAsia="仿宋_GB2312"/>
                <w:color w:val="000000"/>
                <w:spacing w:val="-12"/>
                <w:sz w:val="24"/>
              </w:rPr>
              <w:t>肉菜示范超市”</w:t>
            </w:r>
            <w:r>
              <w:rPr>
                <w:rFonts w:hint="eastAsia" w:ascii="仿宋_GB2312" w:hAnsi="仿宋" w:eastAsia="仿宋_GB2312"/>
                <w:color w:val="000000"/>
                <w:spacing w:val="-12"/>
                <w:sz w:val="24"/>
              </w:rPr>
              <w:t>活动</w:t>
            </w:r>
            <w:r>
              <w:rPr>
                <w:rFonts w:ascii="仿宋_GB2312" w:hAnsi="仿宋" w:eastAsia="仿宋_GB2312"/>
                <w:color w:val="000000"/>
                <w:spacing w:val="-12"/>
                <w:sz w:val="24"/>
              </w:rPr>
              <w:t>推进落实情况</w:t>
            </w:r>
            <w:r>
              <w:rPr>
                <w:rFonts w:hint="eastAsia" w:ascii="仿宋_GB2312" w:hAnsi="仿宋" w:eastAsia="仿宋_GB2312"/>
                <w:color w:val="000000"/>
                <w:spacing w:val="-12"/>
                <w:sz w:val="24"/>
              </w:rPr>
              <w:t>【0.5】</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辖区出台创建“放心</w:t>
            </w:r>
            <w:r>
              <w:rPr>
                <w:rFonts w:ascii="仿宋_GB2312" w:hAnsi="仿宋" w:eastAsia="仿宋_GB2312"/>
                <w:color w:val="000000"/>
                <w:spacing w:val="-12"/>
                <w:sz w:val="24"/>
              </w:rPr>
              <w:t>肉菜示范超市”活动</w:t>
            </w:r>
            <w:r>
              <w:rPr>
                <w:rFonts w:hint="eastAsia" w:ascii="仿宋_GB2312" w:hAnsi="仿宋" w:eastAsia="仿宋_GB2312"/>
                <w:color w:val="000000"/>
                <w:spacing w:val="-12"/>
                <w:sz w:val="24"/>
              </w:rPr>
              <w:t>实施</w:t>
            </w:r>
            <w:r>
              <w:rPr>
                <w:rFonts w:ascii="仿宋_GB2312" w:hAnsi="仿宋" w:eastAsia="仿宋_GB2312"/>
                <w:color w:val="000000"/>
                <w:spacing w:val="-12"/>
                <w:sz w:val="24"/>
              </w:rPr>
              <w:t>方案，</w:t>
            </w:r>
            <w:r>
              <w:rPr>
                <w:rFonts w:hint="eastAsia" w:ascii="仿宋_GB2312" w:hAnsi="仿宋" w:eastAsia="仿宋_GB2312"/>
                <w:color w:val="000000"/>
                <w:spacing w:val="-12"/>
                <w:sz w:val="24"/>
              </w:rPr>
              <w:t>加快</w:t>
            </w:r>
            <w:r>
              <w:rPr>
                <w:rFonts w:ascii="仿宋_GB2312" w:hAnsi="仿宋" w:eastAsia="仿宋_GB2312"/>
                <w:color w:val="000000"/>
                <w:spacing w:val="-12"/>
                <w:sz w:val="24"/>
              </w:rPr>
              <w:t>推进</w:t>
            </w:r>
            <w:r>
              <w:rPr>
                <w:rFonts w:hint="eastAsia" w:ascii="仿宋_GB2312" w:hAnsi="仿宋" w:eastAsia="仿宋_GB2312"/>
                <w:color w:val="000000"/>
                <w:spacing w:val="-12"/>
                <w:sz w:val="24"/>
              </w:rPr>
              <w:t>创建</w:t>
            </w:r>
            <w:r>
              <w:rPr>
                <w:rFonts w:ascii="仿宋_GB2312" w:hAnsi="仿宋" w:eastAsia="仿宋_GB2312"/>
                <w:color w:val="000000"/>
                <w:spacing w:val="-12"/>
                <w:sz w:val="24"/>
              </w:rPr>
              <w:t>工作，</w:t>
            </w:r>
            <w:r>
              <w:rPr>
                <w:rFonts w:hint="eastAsia" w:ascii="仿宋_GB2312" w:hAnsi="仿宋" w:eastAsia="仿宋_GB2312"/>
                <w:color w:val="000000"/>
                <w:spacing w:val="-12"/>
                <w:sz w:val="24"/>
              </w:rPr>
              <w:t>年中</w:t>
            </w:r>
            <w:r>
              <w:rPr>
                <w:rFonts w:ascii="仿宋_GB2312" w:hAnsi="仿宋" w:eastAsia="仿宋_GB2312"/>
                <w:color w:val="000000"/>
                <w:spacing w:val="-12"/>
                <w:sz w:val="24"/>
              </w:rPr>
              <w:t>纳入创建名单的</w:t>
            </w:r>
            <w:r>
              <w:rPr>
                <w:rFonts w:hint="eastAsia" w:ascii="仿宋_GB2312" w:hAnsi="仿宋" w:eastAsia="仿宋_GB2312"/>
                <w:color w:val="000000"/>
                <w:spacing w:val="-12"/>
                <w:sz w:val="24"/>
              </w:rPr>
              <w:t>零售门店全部</w:t>
            </w:r>
            <w:r>
              <w:rPr>
                <w:rFonts w:ascii="仿宋_GB2312" w:hAnsi="仿宋" w:eastAsia="仿宋_GB2312"/>
                <w:color w:val="000000"/>
                <w:spacing w:val="-12"/>
                <w:sz w:val="24"/>
              </w:rPr>
              <w:t>开始创建活动，年底前</w:t>
            </w:r>
            <w:r>
              <w:rPr>
                <w:rFonts w:hint="eastAsia" w:ascii="仿宋_GB2312" w:hAnsi="仿宋" w:eastAsia="仿宋_GB2312"/>
                <w:color w:val="000000"/>
                <w:spacing w:val="-12"/>
                <w:sz w:val="24"/>
              </w:rPr>
              <w:t>完成年度</w:t>
            </w:r>
            <w:r>
              <w:rPr>
                <w:rFonts w:ascii="仿宋_GB2312" w:hAnsi="仿宋" w:eastAsia="仿宋_GB2312"/>
                <w:color w:val="000000"/>
                <w:spacing w:val="-12"/>
                <w:sz w:val="24"/>
              </w:rPr>
              <w:t>创建</w:t>
            </w:r>
            <w:r>
              <w:rPr>
                <w:rFonts w:hint="eastAsia" w:ascii="仿宋_GB2312" w:hAnsi="仿宋" w:eastAsia="仿宋_GB2312"/>
                <w:color w:val="000000"/>
                <w:spacing w:val="-12"/>
                <w:sz w:val="24"/>
              </w:rPr>
              <w:t>任务</w:t>
            </w:r>
            <w:r>
              <w:rPr>
                <w:rFonts w:ascii="仿宋_GB2312" w:hAnsi="仿宋" w:eastAsia="仿宋_GB2312"/>
                <w:color w:val="000000"/>
                <w:spacing w:val="-12"/>
                <w:sz w:val="24"/>
              </w:rPr>
              <w:t>和</w:t>
            </w:r>
            <w:r>
              <w:rPr>
                <w:rFonts w:hint="eastAsia" w:ascii="仿宋_GB2312" w:hAnsi="仿宋" w:eastAsia="仿宋_GB2312"/>
                <w:color w:val="000000"/>
                <w:spacing w:val="-12"/>
                <w:sz w:val="24"/>
              </w:rPr>
              <w:t>并达到</w:t>
            </w:r>
            <w:r>
              <w:rPr>
                <w:rFonts w:ascii="仿宋_GB2312" w:hAnsi="仿宋" w:eastAsia="仿宋_GB2312"/>
                <w:color w:val="000000"/>
                <w:spacing w:val="-12"/>
                <w:sz w:val="24"/>
              </w:rPr>
              <w:t>创建</w:t>
            </w:r>
            <w:r>
              <w:rPr>
                <w:rFonts w:hint="eastAsia" w:ascii="仿宋_GB2312" w:hAnsi="仿宋" w:eastAsia="仿宋_GB2312"/>
                <w:color w:val="000000"/>
                <w:spacing w:val="-12"/>
                <w:sz w:val="24"/>
              </w:rPr>
              <w:t>标准</w:t>
            </w:r>
            <w:r>
              <w:rPr>
                <w:rFonts w:ascii="仿宋_GB2312" w:hAnsi="仿宋" w:eastAsia="仿宋_GB2312"/>
                <w:color w:val="000000"/>
                <w:spacing w:val="-12"/>
                <w:sz w:val="24"/>
              </w:rPr>
              <w:t>要求</w:t>
            </w:r>
            <w:r>
              <w:rPr>
                <w:rFonts w:hint="eastAsia" w:ascii="仿宋_GB2312" w:hAnsi="仿宋" w:eastAsia="仿宋_GB2312"/>
                <w:color w:val="000000"/>
                <w:spacing w:val="-12"/>
                <w:sz w:val="24"/>
              </w:rPr>
              <w:t>，得0.5分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查看实施</w:t>
            </w:r>
            <w:r>
              <w:rPr>
                <w:rFonts w:ascii="仿宋_GB2312" w:hAnsi="仿宋" w:eastAsia="仿宋_GB2312"/>
                <w:color w:val="000000"/>
                <w:spacing w:val="-12"/>
                <w:sz w:val="24"/>
              </w:rPr>
              <w:t>方案等资料</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w:t>
            </w:r>
            <w:r>
              <w:rPr>
                <w:rFonts w:ascii="仿宋_GB2312" w:hAnsi="仿宋" w:eastAsia="仿宋_GB2312"/>
                <w:color w:val="000000"/>
                <w:spacing w:val="-12"/>
                <w:sz w:val="24"/>
              </w:rPr>
              <w:t>抽取</w:t>
            </w:r>
            <w:r>
              <w:rPr>
                <w:rFonts w:hint="eastAsia" w:ascii="仿宋_GB2312" w:hAnsi="仿宋" w:eastAsia="仿宋_GB2312"/>
                <w:color w:val="000000"/>
                <w:spacing w:val="-12"/>
                <w:sz w:val="24"/>
              </w:rPr>
              <w:t>2家</w:t>
            </w:r>
            <w:r>
              <w:rPr>
                <w:rFonts w:ascii="仿宋_GB2312" w:hAnsi="仿宋" w:eastAsia="仿宋_GB2312"/>
                <w:color w:val="000000"/>
                <w:spacing w:val="-12"/>
                <w:sz w:val="24"/>
              </w:rPr>
              <w:t>门店核查创建</w:t>
            </w:r>
            <w:r>
              <w:rPr>
                <w:rFonts w:hint="eastAsia" w:ascii="仿宋_GB2312" w:hAnsi="仿宋" w:eastAsia="仿宋_GB2312"/>
                <w:color w:val="000000"/>
                <w:spacing w:val="-12"/>
                <w:sz w:val="24"/>
              </w:rPr>
              <w:t>活动</w:t>
            </w:r>
            <w:r>
              <w:rPr>
                <w:rFonts w:ascii="仿宋_GB2312" w:hAnsi="仿宋" w:eastAsia="仿宋_GB2312"/>
                <w:color w:val="000000"/>
                <w:spacing w:val="-12"/>
                <w:sz w:val="24"/>
              </w:rPr>
              <w:t>开展</w:t>
            </w:r>
            <w:r>
              <w:rPr>
                <w:rFonts w:hint="eastAsia" w:ascii="仿宋_GB2312" w:hAnsi="仿宋" w:eastAsia="仿宋_GB2312"/>
                <w:color w:val="000000"/>
                <w:spacing w:val="-12"/>
                <w:sz w:val="24"/>
              </w:rPr>
              <w:t>情况</w:t>
            </w:r>
            <w:r>
              <w:rPr>
                <w:rFonts w:ascii="仿宋_GB2312" w:hAnsi="仿宋" w:eastAsia="仿宋_GB2312"/>
                <w:color w:val="000000"/>
                <w:spacing w:val="-12"/>
                <w:sz w:val="24"/>
              </w:rPr>
              <w:t>，</w:t>
            </w:r>
            <w:r>
              <w:rPr>
                <w:rFonts w:hint="eastAsia" w:ascii="仿宋_GB2312" w:hAnsi="仿宋" w:eastAsia="仿宋_GB2312"/>
                <w:color w:val="000000"/>
                <w:spacing w:val="-12"/>
                <w:sz w:val="24"/>
              </w:rPr>
              <w:t>每有</w:t>
            </w:r>
            <w:r>
              <w:rPr>
                <w:rFonts w:ascii="仿宋_GB2312" w:hAnsi="仿宋" w:eastAsia="仿宋_GB2312"/>
                <w:color w:val="000000"/>
                <w:spacing w:val="-12"/>
                <w:sz w:val="24"/>
              </w:rPr>
              <w:t>一家未按要求</w:t>
            </w:r>
            <w:r>
              <w:rPr>
                <w:rFonts w:hint="eastAsia" w:ascii="仿宋_GB2312" w:hAnsi="仿宋" w:eastAsia="仿宋_GB2312"/>
                <w:color w:val="000000"/>
                <w:spacing w:val="-12"/>
                <w:sz w:val="24"/>
              </w:rPr>
              <w:t>开展</w:t>
            </w:r>
            <w:r>
              <w:rPr>
                <w:rFonts w:ascii="仿宋_GB2312" w:hAnsi="仿宋" w:eastAsia="仿宋_GB2312"/>
                <w:color w:val="000000"/>
                <w:spacing w:val="-12"/>
                <w:sz w:val="24"/>
              </w:rPr>
              <w:t>创建，扣</w:t>
            </w:r>
            <w:r>
              <w:rPr>
                <w:rFonts w:hint="eastAsia" w:ascii="仿宋_GB2312" w:hAnsi="仿宋" w:eastAsia="仿宋_GB2312"/>
                <w:color w:val="000000"/>
                <w:spacing w:val="-12"/>
                <w:sz w:val="24"/>
              </w:rPr>
              <w:t>0.2分</w:t>
            </w:r>
          </w:p>
        </w:tc>
        <w:tc>
          <w:tcPr>
            <w:tcW w:w="537"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7" w:hRule="atLeast"/>
          <w:jc w:val="center"/>
        </w:trPr>
        <w:tc>
          <w:tcPr>
            <w:tcW w:w="543"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(三十五)共性隐患、风险监控【3】</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组织开展食品生产经营环节食品安全风险隐患排查治理，建立风险隐患清单，并针对重点食品风险开展食品监管和综合治理，得1分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风险隐患清单，工作方案和情况总结</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7" w:hRule="atLeast"/>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问题食品发现比率(区级食品安全监测抽检不合格率/市级食品安全监测抽检不合格率，其中，食品列入统一监测计划的全部食品)＞1，得1</w:t>
            </w:r>
            <w:r>
              <w:rPr>
                <w:rFonts w:ascii="仿宋_GB2312" w:hAnsi="仿宋" w:eastAsia="仿宋_GB2312"/>
                <w:color w:val="000000"/>
                <w:spacing w:val="-12"/>
                <w:sz w:val="24"/>
              </w:rPr>
              <w:t>.5</w:t>
            </w:r>
            <w:r>
              <w:rPr>
                <w:rFonts w:hint="eastAsia" w:ascii="仿宋_GB2312" w:hAnsi="仿宋" w:eastAsia="仿宋_GB2312"/>
                <w:color w:val="000000"/>
                <w:spacing w:val="-12"/>
                <w:sz w:val="24"/>
              </w:rPr>
              <w:t>分，否则不得分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市食品药品监管局数据统计结果为准</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完成年度食品安全风险监测任务，得0.3分，食源性疾病漏报一起，不得分；监测结果向同级监管部门通报，并按规定向上级部门报告，得0.2分，否则不得分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核查食品安全风险监测系统中的数据；监测结果通报文件、纪要</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市食品药品监督管理局、市卫计委</w:t>
            </w:r>
          </w:p>
        </w:tc>
        <w:tc>
          <w:tcPr>
            <w:tcW w:w="462"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(三十六)应急处置【1】</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根据食品安全法和市级食品安全事故应急预案，制定区食品安全突发事件应急预案，得0.5分，否则不得分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食品安全突发事件应急预案</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制定演练方案，每年度开展一次应急演练得0.25分；编制应急操练手册或相关文件，每半年度至少进行一次食品安全应急知识培训，得0.25分</w:t>
            </w:r>
          </w:p>
        </w:tc>
        <w:tc>
          <w:tcPr>
            <w:tcW w:w="741" w:type="pct"/>
            <w:vAlign w:val="center"/>
          </w:tcPr>
          <w:p>
            <w:pPr>
              <w:adjustRightInd w:val="0"/>
              <w:snapToGrid w:val="0"/>
              <w:spacing w:line="360" w:lineRule="exact"/>
              <w:rPr>
                <w:rFonts w:ascii="仿宋_GB2312" w:hAnsi="仿宋" w:eastAsia="仿宋_GB2312"/>
                <w:color w:val="000000"/>
                <w:spacing w:val="-18"/>
                <w:sz w:val="24"/>
              </w:rPr>
            </w:pPr>
            <w:r>
              <w:rPr>
                <w:rFonts w:hint="eastAsia" w:ascii="仿宋_GB2312" w:hAnsi="仿宋" w:eastAsia="仿宋_GB2312"/>
                <w:color w:val="000000"/>
                <w:spacing w:val="-18"/>
                <w:sz w:val="24"/>
              </w:rPr>
              <w:t>查看应急预案、手册制定及培训情况，查看应急演练活动影像、记录等资料</w:t>
            </w:r>
          </w:p>
        </w:tc>
        <w:tc>
          <w:tcPr>
            <w:tcW w:w="75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(三十七)重大活动食品安全保障【4】</w:t>
            </w: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针对在京举办的政治、经济、文化、体育等重大活动，制定相关食品安全保障方案。完善保障机制，较好完成了食品安全保障工作，得1分</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重大活动的食品安全保障机制、方案相关文件</w:t>
            </w:r>
          </w:p>
        </w:tc>
        <w:tc>
          <w:tcPr>
            <w:tcW w:w="750"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针对重大活动期间食品安全保障工作面向群众开展调查，调查结果较差的，扣0.5分</w:t>
            </w:r>
          </w:p>
        </w:tc>
        <w:tc>
          <w:tcPr>
            <w:tcW w:w="537"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2" w:type="pct"/>
            <w:vMerge w:val="restar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重大活动保障期间，食品安全事故信息接收流转程序合理顺畅，报告及时准确，得1.5分。每发现1个食品安全事故报告不及时、不准确的问题，扣0.3分，扣完为止</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查看食品安全事故报告流转相关记录、材料</w:t>
            </w: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3"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1966"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4"/>
                <w:sz w:val="24"/>
              </w:rPr>
              <w:t>重大活动保障期间，有效协调相关部门开展食品安全事故处置工作，食品安全事故及时妥善控制，得1.5分;每发现1个食品安全事故处置不及时、控制不到位的问题，扣0.3分，扣完为止</w:t>
            </w:r>
          </w:p>
        </w:tc>
        <w:tc>
          <w:tcPr>
            <w:tcW w:w="741"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查看食品安全事故处置相关记录、材料</w:t>
            </w:r>
          </w:p>
        </w:tc>
        <w:tc>
          <w:tcPr>
            <w:tcW w:w="750"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537" w:type="pct"/>
            <w:vMerge w:val="continue"/>
            <w:vAlign w:val="center"/>
          </w:tcPr>
          <w:p>
            <w:pPr>
              <w:adjustRightInd w:val="0"/>
              <w:snapToGrid w:val="0"/>
              <w:spacing w:line="360" w:lineRule="exact"/>
              <w:rPr>
                <w:rFonts w:ascii="仿宋_GB2312" w:hAnsi="仿宋" w:eastAsia="仿宋_GB2312"/>
                <w:color w:val="000000"/>
                <w:spacing w:val="-12"/>
                <w:sz w:val="24"/>
              </w:rPr>
            </w:pPr>
          </w:p>
        </w:tc>
        <w:tc>
          <w:tcPr>
            <w:tcW w:w="462" w:type="pct"/>
            <w:vMerge w:val="continue"/>
            <w:vAlign w:val="center"/>
          </w:tcPr>
          <w:p>
            <w:pPr>
              <w:adjustRightInd w:val="0"/>
              <w:snapToGrid w:val="0"/>
              <w:spacing w:line="360" w:lineRule="exact"/>
              <w:rPr>
                <w:rFonts w:ascii="仿宋_GB2312" w:hAnsi="仿宋" w:eastAsia="仿宋_GB2312"/>
                <w:color w:val="000000"/>
                <w:spacing w:val="-12"/>
                <w:sz w:val="24"/>
              </w:rPr>
            </w:pPr>
          </w:p>
        </w:tc>
      </w:tr>
    </w:tbl>
    <w:p>
      <w:pPr>
        <w:widowControl/>
        <w:shd w:val="clear" w:color="auto" w:fill="FFFFFF"/>
        <w:adjustRightInd w:val="0"/>
        <w:snapToGrid w:val="0"/>
        <w:spacing w:line="578" w:lineRule="exact"/>
        <w:ind w:firstLine="592" w:firstLineChars="200"/>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五、违法犯罪行为有效控制(7分)</w:t>
      </w:r>
    </w:p>
    <w:tbl>
      <w:tblPr>
        <w:tblStyle w:val="18"/>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61"/>
        <w:gridCol w:w="5586"/>
        <w:gridCol w:w="2270"/>
        <w:gridCol w:w="1984"/>
        <w:gridCol w:w="155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46" w:type="pct"/>
            <w:shd w:val="clear" w:color="auto" w:fill="FFFFFF"/>
            <w:noWrap/>
            <w:vAlign w:val="center"/>
          </w:tcPr>
          <w:p>
            <w:pPr>
              <w:widowControl/>
              <w:adjustRightInd w:val="0"/>
              <w:snapToGrid w:val="0"/>
              <w:spacing w:beforeLines="20" w:afterLines="20" w:line="29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考核指标</w:t>
            </w:r>
          </w:p>
        </w:tc>
        <w:tc>
          <w:tcPr>
            <w:tcW w:w="1954" w:type="pct"/>
            <w:shd w:val="clear" w:color="auto" w:fill="FFFFFF"/>
            <w:vAlign w:val="center"/>
          </w:tcPr>
          <w:p>
            <w:pPr>
              <w:widowControl/>
              <w:adjustRightInd w:val="0"/>
              <w:snapToGrid w:val="0"/>
              <w:spacing w:beforeLines="20" w:afterLines="20" w:line="29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考评标准</w:t>
            </w:r>
          </w:p>
        </w:tc>
        <w:tc>
          <w:tcPr>
            <w:tcW w:w="794" w:type="pct"/>
            <w:shd w:val="clear" w:color="auto" w:fill="FFFFFF"/>
            <w:vAlign w:val="center"/>
          </w:tcPr>
          <w:p>
            <w:pPr>
              <w:widowControl/>
              <w:adjustRightInd w:val="0"/>
              <w:snapToGrid w:val="0"/>
              <w:spacing w:beforeLines="20" w:afterLines="20" w:line="29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资料查验</w:t>
            </w:r>
          </w:p>
        </w:tc>
        <w:tc>
          <w:tcPr>
            <w:tcW w:w="694" w:type="pct"/>
            <w:shd w:val="clear" w:color="auto" w:fill="FFFFFF"/>
            <w:vAlign w:val="center"/>
          </w:tcPr>
          <w:p>
            <w:pPr>
              <w:widowControl/>
              <w:adjustRightInd w:val="0"/>
              <w:snapToGrid w:val="0"/>
              <w:spacing w:beforeLines="20" w:afterLines="20" w:line="290" w:lineRule="exact"/>
              <w:jc w:val="center"/>
              <w:rPr>
                <w:rFonts w:ascii="黑体" w:hAnsi="黑体" w:eastAsia="黑体"/>
                <w:bCs/>
                <w:color w:val="000000"/>
                <w:spacing w:val="-20"/>
                <w:kern w:val="0"/>
                <w:sz w:val="24"/>
              </w:rPr>
            </w:pPr>
            <w:r>
              <w:rPr>
                <w:rFonts w:hint="eastAsia" w:ascii="黑体" w:hAnsi="黑体" w:eastAsia="黑体"/>
                <w:bCs/>
                <w:color w:val="000000"/>
                <w:spacing w:val="-20"/>
                <w:kern w:val="0"/>
                <w:sz w:val="24"/>
              </w:rPr>
              <w:t>现场评估与群众感受</w:t>
            </w:r>
          </w:p>
        </w:tc>
        <w:tc>
          <w:tcPr>
            <w:tcW w:w="545" w:type="pct"/>
            <w:shd w:val="clear" w:color="auto" w:fill="FFFFFF"/>
            <w:vAlign w:val="center"/>
          </w:tcPr>
          <w:p>
            <w:pPr>
              <w:widowControl/>
              <w:adjustRightInd w:val="0"/>
              <w:snapToGrid w:val="0"/>
              <w:spacing w:beforeLines="20" w:afterLines="20" w:line="29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评分部门</w:t>
            </w:r>
          </w:p>
        </w:tc>
        <w:tc>
          <w:tcPr>
            <w:tcW w:w="467" w:type="pct"/>
            <w:shd w:val="clear" w:color="auto" w:fill="FFFFFF"/>
            <w:vAlign w:val="center"/>
          </w:tcPr>
          <w:p>
            <w:pPr>
              <w:widowControl/>
              <w:adjustRightInd w:val="0"/>
              <w:snapToGrid w:val="0"/>
              <w:spacing w:beforeLines="20" w:afterLines="20" w:line="29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546" w:type="pct"/>
            <w:vMerge w:val="restar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(三十八)违法行为处置【4】</w:t>
            </w:r>
          </w:p>
        </w:tc>
        <w:tc>
          <w:tcPr>
            <w:tcW w:w="1954"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各区发现或外地通报的违法行为和问题产品，及时通报、移交、查处，并进行依法追溯、依法召回及规范处置的得1分,发现一起不符合要求的扣0.5分</w:t>
            </w:r>
          </w:p>
        </w:tc>
        <w:tc>
          <w:tcPr>
            <w:tcW w:w="7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行政执法部门查处食品违法案件统计表及相关资料</w:t>
            </w:r>
          </w:p>
        </w:tc>
        <w:tc>
          <w:tcPr>
            <w:tcW w:w="6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45"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市食药安委办、市公安局</w:t>
            </w:r>
          </w:p>
        </w:tc>
        <w:tc>
          <w:tcPr>
            <w:tcW w:w="46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546" w:type="pct"/>
            <w:vMerge w:val="continue"/>
            <w:vAlign w:val="center"/>
          </w:tcPr>
          <w:p>
            <w:pPr>
              <w:adjustRightInd w:val="0"/>
              <w:snapToGrid w:val="0"/>
              <w:spacing w:line="290" w:lineRule="exact"/>
              <w:rPr>
                <w:rFonts w:ascii="仿宋_GB2312" w:hAnsi="仿宋" w:eastAsia="仿宋_GB2312"/>
                <w:color w:val="000000"/>
                <w:spacing w:val="-12"/>
                <w:sz w:val="24"/>
              </w:rPr>
            </w:pPr>
          </w:p>
        </w:tc>
        <w:tc>
          <w:tcPr>
            <w:tcW w:w="1954"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建立并严格执行问题食品后处理机制，</w:t>
            </w:r>
            <w:r>
              <w:rPr>
                <w:rFonts w:ascii="仿宋_GB2312" w:hAnsi="仿宋" w:eastAsia="仿宋_GB2312"/>
                <w:color w:val="000000"/>
                <w:spacing w:val="-12"/>
                <w:sz w:val="24"/>
              </w:rPr>
              <w:t>得1</w:t>
            </w:r>
            <w:r>
              <w:rPr>
                <w:rFonts w:hint="eastAsia" w:ascii="仿宋_GB2312" w:hAnsi="仿宋" w:eastAsia="仿宋_GB2312"/>
                <w:color w:val="000000"/>
                <w:spacing w:val="-12"/>
                <w:sz w:val="24"/>
              </w:rPr>
              <w:t>分;不合格食品及问题食品核查处置完成率达到</w:t>
            </w:r>
            <w:r>
              <w:rPr>
                <w:rFonts w:ascii="仿宋_GB2312" w:hAnsi="仿宋" w:eastAsia="仿宋_GB2312"/>
                <w:color w:val="000000"/>
                <w:spacing w:val="-12"/>
                <w:sz w:val="24"/>
              </w:rPr>
              <w:t>100%</w:t>
            </w:r>
            <w:r>
              <w:rPr>
                <w:rFonts w:hint="eastAsia" w:ascii="仿宋_GB2312" w:hAnsi="仿宋" w:eastAsia="仿宋_GB2312"/>
                <w:color w:val="000000"/>
                <w:spacing w:val="-12"/>
                <w:sz w:val="24"/>
              </w:rPr>
              <w:t>，得1分</w:t>
            </w:r>
          </w:p>
        </w:tc>
        <w:tc>
          <w:tcPr>
            <w:tcW w:w="7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查验《食品安全抽检监测后处理管理办法》、《不合格及问题食品处置统计表》、《不合格后处理报告》、执法文书等</w:t>
            </w:r>
          </w:p>
        </w:tc>
        <w:tc>
          <w:tcPr>
            <w:tcW w:w="6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45"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3" w:hRule="atLeast"/>
          <w:jc w:val="center"/>
        </w:trPr>
        <w:tc>
          <w:tcPr>
            <w:tcW w:w="546" w:type="pct"/>
            <w:vMerge w:val="continue"/>
            <w:vAlign w:val="center"/>
          </w:tcPr>
          <w:p>
            <w:pPr>
              <w:widowControl/>
              <w:adjustRightInd w:val="0"/>
              <w:snapToGrid w:val="0"/>
              <w:spacing w:line="290" w:lineRule="exact"/>
              <w:rPr>
                <w:rFonts w:ascii="仿宋" w:hAnsi="仿宋" w:eastAsia="仿宋"/>
                <w:color w:val="000000"/>
                <w:spacing w:val="-12"/>
                <w:sz w:val="24"/>
              </w:rPr>
            </w:pPr>
          </w:p>
        </w:tc>
        <w:tc>
          <w:tcPr>
            <w:tcW w:w="1954" w:type="pct"/>
            <w:vAlign w:val="center"/>
          </w:tcPr>
          <w:p>
            <w:pPr>
              <w:adjustRightInd w:val="0"/>
              <w:snapToGrid w:val="0"/>
              <w:spacing w:line="29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各区餐厨垃圾案件人均处罚量排名1-5名，得1分；排名6-10名，得0.6分；排名11以后的，得0.4分；没有餐厨垃圾处罚案件的，得0分</w:t>
            </w:r>
          </w:p>
        </w:tc>
        <w:tc>
          <w:tcPr>
            <w:tcW w:w="7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市城管执法局案件办理系统统计结果为准</w:t>
            </w:r>
          </w:p>
        </w:tc>
        <w:tc>
          <w:tcPr>
            <w:tcW w:w="694"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45"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市城管局</w:t>
            </w:r>
          </w:p>
        </w:tc>
        <w:tc>
          <w:tcPr>
            <w:tcW w:w="467" w:type="pct"/>
            <w:vAlign w:val="center"/>
          </w:tcPr>
          <w:p>
            <w:pPr>
              <w:adjustRightInd w:val="0"/>
              <w:snapToGrid w:val="0"/>
              <w:spacing w:line="29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(三十九)食品安全企业标准备案【0.5】</w:t>
            </w: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各区食品安全企业标准备案工作符合相关程序规定，得0.5分，不符合的酌情扣分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各区食品安全标准备案工作总结。企业对备案工作反馈意见等其他有关材料</w:t>
            </w:r>
          </w:p>
        </w:tc>
        <w:tc>
          <w:tcPr>
            <w:tcW w:w="6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545"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市卫计委</w:t>
            </w:r>
          </w:p>
        </w:tc>
        <w:tc>
          <w:tcPr>
            <w:tcW w:w="467"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(四十)行刑衔接【2.5】</w:t>
            </w: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区食品药品监管部门、公安机关、检察机关联合建立打击食品安全犯罪联席会议制度，或出台建立跨部门、跨区域的案件协查、信息共享等协调联动机制相关文件(联合印发文件或签署协议)，得0.5分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区食品药品监管、公安机关、检察机关联合印发或签署的行刑衔接机制建立文件</w:t>
            </w:r>
          </w:p>
        </w:tc>
        <w:tc>
          <w:tcPr>
            <w:tcW w:w="694"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针对食品安全违法犯罪侦办打击工作开展群众调查，结果较差的，扣0.5分</w:t>
            </w:r>
          </w:p>
        </w:tc>
        <w:tc>
          <w:tcPr>
            <w:tcW w:w="545"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市公安局、市食品药品监督管理局、市检察院</w:t>
            </w:r>
          </w:p>
        </w:tc>
        <w:tc>
          <w:tcPr>
            <w:tcW w:w="467" w:type="pct"/>
            <w:vMerge w:val="restar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公安分局</w:t>
            </w:r>
          </w:p>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区食品药品监管部门、公安机关、检察机关建立案件信息发布前相互通报机制，得0.5分，否则不得分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《案件协查联动工作机制》、信息发布相互通报等相关文件资料</w:t>
            </w:r>
          </w:p>
        </w:tc>
        <w:tc>
          <w:tcPr>
            <w:tcW w:w="69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45"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67" w:type="pct"/>
            <w:vMerge w:val="continue"/>
            <w:vAlign w:val="center"/>
          </w:tcPr>
          <w:p>
            <w:pPr>
              <w:adjustRightInd w:val="0"/>
              <w:snapToGrid w:val="0"/>
              <w:spacing w:line="40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w:t>
            </w:r>
            <w:r>
              <w:rPr>
                <w:rFonts w:hint="eastAsia" w:ascii="仿宋_GB2312" w:hAnsi="仿宋" w:eastAsia="仿宋_GB2312"/>
                <w:color w:val="000000"/>
                <w:spacing w:val="-16"/>
                <w:sz w:val="24"/>
              </w:rPr>
              <w:t>公安机关对食品药品监管部门按照规定移送的涉嫌犯罪案件，在规定时限内做出立案的决定，并在规定时限内书面通知食品药品监管部门，得0.5，否则不得分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立案相关资料</w:t>
            </w:r>
          </w:p>
        </w:tc>
        <w:tc>
          <w:tcPr>
            <w:tcW w:w="69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45"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67" w:type="pct"/>
            <w:vMerge w:val="continue"/>
            <w:vAlign w:val="center"/>
          </w:tcPr>
          <w:p>
            <w:pPr>
              <w:adjustRightInd w:val="0"/>
              <w:snapToGrid w:val="0"/>
              <w:spacing w:line="40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对食品药品监管部门在日常工作中发现属于违反食品安全法规的明显涉嫌犯罪的线索通报，及时依法受理和审查，得0.5分，否则不得分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相关证明材料</w:t>
            </w:r>
          </w:p>
        </w:tc>
        <w:tc>
          <w:tcPr>
            <w:tcW w:w="69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45"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67" w:type="pct"/>
            <w:vMerge w:val="continue"/>
            <w:vAlign w:val="center"/>
          </w:tcPr>
          <w:p>
            <w:pPr>
              <w:adjustRightInd w:val="0"/>
              <w:snapToGrid w:val="0"/>
              <w:spacing w:line="400" w:lineRule="exact"/>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1954" w:type="pct"/>
            <w:vAlign w:val="center"/>
          </w:tcPr>
          <w:p>
            <w:pPr>
              <w:adjustRightInd w:val="0"/>
              <w:snapToGrid w:val="0"/>
              <w:spacing w:line="40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在侦查食品犯罪案件中，已查明涉案食品流向的，向同级食品药品监管部门通报，得0.5分，否则不得分</w:t>
            </w:r>
          </w:p>
        </w:tc>
        <w:tc>
          <w:tcPr>
            <w:tcW w:w="794" w:type="pct"/>
            <w:vAlign w:val="center"/>
          </w:tcPr>
          <w:p>
            <w:pPr>
              <w:adjustRightInd w:val="0"/>
              <w:snapToGrid w:val="0"/>
              <w:spacing w:line="40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通报函、工作记录等</w:t>
            </w:r>
          </w:p>
        </w:tc>
        <w:tc>
          <w:tcPr>
            <w:tcW w:w="694"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545" w:type="pct"/>
            <w:vMerge w:val="continue"/>
            <w:vAlign w:val="center"/>
          </w:tcPr>
          <w:p>
            <w:pPr>
              <w:adjustRightInd w:val="0"/>
              <w:snapToGrid w:val="0"/>
              <w:spacing w:line="400" w:lineRule="exact"/>
              <w:rPr>
                <w:rFonts w:ascii="仿宋_GB2312" w:hAnsi="仿宋" w:eastAsia="仿宋_GB2312"/>
                <w:color w:val="000000"/>
                <w:spacing w:val="-12"/>
                <w:sz w:val="24"/>
              </w:rPr>
            </w:pPr>
          </w:p>
        </w:tc>
        <w:tc>
          <w:tcPr>
            <w:tcW w:w="467" w:type="pct"/>
            <w:vMerge w:val="continue"/>
            <w:vAlign w:val="center"/>
          </w:tcPr>
          <w:p>
            <w:pPr>
              <w:adjustRightInd w:val="0"/>
              <w:snapToGrid w:val="0"/>
              <w:spacing w:line="400" w:lineRule="exact"/>
              <w:rPr>
                <w:rFonts w:ascii="仿宋_GB2312" w:hAnsi="仿宋" w:eastAsia="仿宋_GB2312"/>
                <w:color w:val="000000"/>
                <w:spacing w:val="-12"/>
                <w:sz w:val="24"/>
              </w:rPr>
            </w:pPr>
          </w:p>
        </w:tc>
      </w:tr>
    </w:tbl>
    <w:p>
      <w:pPr>
        <w:widowControl/>
        <w:shd w:val="clear" w:color="auto" w:fill="FFFFFF"/>
        <w:adjustRightInd w:val="0"/>
        <w:snapToGrid w:val="0"/>
        <w:spacing w:line="578" w:lineRule="exact"/>
        <w:ind w:firstLine="592" w:firstLineChars="200"/>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六、企业主体责任落实到位(总分值6.5分)</w:t>
      </w:r>
    </w:p>
    <w:tbl>
      <w:tblPr>
        <w:tblStyle w:val="18"/>
        <w:tblW w:w="53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44"/>
        <w:gridCol w:w="5336"/>
        <w:gridCol w:w="1321"/>
        <w:gridCol w:w="3222"/>
        <w:gridCol w:w="131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考核指标</w:t>
            </w:r>
          </w:p>
        </w:tc>
        <w:tc>
          <w:tcPr>
            <w:tcW w:w="1898"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考评标准</w:t>
            </w:r>
          </w:p>
        </w:tc>
        <w:tc>
          <w:tcPr>
            <w:tcW w:w="47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资料查验</w:t>
            </w:r>
          </w:p>
        </w:tc>
        <w:tc>
          <w:tcPr>
            <w:tcW w:w="1146"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现场评估与群众感受</w:t>
            </w:r>
          </w:p>
        </w:tc>
        <w:tc>
          <w:tcPr>
            <w:tcW w:w="468"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评分部门</w:t>
            </w:r>
          </w:p>
        </w:tc>
        <w:tc>
          <w:tcPr>
            <w:tcW w:w="469"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beforeLines="20" w:afterLines="20" w:line="300" w:lineRule="exact"/>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5" w:hRule="atLeast"/>
          <w:jc w:val="center"/>
        </w:trPr>
        <w:tc>
          <w:tcPr>
            <w:tcW w:w="549" w:type="pct"/>
            <w:vMerge w:val="restar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(四十一)落实良好行为规范【1.5】</w:t>
            </w:r>
          </w:p>
        </w:tc>
        <w:tc>
          <w:tcPr>
            <w:tcW w:w="189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内纳入许可管理的食品生产经营/网络食品经营企业严格执行食品安全标准，落实良好行为规范，包括生产经营场所、设施设备、流程，餐饮经营场所油水分离装置、油烟控制装置等符合法律法规规定的有关要求，得0.5分。辖区内规模以上食品生产企业普遍推行良好生产规范，积极应用危害分析与关键控制点体系(HACCP)或食品安全管理体系(ISO22000)认证标准，得0.5分，如无食品生产企业作合理缺项处理</w:t>
            </w:r>
          </w:p>
        </w:tc>
        <w:tc>
          <w:tcPr>
            <w:tcW w:w="47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r>
              <w:rPr>
                <w:rFonts w:ascii="仿宋_GB2312" w:hAnsi="仿宋" w:eastAsia="仿宋_GB2312"/>
                <w:color w:val="000000"/>
                <w:spacing w:val="-12"/>
                <w:sz w:val="24"/>
              </w:rPr>
              <w:t>根据现场查验情况打分</w:t>
            </w:r>
          </w:p>
        </w:tc>
        <w:tc>
          <w:tcPr>
            <w:tcW w:w="1146"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现场随机抽查5家企业。(包含网络食品经营者、奶站、农贸/批发市场、超市、当地特色食品生产经营者、肉制品加工等)，检查其生产经营场所、设备设施、卫生条件、流程布局、生产销售流程等是否符合食品安全标准/规范要求。每发现1家管理较差的企业，扣0.1分</w:t>
            </w:r>
          </w:p>
        </w:tc>
        <w:tc>
          <w:tcPr>
            <w:tcW w:w="468"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市食品药品监督管理局、市环保局</w:t>
            </w:r>
          </w:p>
        </w:tc>
        <w:tc>
          <w:tcPr>
            <w:tcW w:w="46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549" w:type="pct"/>
            <w:vMerge w:val="continue"/>
            <w:vAlign w:val="center"/>
          </w:tcPr>
          <w:p>
            <w:pPr>
              <w:adjustRightInd w:val="0"/>
              <w:snapToGrid w:val="0"/>
              <w:spacing w:line="340" w:lineRule="exact"/>
              <w:rPr>
                <w:rFonts w:ascii="仿宋_GB2312" w:hAnsi="仿宋" w:eastAsia="仿宋_GB2312"/>
                <w:color w:val="000000"/>
                <w:spacing w:val="-12"/>
                <w:sz w:val="24"/>
              </w:rPr>
            </w:pPr>
          </w:p>
        </w:tc>
        <w:tc>
          <w:tcPr>
            <w:tcW w:w="189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依法应获行政许可，方能生产经营的单位，应全部取得许可，并提供企业的相关信息，包含企业名称、地址、联系电话、许可证编号或备案号、发证时间、证件有效时限，网络食品经营企业还需提供自设网站或者第三方平台网址、IP地址等，得0.5分</w:t>
            </w:r>
          </w:p>
        </w:tc>
        <w:tc>
          <w:tcPr>
            <w:tcW w:w="47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r>
              <w:rPr>
                <w:rFonts w:ascii="仿宋_GB2312" w:hAnsi="仿宋" w:eastAsia="仿宋_GB2312"/>
                <w:color w:val="000000"/>
                <w:spacing w:val="-12"/>
                <w:sz w:val="24"/>
              </w:rPr>
              <w:t>根据现场查验情况打分</w:t>
            </w:r>
          </w:p>
        </w:tc>
        <w:tc>
          <w:tcPr>
            <w:tcW w:w="1146"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随机抽查5家企业并核实企业的有效许可证情况，每发现1家未落实，扣0.2分</w:t>
            </w:r>
          </w:p>
        </w:tc>
        <w:tc>
          <w:tcPr>
            <w:tcW w:w="468"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(四十二)管理制度健全【2】</w:t>
            </w:r>
          </w:p>
        </w:tc>
        <w:tc>
          <w:tcPr>
            <w:tcW w:w="1898" w:type="pct"/>
            <w:vAlign w:val="center"/>
          </w:tcPr>
          <w:p>
            <w:pPr>
              <w:adjustRightInd w:val="0"/>
              <w:snapToGrid w:val="0"/>
              <w:spacing w:line="34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4"/>
                <w:sz w:val="24"/>
              </w:rPr>
              <w:t>食品/网络食品生产经营企业应建立相关食品安全管理制度，得2分，各类企业中发现一项不符合扣</w:t>
            </w:r>
            <w:r>
              <w:rPr>
                <w:rFonts w:ascii="仿宋_GB2312" w:hAnsi="仿宋" w:eastAsia="仿宋_GB2312"/>
                <w:color w:val="000000"/>
                <w:spacing w:val="-14"/>
                <w:sz w:val="24"/>
              </w:rPr>
              <w:t>0.5</w:t>
            </w:r>
            <w:r>
              <w:rPr>
                <w:rFonts w:hint="eastAsia" w:ascii="仿宋_GB2312" w:hAnsi="仿宋" w:eastAsia="仿宋_GB2312"/>
                <w:color w:val="000000"/>
                <w:spacing w:val="-14"/>
                <w:sz w:val="24"/>
              </w:rPr>
              <w:t>分(制度包括：食品安全自查、进货查验、索证索票、仓储、销售、运输、出厂检验、追溯、下架退市、召回、卫生管理、培训、从业人员健康管理、食品安全检查、餐具清洗消毒、餐厨废弃物和废弃油脂处置管理、食品添加剂进货查验记录、应急管理，农药、肥料等农业投入品产购、使用制度及其它相关制度)</w:t>
            </w:r>
          </w:p>
        </w:tc>
        <w:tc>
          <w:tcPr>
            <w:tcW w:w="470"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相关管理制度</w:t>
            </w:r>
          </w:p>
        </w:tc>
        <w:tc>
          <w:tcPr>
            <w:tcW w:w="1146"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随机抽取4家企业进行资料查验</w:t>
            </w:r>
          </w:p>
        </w:tc>
        <w:tc>
          <w:tcPr>
            <w:tcW w:w="468"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市食品药品监督管理局、市城市管理委、市农业局</w:t>
            </w:r>
          </w:p>
        </w:tc>
        <w:tc>
          <w:tcPr>
            <w:tcW w:w="469" w:type="pct"/>
            <w:vAlign w:val="center"/>
          </w:tcPr>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spacing w:line="34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(四十三)食品安全管理机构【0.5】</w:t>
            </w:r>
          </w:p>
        </w:tc>
        <w:tc>
          <w:tcPr>
            <w:tcW w:w="1898"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规模以上食品生产经营单位设置食品安全管理机构，明确分管负责人，得0.5分，发现一家企业不符合要求扣</w:t>
            </w:r>
            <w:r>
              <w:rPr>
                <w:rFonts w:ascii="仿宋_GB2312" w:hAnsi="仿宋" w:eastAsia="仿宋_GB2312"/>
                <w:color w:val="000000"/>
                <w:spacing w:val="-12"/>
                <w:sz w:val="24"/>
              </w:rPr>
              <w:t>0.</w:t>
            </w:r>
            <w:r>
              <w:rPr>
                <w:rFonts w:hint="eastAsia" w:ascii="仿宋_GB2312" w:hAnsi="仿宋" w:eastAsia="仿宋_GB2312"/>
                <w:color w:val="000000"/>
                <w:spacing w:val="-12"/>
                <w:sz w:val="24"/>
              </w:rPr>
              <w:t>3分，超过两家不得分</w:t>
            </w:r>
          </w:p>
        </w:tc>
        <w:tc>
          <w:tcPr>
            <w:tcW w:w="47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机构设置文件</w:t>
            </w:r>
          </w:p>
        </w:tc>
        <w:tc>
          <w:tcPr>
            <w:tcW w:w="1146"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现场查看规模以上生产经营单位设置食品安全管理机构，明确分管负责人</w:t>
            </w:r>
          </w:p>
        </w:tc>
        <w:tc>
          <w:tcPr>
            <w:tcW w:w="468"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(四十四)培训教育【0.5】</w:t>
            </w:r>
          </w:p>
        </w:tc>
        <w:tc>
          <w:tcPr>
            <w:tcW w:w="1898"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食品生产经营单位负责人、食品安全管理人员等主要从业人员每人每年接受食品安全法律法规、科学知识和行业道德伦理的集中培训不少于</w:t>
            </w:r>
            <w:r>
              <w:rPr>
                <w:rFonts w:ascii="仿宋_GB2312" w:hAnsi="仿宋" w:eastAsia="仿宋_GB2312"/>
                <w:color w:val="000000"/>
                <w:spacing w:val="-12"/>
                <w:sz w:val="24"/>
              </w:rPr>
              <w:t>40</w:t>
            </w:r>
            <w:r>
              <w:rPr>
                <w:rFonts w:hint="eastAsia" w:ascii="仿宋_GB2312" w:hAnsi="仿宋" w:eastAsia="仿宋_GB2312"/>
                <w:color w:val="000000"/>
                <w:spacing w:val="-12"/>
                <w:sz w:val="24"/>
              </w:rPr>
              <w:t>个小时，得0.5分，发现一家企业不符合要求扣0.1分</w:t>
            </w:r>
          </w:p>
        </w:tc>
        <w:tc>
          <w:tcPr>
            <w:tcW w:w="47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企业负责人、食品安全管理人员的培训记录</w:t>
            </w:r>
          </w:p>
        </w:tc>
        <w:tc>
          <w:tcPr>
            <w:tcW w:w="1146"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随机抽查5家食品生产经营单位，调查了解培训情况，每发现1家未落实，扣0.1分</w:t>
            </w:r>
          </w:p>
        </w:tc>
        <w:tc>
          <w:tcPr>
            <w:tcW w:w="468"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(四十五)追溯情况【1】</w:t>
            </w:r>
          </w:p>
        </w:tc>
        <w:tc>
          <w:tcPr>
            <w:tcW w:w="1898"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食品生产经营单位，能够通过电子手段或经营记录实现有效追溯，得1分(规模生产、种养殖，大型商超企业需全面实行电子追溯)</w:t>
            </w:r>
          </w:p>
        </w:tc>
        <w:tc>
          <w:tcPr>
            <w:tcW w:w="47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无，</w:t>
            </w:r>
            <w:r>
              <w:rPr>
                <w:rFonts w:ascii="仿宋_GB2312" w:hAnsi="仿宋" w:eastAsia="仿宋_GB2312"/>
                <w:color w:val="000000"/>
                <w:spacing w:val="-12"/>
                <w:sz w:val="24"/>
              </w:rPr>
              <w:t>根据现场查验情况打分</w:t>
            </w:r>
          </w:p>
        </w:tc>
        <w:tc>
          <w:tcPr>
            <w:tcW w:w="1146"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随机核实食品生产经营企业各2家(部分未覆盖食品生产企业、屠宰企业的区可增加抽查经营企业数量)</w:t>
            </w:r>
          </w:p>
        </w:tc>
        <w:tc>
          <w:tcPr>
            <w:tcW w:w="468"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(四十六)网络订餐情况【0.5】</w:t>
            </w:r>
          </w:p>
        </w:tc>
        <w:tc>
          <w:tcPr>
            <w:tcW w:w="1898"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从事网络订餐服务的食品经营者其网站首页或者经营活动的主页面醒目位置公示其餐饮服务食品安全量化分级标识、证照信息、如实记录网络订餐的订单信息(包括食品的名称、下单时间、送达时间以及食品流向)，得0.5分</w:t>
            </w:r>
          </w:p>
        </w:tc>
        <w:tc>
          <w:tcPr>
            <w:tcW w:w="47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核实网络订餐服务企业网站记录信息</w:t>
            </w:r>
          </w:p>
        </w:tc>
        <w:tc>
          <w:tcPr>
            <w:tcW w:w="1146" w:type="pct"/>
            <w:vAlign w:val="center"/>
          </w:tcPr>
          <w:p>
            <w:pPr>
              <w:adjustRightInd w:val="0"/>
              <w:snapToGrid w:val="0"/>
              <w:spacing w:line="360" w:lineRule="exact"/>
              <w:rPr>
                <w:rFonts w:ascii="仿宋_GB2312" w:hAnsi="仿宋" w:eastAsia="仿宋_GB2312"/>
                <w:color w:val="000000"/>
                <w:spacing w:val="-14"/>
                <w:sz w:val="24"/>
              </w:rPr>
            </w:pPr>
            <w:r>
              <w:rPr>
                <w:rFonts w:hint="eastAsia" w:ascii="仿宋_GB2312" w:hAnsi="仿宋" w:eastAsia="仿宋_GB2312"/>
                <w:color w:val="000000"/>
                <w:spacing w:val="-14"/>
                <w:sz w:val="24"/>
              </w:rPr>
              <w:t>随机抽取10家提供网络订餐服务的食品经营企业。每发现1家公示信息缺失的，扣0.1分；面向辖区群众调查网络订餐食品安全状况，如调查结果显示安全情况较差，扣0.25分</w:t>
            </w:r>
          </w:p>
        </w:tc>
        <w:tc>
          <w:tcPr>
            <w:tcW w:w="468"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(四十七)问题食品及时召回【0.5】</w:t>
            </w:r>
          </w:p>
        </w:tc>
        <w:tc>
          <w:tcPr>
            <w:tcW w:w="1898" w:type="pct"/>
            <w:vAlign w:val="center"/>
          </w:tcPr>
          <w:p>
            <w:pPr>
              <w:adjustRightInd w:val="0"/>
              <w:snapToGrid w:val="0"/>
              <w:spacing w:line="360" w:lineRule="exact"/>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食品生产及流通企业应当召回的已经上市销售的食品，应依法召回，并采取无害化处理和销毁，相关记录完整，得0.5分，(生产、流通各0.25分)</w:t>
            </w:r>
          </w:p>
        </w:tc>
        <w:tc>
          <w:tcPr>
            <w:tcW w:w="470"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召回、销毁记录等</w:t>
            </w:r>
          </w:p>
        </w:tc>
        <w:tc>
          <w:tcPr>
            <w:tcW w:w="1146"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现场核实食品生产企业、流通企业应召回的已经上市销售食品有关的记录文件(部分未覆盖食品生产企业的辖区可增加抽查流通企业)</w:t>
            </w:r>
          </w:p>
        </w:tc>
        <w:tc>
          <w:tcPr>
            <w:tcW w:w="468"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市食品药品监督管理局</w:t>
            </w:r>
          </w:p>
        </w:tc>
        <w:tc>
          <w:tcPr>
            <w:tcW w:w="469" w:type="pct"/>
            <w:vAlign w:val="center"/>
          </w:tcPr>
          <w:p>
            <w:pPr>
              <w:adjustRightInd w:val="0"/>
              <w:snapToGrid w:val="0"/>
              <w:spacing w:line="360" w:lineRule="exact"/>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bl>
    <w:p>
      <w:pPr>
        <w:widowControl/>
        <w:shd w:val="clear" w:color="auto" w:fill="FFFFFF"/>
        <w:adjustRightInd w:val="0"/>
        <w:snapToGrid w:val="0"/>
        <w:spacing w:line="578" w:lineRule="exact"/>
        <w:ind w:firstLine="592" w:firstLineChars="200"/>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七、社会共治格局基本形成(总分值8.5分)</w:t>
      </w:r>
    </w:p>
    <w:tbl>
      <w:tblPr>
        <w:tblStyle w:val="18"/>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34"/>
        <w:gridCol w:w="4640"/>
        <w:gridCol w:w="2551"/>
        <w:gridCol w:w="2688"/>
        <w:gridCol w:w="131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blHeader/>
          <w:jc w:val="center"/>
        </w:trPr>
        <w:tc>
          <w:tcPr>
            <w:tcW w:w="546"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考核指标</w:t>
            </w:r>
          </w:p>
        </w:tc>
        <w:tc>
          <w:tcPr>
            <w:tcW w:w="1652"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考评标准</w:t>
            </w:r>
          </w:p>
        </w:tc>
        <w:tc>
          <w:tcPr>
            <w:tcW w:w="908"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资料查验</w:t>
            </w:r>
          </w:p>
        </w:tc>
        <w:tc>
          <w:tcPr>
            <w:tcW w:w="957"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现场评估与群众感受</w:t>
            </w:r>
          </w:p>
        </w:tc>
        <w:tc>
          <w:tcPr>
            <w:tcW w:w="469"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评分部门</w:t>
            </w:r>
          </w:p>
        </w:tc>
        <w:tc>
          <w:tcPr>
            <w:tcW w:w="467" w:type="pct"/>
            <w:shd w:val="clear" w:color="auto" w:fill="FFFFFF"/>
            <w:vAlign w:val="center"/>
          </w:tcPr>
          <w:p>
            <w:pPr>
              <w:widowControl/>
              <w:adjustRightInd w:val="0"/>
              <w:snapToGrid w:val="0"/>
              <w:spacing w:beforeLines="20" w:afterLines="2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(四十八)投诉举报【1.5】</w:t>
            </w: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统一投诉举报电话，或开设网络投诉平台得</w:t>
            </w:r>
            <w:r>
              <w:rPr>
                <w:rFonts w:ascii="仿宋_GB2312" w:hAnsi="仿宋" w:eastAsia="仿宋_GB2312"/>
                <w:color w:val="000000"/>
                <w:spacing w:val="-12"/>
                <w:sz w:val="24"/>
              </w:rPr>
              <w:t>0.</w:t>
            </w:r>
            <w:r>
              <w:rPr>
                <w:rFonts w:hint="eastAsia" w:ascii="仿宋_GB2312" w:hAnsi="仿宋" w:eastAsia="仿宋_GB2312"/>
                <w:color w:val="000000"/>
                <w:spacing w:val="-12"/>
                <w:sz w:val="24"/>
              </w:rPr>
              <w:t>3分，投诉举报渠道畅通，得</w:t>
            </w:r>
            <w:r>
              <w:rPr>
                <w:rFonts w:ascii="仿宋_GB2312" w:hAnsi="仿宋" w:eastAsia="仿宋_GB2312"/>
                <w:color w:val="000000"/>
                <w:spacing w:val="-12"/>
                <w:sz w:val="24"/>
              </w:rPr>
              <w:t>0.</w:t>
            </w:r>
            <w:r>
              <w:rPr>
                <w:rFonts w:hint="eastAsia" w:ascii="仿宋_GB2312" w:hAnsi="仿宋" w:eastAsia="仿宋_GB2312"/>
                <w:color w:val="000000"/>
                <w:spacing w:val="-12"/>
                <w:sz w:val="24"/>
              </w:rPr>
              <w:t>2分</w:t>
            </w:r>
          </w:p>
        </w:tc>
        <w:tc>
          <w:tcPr>
            <w:tcW w:w="908"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查看投诉举报平台、统计表，奖励制度等，并核实相关记录资料</w:t>
            </w:r>
          </w:p>
        </w:tc>
        <w:tc>
          <w:tcPr>
            <w:tcW w:w="95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面向辖区群众开展食品安全投诉举报渠道及受理情况调查，如调查情况显示投诉举报接收处理情况较差，扣0.5分</w:t>
            </w:r>
          </w:p>
        </w:tc>
        <w:tc>
          <w:tcPr>
            <w:tcW w:w="469"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投诉举报核查回复率达</w:t>
            </w:r>
            <w:r>
              <w:rPr>
                <w:rFonts w:ascii="仿宋_GB2312" w:hAnsi="仿宋" w:eastAsia="仿宋_GB2312"/>
                <w:color w:val="000000"/>
                <w:spacing w:val="-12"/>
                <w:sz w:val="24"/>
              </w:rPr>
              <w:t>100%</w:t>
            </w:r>
            <w:r>
              <w:rPr>
                <w:rFonts w:hint="eastAsia" w:ascii="仿宋_GB2312" w:hAnsi="仿宋" w:eastAsia="仿宋_GB2312"/>
                <w:color w:val="000000"/>
                <w:spacing w:val="-12"/>
                <w:sz w:val="24"/>
              </w:rPr>
              <w:t>，得0.5分,否则不得分</w:t>
            </w:r>
          </w:p>
        </w:tc>
        <w:tc>
          <w:tcPr>
            <w:tcW w:w="908" w:type="pct"/>
            <w:vMerge w:val="continue"/>
            <w:vAlign w:val="center"/>
          </w:tcPr>
          <w:p>
            <w:pPr>
              <w:adjustRightInd w:val="0"/>
              <w:snapToGrid w:val="0"/>
              <w:rPr>
                <w:rFonts w:ascii="仿宋_GB2312" w:hAnsi="仿宋" w:eastAsia="仿宋_GB2312"/>
                <w:color w:val="000000"/>
                <w:spacing w:val="-12"/>
                <w:sz w:val="24"/>
              </w:rPr>
            </w:pP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出台投诉举报奖励办法，并设立举报奖励资金，纳入区级财政预算，得</w:t>
            </w:r>
            <w:r>
              <w:rPr>
                <w:rFonts w:ascii="仿宋_GB2312" w:hAnsi="仿宋" w:eastAsia="仿宋_GB2312"/>
                <w:color w:val="000000"/>
                <w:spacing w:val="-12"/>
                <w:sz w:val="24"/>
              </w:rPr>
              <w:t>0.</w:t>
            </w:r>
            <w:r>
              <w:rPr>
                <w:rFonts w:hint="eastAsia" w:ascii="仿宋_GB2312" w:hAnsi="仿宋" w:eastAsia="仿宋_GB2312"/>
                <w:color w:val="000000"/>
                <w:spacing w:val="-12"/>
                <w:sz w:val="24"/>
              </w:rPr>
              <w:t>25分</w:t>
            </w:r>
          </w:p>
        </w:tc>
        <w:tc>
          <w:tcPr>
            <w:tcW w:w="908" w:type="pct"/>
            <w:vMerge w:val="continue"/>
            <w:vAlign w:val="center"/>
          </w:tcPr>
          <w:p>
            <w:pPr>
              <w:adjustRightInd w:val="0"/>
              <w:snapToGrid w:val="0"/>
              <w:rPr>
                <w:rFonts w:ascii="仿宋_GB2312" w:hAnsi="仿宋" w:eastAsia="仿宋_GB2312"/>
                <w:color w:val="000000"/>
                <w:spacing w:val="-12"/>
                <w:sz w:val="24"/>
              </w:rPr>
            </w:pP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区食药监局受理的符合举报奖励条件的，按要求兑现奖金，兑现率达到85%(含)以上的，得0.25分，85%以下的不得分</w:t>
            </w:r>
          </w:p>
        </w:tc>
        <w:tc>
          <w:tcPr>
            <w:tcW w:w="908" w:type="pct"/>
            <w:vAlign w:val="center"/>
          </w:tcPr>
          <w:p>
            <w:pPr>
              <w:adjustRightInd w:val="0"/>
              <w:snapToGrid w:val="0"/>
              <w:rPr>
                <w:rFonts w:ascii="仿宋_GB2312" w:hAnsi="仿宋" w:eastAsia="仿宋_GB2312"/>
                <w:color w:val="000000"/>
                <w:spacing w:val="-16"/>
                <w:sz w:val="24"/>
              </w:rPr>
            </w:pPr>
            <w:r>
              <w:rPr>
                <w:rFonts w:hint="eastAsia" w:ascii="仿宋_GB2312" w:hAnsi="仿宋" w:eastAsia="仿宋_GB2312"/>
                <w:color w:val="000000"/>
                <w:spacing w:val="-16"/>
                <w:sz w:val="24"/>
              </w:rPr>
              <w:t>根据区食药监局数据统计；市食药监局发放奖励金统计；各区报送申报奖励材料进行查验(兑现奖金的事由，金额统计信息等)</w:t>
            </w: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jc w:val="center"/>
        </w:trPr>
        <w:tc>
          <w:tcPr>
            <w:tcW w:w="546"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(四十九)信用管理【0.5】</w:t>
            </w: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对辖区内持证食品生产经营企业建立食品安全信用档案并动态管理，得0.5分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辖区内对持证食品生产经营单位建立的信用档案，且实施了动态管理</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随机抽查2家企业，根据信用档案进行信息核查。每发现1家与档案资料不符，扣0.1分</w:t>
            </w:r>
          </w:p>
        </w:tc>
        <w:tc>
          <w:tcPr>
            <w:tcW w:w="469"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市工商局、市食品药品监督管理局</w:t>
            </w:r>
          </w:p>
        </w:tc>
        <w:tc>
          <w:tcPr>
            <w:tcW w:w="46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工商分局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(五十)宣传工作【4】</w:t>
            </w: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辖区每个街道、镇至少建成1个“食品药品安全科普宣传站”、“国家食品安全示范城市创建宣传栏”、“北京食品安全示范城区创建宣传专栏”，得0.5分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查验各区食药安办或创建办印发的相关文件</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抽查不少于20％的街道、镇实地查看。每有1个街道、镇未按照要求开展相关工作，扣0.1分。扣完为止</w:t>
            </w:r>
          </w:p>
        </w:tc>
        <w:tc>
          <w:tcPr>
            <w:tcW w:w="469"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市食药安委办、市食品药品监督管理局</w:t>
            </w:r>
          </w:p>
        </w:tc>
        <w:tc>
          <w:tcPr>
            <w:tcW w:w="46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区食药安办每月确定一个食品安全宣传主题开展重点宣传，城区在市级媒体刊播相关新闻大于10条/年；郊区在区级媒体刊播相关新闻大于30条/年，在市级媒体刊播相关新闻大于3条/年的，得0.5分，按照完成比率得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各区食药安办或创建办制定的年度宣传计划或方案、媒体报道列表和记录</w:t>
            </w:r>
          </w:p>
        </w:tc>
        <w:tc>
          <w:tcPr>
            <w:tcW w:w="95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面向群众针对食品安全宣传开展调查，如调查结果显示宣传情况较差的，扣0.2分</w:t>
            </w: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通过微信、微博等新媒体平台宣传创建活动的频率不少于2条/月，制作不少于2条/年的相关微视频、微电影宣传创建活动的，得0.5分，按完成比率得分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查验微信、微博发布记录和数量，查看微视频、微电影内容和数量</w:t>
            </w: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4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④</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在公交车(站)、火车站、地铁站、高速路口、宾馆、旅游集散地、村社、学校、机关、医院、企业及其它公共场所，宣传创建活动的，得0.5分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r>
              <w:rPr>
                <w:rFonts w:ascii="仿宋_GB2312" w:hAnsi="仿宋" w:eastAsia="仿宋_GB2312"/>
                <w:color w:val="000000"/>
                <w:spacing w:val="-12"/>
                <w:sz w:val="24"/>
              </w:rPr>
              <w:t>根据现场查验情况打分</w:t>
            </w:r>
          </w:p>
        </w:tc>
        <w:tc>
          <w:tcPr>
            <w:tcW w:w="957" w:type="pct"/>
            <w:vAlign w:val="center"/>
          </w:tcPr>
          <w:p>
            <w:pPr>
              <w:adjustRightInd w:val="0"/>
              <w:snapToGrid w:val="0"/>
              <w:rPr>
                <w:rFonts w:ascii="仿宋_GB2312" w:hAnsi="仿宋" w:eastAsia="仿宋_GB2312"/>
                <w:color w:val="000000"/>
                <w:spacing w:val="-14"/>
                <w:sz w:val="24"/>
              </w:rPr>
            </w:pPr>
            <w:r>
              <w:rPr>
                <w:rFonts w:hint="eastAsia" w:ascii="仿宋_GB2312" w:hAnsi="仿宋" w:eastAsia="仿宋_GB2312"/>
                <w:color w:val="000000"/>
                <w:spacing w:val="-14"/>
                <w:sz w:val="24"/>
              </w:rPr>
              <w:t>评估期间在各区前述相关地点走访观察。对创建活动宣传力度较差的，扣0.2分</w:t>
            </w: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5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⑤</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开展分众化、差异化食品安全科普宣传，有针对老年人、妇女、学生等特殊人群的科普教育宣传的，得0.5分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查看各区相关宣传台帐、记录等资料</w:t>
            </w:r>
          </w:p>
        </w:tc>
        <w:tc>
          <w:tcPr>
            <w:tcW w:w="95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面向辖区群众开展知晓率调查</w:t>
            </w: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6"/>
                <w:sz w:val="24"/>
              </w:rPr>
            </w:pPr>
            <w:r>
              <w:rPr>
                <w:rFonts w:ascii="仿宋_GB2312" w:hAnsi="仿宋" w:eastAsia="仿宋_GB2312"/>
                <w:color w:val="000000"/>
                <w:spacing w:val="-16"/>
                <w:sz w:val="24"/>
              </w:rPr>
              <w:fldChar w:fldCharType="begin"/>
            </w:r>
            <w:r>
              <w:rPr>
                <w:rFonts w:hint="eastAsia" w:ascii="仿宋_GB2312" w:hAnsi="仿宋" w:eastAsia="仿宋_GB2312"/>
                <w:color w:val="000000"/>
                <w:spacing w:val="-16"/>
                <w:sz w:val="24"/>
              </w:rPr>
              <w:instrText xml:space="preserve">= 6 \* GB3</w:instrText>
            </w:r>
            <w:r>
              <w:rPr>
                <w:rFonts w:ascii="仿宋_GB2312" w:hAnsi="仿宋" w:eastAsia="仿宋_GB2312"/>
                <w:color w:val="000000"/>
                <w:spacing w:val="-16"/>
                <w:sz w:val="24"/>
              </w:rPr>
              <w:fldChar w:fldCharType="separate"/>
            </w:r>
            <w:r>
              <w:rPr>
                <w:rFonts w:hint="eastAsia" w:ascii="仿宋_GB2312" w:hAnsi="仿宋" w:eastAsia="仿宋_GB2312"/>
                <w:color w:val="000000"/>
                <w:spacing w:val="-16"/>
                <w:sz w:val="24"/>
              </w:rPr>
              <w:t>⑥</w:t>
            </w:r>
            <w:r>
              <w:rPr>
                <w:rFonts w:ascii="仿宋_GB2312" w:hAnsi="仿宋" w:eastAsia="仿宋_GB2312"/>
                <w:color w:val="000000"/>
                <w:spacing w:val="-16"/>
                <w:sz w:val="24"/>
              </w:rPr>
              <w:fldChar w:fldCharType="end"/>
            </w:r>
            <w:r>
              <w:rPr>
                <w:rFonts w:hint="eastAsia" w:ascii="仿宋_GB2312" w:hAnsi="仿宋" w:eastAsia="仿宋_GB2312"/>
                <w:color w:val="000000"/>
                <w:spacing w:val="-16"/>
                <w:sz w:val="24"/>
              </w:rPr>
              <w:t>食品安全示范区创建及食品安全知识公众知晓率达到70%的，得1分。50%-70%的，得0.5分、50%以下的，不得分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r>
              <w:rPr>
                <w:rFonts w:ascii="仿宋_GB2312" w:hAnsi="仿宋" w:eastAsia="仿宋_GB2312"/>
                <w:color w:val="000000"/>
                <w:spacing w:val="-12"/>
                <w:sz w:val="24"/>
              </w:rPr>
              <w:t>根据现场查验情况打分</w:t>
            </w: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7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⑦</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按照全市统一部署，开展“全国食品安全宣传周”活动，区食药安委制定活动的方案、总结，并落实到位的，得0.5分，经合议酌情扣分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查看区食药安办印发的相关文件、活动资料、媒体报道记录</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546"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(五十一)社会监督【1.5】</w:t>
            </w:r>
          </w:p>
        </w:tc>
        <w:tc>
          <w:tcPr>
            <w:tcW w:w="1652" w:type="pct"/>
            <w:vAlign w:val="center"/>
          </w:tcPr>
          <w:p>
            <w:pPr>
              <w:adjustRightInd w:val="0"/>
              <w:snapToGrid w:val="0"/>
              <w:rPr>
                <w:rFonts w:ascii="仿宋_GB2312" w:hAnsi="仿宋" w:eastAsia="仿宋_GB2312"/>
                <w:color w:val="000000"/>
                <w:spacing w:val="-16"/>
                <w:sz w:val="24"/>
              </w:rPr>
            </w:pPr>
            <w:r>
              <w:rPr>
                <w:rFonts w:ascii="仿宋_GB2312" w:hAnsi="仿宋" w:eastAsia="仿宋_GB2312"/>
                <w:color w:val="000000"/>
                <w:spacing w:val="-16"/>
                <w:sz w:val="24"/>
              </w:rPr>
              <w:fldChar w:fldCharType="begin"/>
            </w:r>
            <w:r>
              <w:rPr>
                <w:rFonts w:hint="eastAsia" w:ascii="仿宋_GB2312" w:hAnsi="仿宋" w:eastAsia="仿宋_GB2312"/>
                <w:color w:val="000000"/>
                <w:spacing w:val="-16"/>
                <w:sz w:val="24"/>
              </w:rPr>
              <w:instrText xml:space="preserve">= 1 \* GB3</w:instrText>
            </w:r>
            <w:r>
              <w:rPr>
                <w:rFonts w:ascii="仿宋_GB2312" w:hAnsi="仿宋" w:eastAsia="仿宋_GB2312"/>
                <w:color w:val="000000"/>
                <w:spacing w:val="-16"/>
                <w:sz w:val="24"/>
              </w:rPr>
              <w:fldChar w:fldCharType="separate"/>
            </w:r>
            <w:r>
              <w:rPr>
                <w:rFonts w:hint="eastAsia" w:ascii="仿宋_GB2312" w:hAnsi="仿宋" w:eastAsia="仿宋_GB2312"/>
                <w:color w:val="000000"/>
                <w:spacing w:val="-16"/>
                <w:sz w:val="24"/>
              </w:rPr>
              <w:t>①</w:t>
            </w:r>
            <w:r>
              <w:rPr>
                <w:rFonts w:ascii="仿宋_GB2312" w:hAnsi="仿宋" w:eastAsia="仿宋_GB2312"/>
                <w:color w:val="000000"/>
                <w:spacing w:val="-16"/>
                <w:sz w:val="24"/>
              </w:rPr>
              <w:fldChar w:fldCharType="end"/>
            </w:r>
            <w:r>
              <w:rPr>
                <w:rFonts w:hint="eastAsia" w:ascii="仿宋_GB2312" w:hAnsi="仿宋" w:eastAsia="仿宋_GB2312"/>
                <w:color w:val="000000"/>
                <w:spacing w:val="-16"/>
                <w:sz w:val="24"/>
              </w:rPr>
              <w:t>辖区组织人大代表、政协委员、专家学者、新闻媒体参与食品安全监督一年2次以上的，得0.5分，少一次扣0.2分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查验相关食品安全监管工作的报告/简报</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食品行业协会较好引导和督促食品生产经营者依法生产经营，推动行业诚信建设，宣传、普及食品安全知识，得0.5分</w:t>
            </w:r>
          </w:p>
        </w:tc>
        <w:tc>
          <w:tcPr>
            <w:tcW w:w="908"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查看建立食品行业协会，以及相关活动的文件/简报</w:t>
            </w:r>
          </w:p>
        </w:tc>
        <w:tc>
          <w:tcPr>
            <w:tcW w:w="95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_GB2312" w:hAnsi="仿宋" w:eastAsia="仿宋_GB2312"/>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相关的食品行业协会就食品安全标准、食品安全事件风险隐患向监管部门提出建议累加不低于5条，得0.5分，每少一条扣0.1分</w:t>
            </w:r>
          </w:p>
        </w:tc>
        <w:tc>
          <w:tcPr>
            <w:tcW w:w="908" w:type="pct"/>
            <w:vMerge w:val="continue"/>
            <w:vAlign w:val="center"/>
          </w:tcPr>
          <w:p>
            <w:pPr>
              <w:adjustRightInd w:val="0"/>
              <w:snapToGrid w:val="0"/>
              <w:rPr>
                <w:rFonts w:ascii="仿宋_GB2312" w:hAnsi="仿宋" w:eastAsia="仿宋_GB2312"/>
                <w:color w:val="000000"/>
                <w:spacing w:val="-12"/>
                <w:sz w:val="24"/>
              </w:rPr>
            </w:pPr>
          </w:p>
        </w:tc>
        <w:tc>
          <w:tcPr>
            <w:tcW w:w="957" w:type="pct"/>
            <w:vMerge w:val="continue"/>
            <w:vAlign w:val="center"/>
          </w:tcPr>
          <w:p>
            <w:pPr>
              <w:adjustRightInd w:val="0"/>
              <w:snapToGrid w:val="0"/>
              <w:rPr>
                <w:rFonts w:ascii="仿宋_GB2312" w:hAnsi="仿宋" w:eastAsia="仿宋_GB2312"/>
                <w:color w:val="000000"/>
                <w:spacing w:val="-12"/>
                <w:sz w:val="24"/>
              </w:rPr>
            </w:pPr>
          </w:p>
        </w:tc>
        <w:tc>
          <w:tcPr>
            <w:tcW w:w="469" w:type="pct"/>
            <w:vMerge w:val="continue"/>
            <w:vAlign w:val="center"/>
          </w:tcPr>
          <w:p>
            <w:pPr>
              <w:adjustRightInd w:val="0"/>
              <w:snapToGrid w:val="0"/>
              <w:rPr>
                <w:rFonts w:ascii="仿宋_GB2312" w:hAnsi="仿宋" w:eastAsia="仿宋_GB2312"/>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(五十二)风险交流【1】</w:t>
            </w: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1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建立健全食品安全信息发布制度和新闻发布制度，得</w:t>
            </w:r>
            <w:r>
              <w:rPr>
                <w:rFonts w:ascii="仿宋_GB2312" w:hAnsi="仿宋" w:eastAsia="仿宋_GB2312"/>
                <w:color w:val="000000"/>
                <w:spacing w:val="-12"/>
                <w:sz w:val="24"/>
              </w:rPr>
              <w:t>0.</w:t>
            </w:r>
            <w:r>
              <w:rPr>
                <w:rFonts w:hint="eastAsia" w:ascii="仿宋_GB2312" w:hAnsi="仿宋" w:eastAsia="仿宋_GB2312"/>
                <w:color w:val="000000"/>
                <w:spacing w:val="-12"/>
                <w:sz w:val="24"/>
              </w:rPr>
              <w:t>2分</w:t>
            </w:r>
          </w:p>
        </w:tc>
        <w:tc>
          <w:tcPr>
            <w:tcW w:w="908" w:type="pct"/>
            <w:vAlign w:val="center"/>
          </w:tcPr>
          <w:p>
            <w:pPr>
              <w:adjustRightInd w:val="0"/>
              <w:snapToGrid w:val="0"/>
              <w:rPr>
                <w:rFonts w:ascii="仿宋_GB2312" w:hAnsi="仿宋" w:eastAsia="仿宋_GB2312"/>
                <w:color w:val="000000"/>
                <w:spacing w:val="-16"/>
                <w:sz w:val="24"/>
              </w:rPr>
            </w:pPr>
            <w:r>
              <w:rPr>
                <w:rFonts w:hint="eastAsia" w:ascii="仿宋_GB2312" w:hAnsi="仿宋" w:eastAsia="仿宋_GB2312"/>
                <w:color w:val="000000"/>
                <w:spacing w:val="-16"/>
                <w:sz w:val="24"/>
              </w:rPr>
              <w:t>查验食品安全信息发布制度和落实情相关文件/制度</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467" w:type="pct"/>
            <w:vMerge w:val="restar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 w:hAnsi="仿宋" w:eastAsia="仿宋"/>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2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ascii="仿宋_GB2312" w:hAnsi="仿宋" w:eastAsia="仿宋_GB2312"/>
                <w:color w:val="000000"/>
                <w:spacing w:val="-12"/>
                <w:sz w:val="24"/>
              </w:rPr>
              <w:fldChar w:fldCharType="end"/>
            </w:r>
            <w:r>
              <w:rPr>
                <w:rFonts w:hint="eastAsia" w:ascii="仿宋_GB2312" w:hAnsi="仿宋" w:eastAsia="仿宋_GB2312"/>
                <w:color w:val="000000"/>
                <w:spacing w:val="-12"/>
                <w:sz w:val="24"/>
              </w:rPr>
              <w:t>定期召开新闻发布会、新闻通气会、记者招待会，发布食品安全有关信息，一年</w:t>
            </w:r>
            <w:r>
              <w:rPr>
                <w:rFonts w:ascii="仿宋_GB2312" w:hAnsi="仿宋" w:eastAsia="仿宋_GB2312"/>
                <w:color w:val="000000"/>
                <w:spacing w:val="-12"/>
                <w:sz w:val="24"/>
              </w:rPr>
              <w:t>4</w:t>
            </w:r>
            <w:r>
              <w:rPr>
                <w:rFonts w:hint="eastAsia" w:ascii="仿宋_GB2312" w:hAnsi="仿宋" w:eastAsia="仿宋_GB2312"/>
                <w:color w:val="000000"/>
                <w:spacing w:val="-12"/>
                <w:sz w:val="24"/>
              </w:rPr>
              <w:t>次以上的，得0.4分；每少</w:t>
            </w:r>
            <w:r>
              <w:rPr>
                <w:rFonts w:ascii="仿宋_GB2312" w:hAnsi="仿宋" w:eastAsia="仿宋_GB2312"/>
                <w:color w:val="000000"/>
                <w:spacing w:val="-12"/>
                <w:sz w:val="24"/>
              </w:rPr>
              <w:t>1</w:t>
            </w:r>
            <w:r>
              <w:rPr>
                <w:rFonts w:hint="eastAsia" w:ascii="仿宋_GB2312" w:hAnsi="仿宋" w:eastAsia="仿宋_GB2312"/>
                <w:color w:val="000000"/>
                <w:spacing w:val="-12"/>
                <w:sz w:val="24"/>
              </w:rPr>
              <w:t>次扣</w:t>
            </w:r>
            <w:r>
              <w:rPr>
                <w:rFonts w:ascii="仿宋_GB2312" w:hAnsi="仿宋" w:eastAsia="仿宋_GB2312"/>
                <w:color w:val="000000"/>
                <w:spacing w:val="-12"/>
                <w:sz w:val="24"/>
              </w:rPr>
              <w:t>0.</w:t>
            </w:r>
            <w:r>
              <w:rPr>
                <w:rFonts w:hint="eastAsia" w:ascii="仿宋_GB2312" w:hAnsi="仿宋" w:eastAsia="仿宋_GB2312"/>
                <w:color w:val="000000"/>
                <w:spacing w:val="-12"/>
                <w:sz w:val="24"/>
              </w:rPr>
              <w:t>1分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查看区政府或部门政务网食品安全消费警示发布情况相关的报道记录</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continue"/>
            <w:vAlign w:val="center"/>
          </w:tcPr>
          <w:p>
            <w:pPr>
              <w:adjustRightInd w:val="0"/>
              <w:snapToGrid w:val="0"/>
              <w:rPr>
                <w:rFonts w:eastAsia="仿宋"/>
                <w:color w:val="000000"/>
                <w:spacing w:val="-12"/>
                <w:sz w:val="24"/>
              </w:rPr>
            </w:pPr>
          </w:p>
        </w:tc>
        <w:tc>
          <w:tcPr>
            <w:tcW w:w="467" w:type="pct"/>
            <w:vMerge w:val="continue"/>
            <w:vAlign w:val="center"/>
          </w:tcPr>
          <w:p>
            <w:pPr>
              <w:adjustRightInd w:val="0"/>
              <w:snapToGrid w:val="0"/>
              <w:rPr>
                <w:rFonts w:ascii="仿宋_GB2312" w:hAnsi="仿宋" w:eastAsia="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46" w:type="pct"/>
            <w:vMerge w:val="continue"/>
            <w:vAlign w:val="center"/>
          </w:tcPr>
          <w:p>
            <w:pPr>
              <w:adjustRightInd w:val="0"/>
              <w:snapToGrid w:val="0"/>
              <w:rPr>
                <w:rFonts w:ascii="仿宋" w:hAnsi="仿宋" w:eastAsia="仿宋"/>
                <w:color w:val="000000"/>
                <w:spacing w:val="-12"/>
                <w:sz w:val="24"/>
              </w:rPr>
            </w:pPr>
          </w:p>
        </w:tc>
        <w:tc>
          <w:tcPr>
            <w:tcW w:w="1652" w:type="pct"/>
            <w:vAlign w:val="center"/>
          </w:tcPr>
          <w:p>
            <w:pPr>
              <w:adjustRightInd w:val="0"/>
              <w:snapToGrid w:val="0"/>
              <w:rPr>
                <w:rFonts w:ascii="仿宋_GB2312" w:hAnsi="仿宋" w:eastAsia="仿宋_GB2312"/>
                <w:color w:val="000000"/>
                <w:spacing w:val="-12"/>
                <w:sz w:val="24"/>
              </w:rPr>
            </w:pPr>
            <w:r>
              <w:rPr>
                <w:rFonts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3 \* GB3</w:instrText>
            </w:r>
            <w:r>
              <w:rPr>
                <w:rFonts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ascii="仿宋_GB2312" w:hAnsi="仿宋" w:eastAsia="仿宋_GB2312"/>
                <w:color w:val="000000"/>
                <w:spacing w:val="-12"/>
                <w:sz w:val="24"/>
              </w:rPr>
              <w:fldChar w:fldCharType="end"/>
            </w:r>
            <w:r>
              <w:rPr>
                <w:rFonts w:hint="eastAsia" w:ascii="仿宋_GB2312" w:hAnsi="仿宋" w:eastAsia="仿宋_GB2312"/>
                <w:color w:val="000000"/>
                <w:spacing w:val="-16"/>
                <w:sz w:val="24"/>
              </w:rPr>
              <w:t>每季度召开监管部门、行业协会、企业、专家等参加的食品安全风险交流会商会议的，得0.4分，每少一次扣</w:t>
            </w:r>
            <w:r>
              <w:rPr>
                <w:rFonts w:ascii="仿宋_GB2312" w:hAnsi="仿宋" w:eastAsia="仿宋_GB2312"/>
                <w:color w:val="000000"/>
                <w:spacing w:val="-16"/>
                <w:sz w:val="24"/>
              </w:rPr>
              <w:t>0.</w:t>
            </w:r>
            <w:r>
              <w:rPr>
                <w:rFonts w:hint="eastAsia" w:ascii="仿宋_GB2312" w:hAnsi="仿宋" w:eastAsia="仿宋_GB2312"/>
                <w:color w:val="000000"/>
                <w:spacing w:val="-16"/>
                <w:sz w:val="24"/>
              </w:rPr>
              <w:t>1分</w:t>
            </w:r>
          </w:p>
        </w:tc>
        <w:tc>
          <w:tcPr>
            <w:tcW w:w="9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查验关于食品安全风险会商会议的会议记录</w:t>
            </w:r>
          </w:p>
        </w:tc>
        <w:tc>
          <w:tcPr>
            <w:tcW w:w="957"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无</w:t>
            </w:r>
          </w:p>
        </w:tc>
        <w:tc>
          <w:tcPr>
            <w:tcW w:w="469" w:type="pct"/>
            <w:vMerge w:val="continue"/>
            <w:vAlign w:val="center"/>
          </w:tcPr>
          <w:p>
            <w:pPr>
              <w:adjustRightInd w:val="0"/>
              <w:snapToGrid w:val="0"/>
              <w:rPr>
                <w:rFonts w:eastAsia="仿宋"/>
                <w:color w:val="000000"/>
                <w:spacing w:val="-12"/>
                <w:sz w:val="24"/>
              </w:rPr>
            </w:pPr>
          </w:p>
        </w:tc>
        <w:tc>
          <w:tcPr>
            <w:tcW w:w="467" w:type="pct"/>
            <w:vMerge w:val="continue"/>
            <w:vAlign w:val="center"/>
          </w:tcPr>
          <w:p>
            <w:pPr>
              <w:adjustRightInd w:val="0"/>
              <w:snapToGrid w:val="0"/>
              <w:rPr>
                <w:rFonts w:eastAsia="仿宋"/>
                <w:color w:val="000000"/>
                <w:spacing w:val="-12"/>
                <w:sz w:val="24"/>
              </w:rPr>
            </w:pPr>
          </w:p>
        </w:tc>
      </w:tr>
    </w:tbl>
    <w:p>
      <w:pPr>
        <w:widowControl/>
        <w:shd w:val="clear" w:color="auto" w:fill="FFFFFF"/>
        <w:adjustRightInd w:val="0"/>
        <w:snapToGrid w:val="0"/>
        <w:spacing w:line="578" w:lineRule="exact"/>
        <w:ind w:firstLine="592" w:firstLineChars="200"/>
        <w:jc w:val="left"/>
        <w:outlineLvl w:val="0"/>
        <w:rPr>
          <w:rFonts w:ascii="黑体" w:hAnsi="黑体" w:eastAsia="黑体" w:cs="仿宋"/>
          <w:color w:val="000000"/>
          <w:spacing w:val="-12"/>
          <w:kern w:val="0"/>
          <w:sz w:val="32"/>
          <w:szCs w:val="32"/>
        </w:rPr>
      </w:pPr>
      <w:r>
        <w:rPr>
          <w:rFonts w:hint="eastAsia" w:ascii="黑体" w:hAnsi="黑体" w:eastAsia="黑体" w:cs="仿宋"/>
          <w:color w:val="000000"/>
          <w:spacing w:val="-12"/>
          <w:kern w:val="0"/>
          <w:sz w:val="32"/>
          <w:szCs w:val="32"/>
        </w:rPr>
        <w:t>八、加分项、否决项</w:t>
      </w:r>
    </w:p>
    <w:tbl>
      <w:tblPr>
        <w:tblStyle w:val="18"/>
        <w:tblW w:w="5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06"/>
        <w:gridCol w:w="1417"/>
        <w:gridCol w:w="4821"/>
        <w:gridCol w:w="2976"/>
        <w:gridCol w:w="155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blHeader/>
          <w:jc w:val="center"/>
        </w:trPr>
        <w:tc>
          <w:tcPr>
            <w:tcW w:w="50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考核指标</w:t>
            </w:r>
          </w:p>
        </w:tc>
        <w:tc>
          <w:tcPr>
            <w:tcW w:w="2249"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考评标准</w:t>
            </w:r>
          </w:p>
        </w:tc>
        <w:tc>
          <w:tcPr>
            <w:tcW w:w="1073"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评估方法</w:t>
            </w:r>
          </w:p>
        </w:tc>
        <w:tc>
          <w:tcPr>
            <w:tcW w:w="562"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评分部门</w:t>
            </w:r>
          </w:p>
        </w:tc>
        <w:tc>
          <w:tcPr>
            <w:tcW w:w="608"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黑体" w:hAnsi="黑体" w:eastAsia="黑体"/>
                <w:bCs/>
                <w:color w:val="000000"/>
                <w:spacing w:val="-12"/>
                <w:kern w:val="0"/>
                <w:sz w:val="24"/>
              </w:rPr>
            </w:pPr>
            <w:r>
              <w:rPr>
                <w:rFonts w:hint="eastAsia" w:ascii="黑体" w:hAnsi="黑体" w:eastAsia="黑体"/>
                <w:bCs/>
                <w:color w:val="000000"/>
                <w:spacing w:val="-12"/>
                <w:kern w:val="0"/>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507" w:type="pct"/>
            <w:vMerge w:val="restar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(五十三)加分项【6】</w:t>
            </w:r>
          </w:p>
        </w:tc>
        <w:tc>
          <w:tcPr>
            <w:tcW w:w="511"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1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食品安全责任保险</w:t>
            </w:r>
          </w:p>
        </w:tc>
        <w:tc>
          <w:tcPr>
            <w:tcW w:w="1738"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开展食品安全保险试点，优化承保理赔流程，规范及时履行赔付责任，经过专家论证后具有实效、可推广和示范性的，得2分</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现场查看提供保险制度、方法、工具等相关资料、现场核查相关凭证</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6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 w:hRule="atLeast"/>
          <w:jc w:val="center"/>
        </w:trPr>
        <w:tc>
          <w:tcPr>
            <w:tcW w:w="507" w:type="pct"/>
            <w:vMerge w:val="continue"/>
            <w:vAlign w:val="center"/>
          </w:tcPr>
          <w:p>
            <w:pPr>
              <w:snapToGrid w:val="0"/>
              <w:rPr>
                <w:rFonts w:ascii="仿宋_GB2312" w:hAnsi="仿宋" w:eastAsia="仿宋_GB2312"/>
                <w:color w:val="000000"/>
                <w:spacing w:val="-12"/>
                <w:sz w:val="24"/>
              </w:rPr>
            </w:pPr>
          </w:p>
        </w:tc>
        <w:tc>
          <w:tcPr>
            <w:tcW w:w="511"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2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产品标准</w:t>
            </w:r>
          </w:p>
        </w:tc>
        <w:tc>
          <w:tcPr>
            <w:tcW w:w="1738"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企业在严格执行食品安全国家标准基础上，制定实施严于食品安全国家标准或地方标准，得2分</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现场查看辖区企业生产标准</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市卫计委</w:t>
            </w:r>
          </w:p>
        </w:tc>
        <w:tc>
          <w:tcPr>
            <w:tcW w:w="608"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507" w:type="pct"/>
            <w:vMerge w:val="continue"/>
            <w:vAlign w:val="center"/>
          </w:tcPr>
          <w:p>
            <w:pPr>
              <w:snapToGrid w:val="0"/>
              <w:rPr>
                <w:rFonts w:ascii="仿宋_GB2312" w:hAnsi="仿宋" w:eastAsia="仿宋_GB2312"/>
                <w:color w:val="000000"/>
                <w:spacing w:val="-12"/>
                <w:sz w:val="24"/>
              </w:rPr>
            </w:pPr>
          </w:p>
        </w:tc>
        <w:tc>
          <w:tcPr>
            <w:tcW w:w="511"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3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③</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追偿机制</w:t>
            </w:r>
          </w:p>
        </w:tc>
        <w:tc>
          <w:tcPr>
            <w:tcW w:w="1738"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对因食品安全问题造成消费者人身、财产或其他损害的食品安全案件，建立由消费者协会等组织通过公益诉讼渠道向企业追偿的工作机制，得2分</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现场查看辖区建立由消费者协会等组织通过公益诉讼渠道向企业追偿的相关工作机制文件</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市工商局</w:t>
            </w:r>
          </w:p>
        </w:tc>
        <w:tc>
          <w:tcPr>
            <w:tcW w:w="608"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工商分局</w:t>
            </w:r>
          </w:p>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区消协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jc w:val="center"/>
        </w:trPr>
        <w:tc>
          <w:tcPr>
            <w:tcW w:w="507" w:type="pct"/>
            <w:vMerge w:val="restar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(五十四)否决项</w:t>
            </w:r>
          </w:p>
        </w:tc>
        <w:tc>
          <w:tcPr>
            <w:tcW w:w="2249" w:type="pct"/>
            <w:gridSpan w:val="2"/>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1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①</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近三年发生重大食品安全事故或影响恶劣的食品安全事件</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市级有关部门统计情况、舆情监控情况</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6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 w:hRule="atLeast"/>
          <w:jc w:val="center"/>
        </w:trPr>
        <w:tc>
          <w:tcPr>
            <w:tcW w:w="507" w:type="pct"/>
            <w:vMerge w:val="continue"/>
            <w:vAlign w:val="center"/>
          </w:tcPr>
          <w:p>
            <w:pPr>
              <w:snapToGrid w:val="0"/>
              <w:rPr>
                <w:rFonts w:ascii="仿宋_GB2312" w:hAnsi="仿宋" w:eastAsia="仿宋_GB2312"/>
                <w:color w:val="000000"/>
                <w:spacing w:val="-12"/>
                <w:sz w:val="24"/>
              </w:rPr>
            </w:pPr>
          </w:p>
        </w:tc>
        <w:tc>
          <w:tcPr>
            <w:tcW w:w="2249" w:type="pct"/>
            <w:gridSpan w:val="2"/>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fldChar w:fldCharType="begin"/>
            </w:r>
            <w:r>
              <w:rPr>
                <w:rFonts w:hint="eastAsia" w:ascii="仿宋_GB2312" w:hAnsi="仿宋" w:eastAsia="仿宋_GB2312"/>
                <w:color w:val="000000"/>
                <w:spacing w:val="-12"/>
                <w:sz w:val="24"/>
              </w:rPr>
              <w:instrText xml:space="preserve"> = 2 \* GB3 </w:instrText>
            </w:r>
            <w:r>
              <w:rPr>
                <w:rFonts w:hint="eastAsia" w:ascii="仿宋_GB2312" w:hAnsi="仿宋" w:eastAsia="仿宋_GB2312"/>
                <w:color w:val="000000"/>
                <w:spacing w:val="-12"/>
                <w:sz w:val="24"/>
              </w:rPr>
              <w:fldChar w:fldCharType="separate"/>
            </w:r>
            <w:r>
              <w:rPr>
                <w:rFonts w:hint="eastAsia" w:ascii="仿宋_GB2312" w:hAnsi="仿宋" w:eastAsia="仿宋_GB2312"/>
                <w:color w:val="000000"/>
                <w:spacing w:val="-12"/>
                <w:sz w:val="24"/>
              </w:rPr>
              <w:t>②</w:t>
            </w:r>
            <w:r>
              <w:rPr>
                <w:rFonts w:hint="eastAsia" w:ascii="仿宋_GB2312" w:hAnsi="仿宋" w:eastAsia="仿宋_GB2312"/>
                <w:color w:val="000000"/>
                <w:spacing w:val="-12"/>
                <w:sz w:val="24"/>
              </w:rPr>
              <w:fldChar w:fldCharType="end"/>
            </w:r>
            <w:r>
              <w:rPr>
                <w:rFonts w:hint="eastAsia" w:ascii="仿宋_GB2312" w:hAnsi="仿宋" w:eastAsia="仿宋_GB2312"/>
                <w:color w:val="000000"/>
                <w:spacing w:val="-12"/>
                <w:sz w:val="24"/>
              </w:rPr>
              <w:t>重点食品安全市级监测抽检合格率及本市生产的果品、蜂产品质量安全监测抽检合格率低于98%；本市生产的蔬菜、畜禽产品、水产品抽检合格率低于98.5%，任一项不达标即否决</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依据食品安全抽检统计数据</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市农业局</w:t>
            </w:r>
          </w:p>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市园林绿化局</w:t>
            </w:r>
          </w:p>
        </w:tc>
        <w:tc>
          <w:tcPr>
            <w:tcW w:w="6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507" w:type="pct"/>
            <w:vMerge w:val="continue"/>
            <w:vAlign w:val="center"/>
          </w:tcPr>
          <w:p>
            <w:pPr>
              <w:snapToGrid w:val="0"/>
              <w:rPr>
                <w:rFonts w:ascii="仿宋_GB2312" w:hAnsi="仿宋" w:eastAsia="仿宋_GB2312"/>
                <w:color w:val="000000"/>
                <w:spacing w:val="-12"/>
                <w:sz w:val="24"/>
              </w:rPr>
            </w:pPr>
          </w:p>
        </w:tc>
        <w:tc>
          <w:tcPr>
            <w:tcW w:w="2249" w:type="pct"/>
            <w:gridSpan w:val="2"/>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③辖区群众食品安全总体满意度70%以下</w:t>
            </w:r>
          </w:p>
        </w:tc>
        <w:tc>
          <w:tcPr>
            <w:tcW w:w="1073"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依据第三方调查结果</w:t>
            </w:r>
          </w:p>
        </w:tc>
        <w:tc>
          <w:tcPr>
            <w:tcW w:w="562" w:type="pct"/>
            <w:vAlign w:val="center"/>
          </w:tcPr>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市食药安委办</w:t>
            </w:r>
          </w:p>
        </w:tc>
        <w:tc>
          <w:tcPr>
            <w:tcW w:w="608" w:type="pct"/>
            <w:vAlign w:val="center"/>
          </w:tcPr>
          <w:p>
            <w:pPr>
              <w:adjustRightInd w:val="0"/>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区食药安委办</w:t>
            </w:r>
          </w:p>
          <w:p>
            <w:pPr>
              <w:snapToGrid w:val="0"/>
              <w:rPr>
                <w:rFonts w:ascii="仿宋_GB2312" w:hAnsi="仿宋" w:eastAsia="仿宋_GB2312"/>
                <w:color w:val="000000"/>
                <w:spacing w:val="-12"/>
                <w:sz w:val="24"/>
              </w:rPr>
            </w:pPr>
            <w:r>
              <w:rPr>
                <w:rFonts w:hint="eastAsia" w:ascii="仿宋_GB2312" w:hAnsi="仿宋" w:eastAsia="仿宋_GB2312"/>
                <w:color w:val="000000"/>
                <w:spacing w:val="-12"/>
                <w:sz w:val="24"/>
              </w:rPr>
              <w:t>各街道食药安委</w:t>
            </w:r>
          </w:p>
        </w:tc>
      </w:tr>
    </w:tbl>
    <w:p>
      <w:pPr>
        <w:spacing w:line="590" w:lineRule="exact"/>
        <w:rPr>
          <w:rFonts w:eastAsia="方正小标宋简体"/>
          <w:sz w:val="44"/>
          <w:szCs w:val="44"/>
        </w:rPr>
        <w:sectPr>
          <w:headerReference r:id="rId5" w:type="default"/>
          <w:footerReference r:id="rId6" w:type="default"/>
          <w:footerReference r:id="rId7" w:type="even"/>
          <w:pgSz w:w="16838" w:h="11906" w:orient="landscape"/>
          <w:pgMar w:top="1588" w:right="1928" w:bottom="1474" w:left="1871" w:header="851" w:footer="1474" w:gutter="0"/>
          <w:cols w:space="425" w:num="1"/>
          <w:docGrid w:type="linesAndChars" w:linePitch="312" w:charSpace="0"/>
        </w:sect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4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spacing w:line="590" w:lineRule="exact"/>
        <w:ind w:firstLine="624" w:firstLineChars="200"/>
        <w:rPr>
          <w:rFonts w:eastAsia="仿宋_GB2312"/>
          <w:spacing w:val="-4"/>
          <w:sz w:val="32"/>
          <w:szCs w:val="32"/>
        </w:rPr>
      </w:pPr>
    </w:p>
    <w:p>
      <w:pPr>
        <w:pBdr>
          <w:bottom w:val="single" w:color="auto" w:sz="4" w:space="1"/>
        </w:pBdr>
        <w:spacing w:line="590" w:lineRule="exact"/>
        <w:ind w:firstLine="624" w:firstLineChars="200"/>
        <w:rPr>
          <w:rFonts w:eastAsia="仿宋_GB2312"/>
          <w:spacing w:val="-4"/>
          <w:sz w:val="32"/>
          <w:szCs w:val="32"/>
        </w:rPr>
      </w:pPr>
    </w:p>
    <w:p>
      <w:pPr>
        <w:pStyle w:val="6"/>
        <w:spacing w:line="590" w:lineRule="exact"/>
        <w:ind w:left="1069" w:right="341" w:hanging="1068" w:hangingChars="393"/>
        <w:rPr>
          <w:spacing w:val="-4"/>
          <w:szCs w:val="28"/>
        </w:rPr>
      </w:pPr>
      <w:r>
        <w:rPr>
          <w:spacing w:val="-4"/>
          <w:szCs w:val="28"/>
        </w:rPr>
        <w:t xml:space="preserve">  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pPr>
        <w:pBdr>
          <w:top w:val="single" w:color="auto" w:sz="4" w:space="1"/>
          <w:bottom w:val="single" w:color="auto" w:sz="4" w:space="1"/>
        </w:pBdr>
        <w:spacing w:line="590" w:lineRule="exact"/>
        <w:ind w:firstLine="272" w:firstLineChars="100"/>
        <w:rPr>
          <w:spacing w:val="-4"/>
          <w:sz w:val="28"/>
          <w:szCs w:val="28"/>
        </w:rPr>
      </w:pPr>
      <w:r>
        <w:rPr>
          <w:rFonts w:eastAsia="仿宋_GB2312"/>
          <w:spacing w:val="-4"/>
          <w:sz w:val="28"/>
          <w:szCs w:val="28"/>
        </w:rPr>
        <w:t>北京市东城区人民政府办公室  　</w:t>
      </w:r>
      <w:r>
        <w:rPr>
          <w:rFonts w:hint="eastAsia" w:eastAsia="仿宋_GB2312"/>
          <w:spacing w:val="-4"/>
          <w:sz w:val="28"/>
          <w:szCs w:val="28"/>
        </w:rPr>
        <w:t xml:space="preserve">       </w:t>
      </w:r>
      <w:r>
        <w:rPr>
          <w:rFonts w:eastAsia="仿宋_GB2312"/>
          <w:spacing w:val="-4"/>
          <w:sz w:val="28"/>
          <w:szCs w:val="28"/>
        </w:rPr>
        <w:t>　  20</w:t>
      </w:r>
      <w:r>
        <w:rPr>
          <w:rFonts w:hint="eastAsia" w:eastAsia="仿宋_GB2312"/>
          <w:spacing w:val="-4"/>
          <w:sz w:val="28"/>
          <w:szCs w:val="28"/>
        </w:rPr>
        <w:t>17</w:t>
      </w:r>
      <w:r>
        <w:rPr>
          <w:rFonts w:eastAsia="仿宋_GB2312"/>
          <w:spacing w:val="-4"/>
          <w:sz w:val="28"/>
          <w:szCs w:val="28"/>
        </w:rPr>
        <w:t>年</w:t>
      </w:r>
      <w:r>
        <w:rPr>
          <w:rFonts w:hint="eastAsia" w:eastAsia="仿宋_GB2312"/>
          <w:spacing w:val="-4"/>
          <w:sz w:val="28"/>
          <w:szCs w:val="28"/>
        </w:rPr>
        <w:t>6</w:t>
      </w:r>
      <w:r>
        <w:rPr>
          <w:rFonts w:eastAsia="仿宋_GB2312"/>
          <w:spacing w:val="-4"/>
          <w:sz w:val="28"/>
          <w:szCs w:val="28"/>
        </w:rPr>
        <w:t>月</w:t>
      </w:r>
      <w:r>
        <w:rPr>
          <w:rFonts w:hint="eastAsia" w:eastAsia="仿宋_GB2312"/>
          <w:spacing w:val="-4"/>
          <w:sz w:val="28"/>
          <w:szCs w:val="28"/>
        </w:rPr>
        <w:t>15</w:t>
      </w:r>
      <w:r>
        <w:rPr>
          <w:rFonts w:eastAsia="仿宋_GB2312"/>
          <w:spacing w:val="-4"/>
          <w:sz w:val="28"/>
          <w:szCs w:val="28"/>
        </w:rPr>
        <w:t>日印发</w:t>
      </w:r>
    </w:p>
    <w:sectPr>
      <w:pgSz w:w="11906" w:h="16838"/>
      <w:pgMar w:top="1928" w:right="1474" w:bottom="1871" w:left="1588"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w Cen MT">
    <w:altName w:val="Segoe Print"/>
    <w:panose1 w:val="020B0602020104020603"/>
    <w:charset w:val="00"/>
    <w:family w:val="swiss"/>
    <w:pitch w:val="default"/>
    <w:sig w:usb0="00000000" w:usb1="00000000" w:usb2="00000000" w:usb3="00000000" w:csb0="00000003"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2"/>
        <w:rFonts w:ascii="宋体"/>
        <w:sz w:val="28"/>
      </w:rPr>
    </w:pPr>
    <w:r>
      <w:rPr>
        <w:rStyle w:val="22"/>
        <w:rFonts w:hint="eastAsia" w:ascii="宋体"/>
        <w:color w:val="FFFFFF"/>
        <w:kern w:val="0"/>
        <w:sz w:val="28"/>
        <w:szCs w:val="28"/>
      </w:rPr>
      <w:t>—</w:t>
    </w:r>
    <w:r>
      <w:rPr>
        <w:rStyle w:val="22"/>
        <w:rFonts w:hint="eastAsia" w:ascii="宋体"/>
        <w:kern w:val="0"/>
        <w:sz w:val="28"/>
      </w:rPr>
      <w:t>—</w:t>
    </w:r>
    <w:r>
      <w:rPr>
        <w:rStyle w:val="22"/>
        <w:rFonts w:ascii="宋体"/>
        <w:kern w:val="0"/>
        <w:sz w:val="28"/>
      </w:rPr>
      <w:t xml:space="preserve"> </w:t>
    </w:r>
    <w:r>
      <w:rPr>
        <w:rStyle w:val="22"/>
        <w:rFonts w:ascii="宋体"/>
        <w:kern w:val="0"/>
        <w:sz w:val="28"/>
      </w:rPr>
      <w:fldChar w:fldCharType="begin"/>
    </w:r>
    <w:r>
      <w:rPr>
        <w:rStyle w:val="22"/>
        <w:rFonts w:ascii="宋体"/>
        <w:kern w:val="0"/>
        <w:sz w:val="28"/>
      </w:rPr>
      <w:instrText xml:space="preserve"> PAGE </w:instrText>
    </w:r>
    <w:r>
      <w:rPr>
        <w:rStyle w:val="22"/>
        <w:rFonts w:ascii="宋体"/>
        <w:kern w:val="0"/>
        <w:sz w:val="28"/>
      </w:rPr>
      <w:fldChar w:fldCharType="separate"/>
    </w:r>
    <w:r>
      <w:rPr>
        <w:rStyle w:val="22"/>
        <w:rFonts w:ascii="宋体"/>
        <w:kern w:val="0"/>
        <w:sz w:val="28"/>
      </w:rPr>
      <w:t>1</w:t>
    </w:r>
    <w:r>
      <w:rPr>
        <w:rStyle w:val="22"/>
        <w:rFonts w:ascii="宋体"/>
        <w:kern w:val="0"/>
        <w:sz w:val="28"/>
      </w:rPr>
      <w:fldChar w:fldCharType="end"/>
    </w:r>
    <w:r>
      <w:rPr>
        <w:rStyle w:val="22"/>
        <w:rFonts w:ascii="宋体"/>
        <w:kern w:val="0"/>
        <w:sz w:val="28"/>
      </w:rPr>
      <w:t xml:space="preserve"> </w:t>
    </w:r>
    <w:r>
      <w:rPr>
        <w:rStyle w:val="22"/>
        <w:rFonts w:hint="eastAsia" w:ascii="宋体"/>
        <w:kern w:val="0"/>
        <w:sz w:val="28"/>
      </w:rPr>
      <w:t>—</w:t>
    </w:r>
    <w:r>
      <w:rPr>
        <w:rStyle w:val="22"/>
        <w:rFonts w:hint="eastAsia" w:ascii="宋体"/>
        <w:color w:val="FFFFFF"/>
        <w:kern w:val="0"/>
        <w:sz w:val="28"/>
        <w:szCs w:val="28"/>
      </w:rPr>
      <w:t>—</w: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2"/>
        <w:rFonts w:ascii="宋体"/>
        <w:sz w:val="28"/>
      </w:rPr>
    </w:pPr>
    <w:r>
      <w:rPr>
        <w:rStyle w:val="22"/>
        <w:rFonts w:hint="eastAsia" w:ascii="宋体"/>
        <w:color w:val="FFFFFF"/>
        <w:kern w:val="0"/>
        <w:sz w:val="28"/>
        <w:szCs w:val="28"/>
      </w:rPr>
      <w:t>—</w:t>
    </w:r>
    <w:r>
      <w:rPr>
        <w:rStyle w:val="22"/>
        <w:rFonts w:hint="eastAsia" w:ascii="宋体"/>
        <w:kern w:val="0"/>
        <w:sz w:val="28"/>
      </w:rPr>
      <w:t>—</w:t>
    </w:r>
    <w:r>
      <w:rPr>
        <w:rStyle w:val="22"/>
        <w:rFonts w:ascii="宋体"/>
        <w:kern w:val="0"/>
        <w:sz w:val="28"/>
      </w:rPr>
      <w:t xml:space="preserve"> </w:t>
    </w:r>
    <w:r>
      <w:rPr>
        <w:rStyle w:val="22"/>
        <w:rFonts w:ascii="宋体"/>
        <w:kern w:val="0"/>
        <w:sz w:val="28"/>
      </w:rPr>
      <w:fldChar w:fldCharType="begin"/>
    </w:r>
    <w:r>
      <w:rPr>
        <w:rStyle w:val="22"/>
        <w:rFonts w:ascii="宋体"/>
        <w:kern w:val="0"/>
        <w:sz w:val="28"/>
      </w:rPr>
      <w:instrText xml:space="preserve"> PAGE </w:instrText>
    </w:r>
    <w:r>
      <w:rPr>
        <w:rStyle w:val="22"/>
        <w:rFonts w:ascii="宋体"/>
        <w:kern w:val="0"/>
        <w:sz w:val="28"/>
      </w:rPr>
      <w:fldChar w:fldCharType="separate"/>
    </w:r>
    <w:r>
      <w:rPr>
        <w:rStyle w:val="22"/>
        <w:rFonts w:ascii="宋体"/>
        <w:kern w:val="0"/>
        <w:sz w:val="28"/>
      </w:rPr>
      <w:t>38</w:t>
    </w:r>
    <w:r>
      <w:rPr>
        <w:rStyle w:val="22"/>
        <w:rFonts w:ascii="宋体"/>
        <w:kern w:val="0"/>
        <w:sz w:val="28"/>
      </w:rPr>
      <w:fldChar w:fldCharType="end"/>
    </w:r>
    <w:r>
      <w:rPr>
        <w:rStyle w:val="22"/>
        <w:rFonts w:ascii="宋体"/>
        <w:kern w:val="0"/>
        <w:sz w:val="28"/>
      </w:rPr>
      <w:t xml:space="preserve"> </w:t>
    </w:r>
    <w:r>
      <w:rPr>
        <w:rStyle w:val="22"/>
        <w:rFonts w:hint="eastAsia" w:ascii="宋体"/>
        <w:kern w:val="0"/>
        <w:sz w:val="28"/>
      </w:rPr>
      <w:t>—</w:t>
    </w:r>
    <w:r>
      <w:rPr>
        <w:rStyle w:val="22"/>
        <w:rFonts w:hint="eastAsia" w:ascii="宋体"/>
        <w:color w:val="FFFFFF"/>
        <w:kern w:val="0"/>
        <w:sz w:val="28"/>
        <w:szCs w:val="28"/>
      </w:rPr>
      <w:t>—</w:t>
    </w: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EzOWM2ODlkOGIxNDU4YWZhMGU0OGY1MmM0MDZiYjIifQ=="/>
  </w:docVars>
  <w:rsids>
    <w:rsidRoot w:val="00934F6B"/>
    <w:rsid w:val="00034B32"/>
    <w:rsid w:val="00045B01"/>
    <w:rsid w:val="000575DB"/>
    <w:rsid w:val="0007356F"/>
    <w:rsid w:val="00080EBC"/>
    <w:rsid w:val="00085F3E"/>
    <w:rsid w:val="000A42EB"/>
    <w:rsid w:val="000D0550"/>
    <w:rsid w:val="000D1893"/>
    <w:rsid w:val="00100EA2"/>
    <w:rsid w:val="00120211"/>
    <w:rsid w:val="00133F54"/>
    <w:rsid w:val="00135C14"/>
    <w:rsid w:val="0013625F"/>
    <w:rsid w:val="0013692C"/>
    <w:rsid w:val="0015005E"/>
    <w:rsid w:val="001669C2"/>
    <w:rsid w:val="00180A14"/>
    <w:rsid w:val="00187EE8"/>
    <w:rsid w:val="001A3B83"/>
    <w:rsid w:val="001C26BD"/>
    <w:rsid w:val="001C33EB"/>
    <w:rsid w:val="001C588B"/>
    <w:rsid w:val="001F628E"/>
    <w:rsid w:val="001F7B7B"/>
    <w:rsid w:val="0020010B"/>
    <w:rsid w:val="00237B51"/>
    <w:rsid w:val="00240828"/>
    <w:rsid w:val="00272C9B"/>
    <w:rsid w:val="002864C4"/>
    <w:rsid w:val="002D2557"/>
    <w:rsid w:val="002D5CDE"/>
    <w:rsid w:val="002E26B1"/>
    <w:rsid w:val="002E5322"/>
    <w:rsid w:val="002E546D"/>
    <w:rsid w:val="002E7B6E"/>
    <w:rsid w:val="00312823"/>
    <w:rsid w:val="00323902"/>
    <w:rsid w:val="00331EE1"/>
    <w:rsid w:val="00346CB3"/>
    <w:rsid w:val="00376EB2"/>
    <w:rsid w:val="003A3BA6"/>
    <w:rsid w:val="003B0963"/>
    <w:rsid w:val="003D6D7B"/>
    <w:rsid w:val="003D7DA5"/>
    <w:rsid w:val="003E21AF"/>
    <w:rsid w:val="003E525F"/>
    <w:rsid w:val="0041661C"/>
    <w:rsid w:val="0042071B"/>
    <w:rsid w:val="00430008"/>
    <w:rsid w:val="004304F3"/>
    <w:rsid w:val="00444CBD"/>
    <w:rsid w:val="00466B33"/>
    <w:rsid w:val="0047027D"/>
    <w:rsid w:val="00472796"/>
    <w:rsid w:val="00473FF7"/>
    <w:rsid w:val="00482D5C"/>
    <w:rsid w:val="00485E61"/>
    <w:rsid w:val="00497297"/>
    <w:rsid w:val="004A6C18"/>
    <w:rsid w:val="004B3947"/>
    <w:rsid w:val="004E4594"/>
    <w:rsid w:val="004F05E7"/>
    <w:rsid w:val="0050141B"/>
    <w:rsid w:val="00516F61"/>
    <w:rsid w:val="005221ED"/>
    <w:rsid w:val="0052724E"/>
    <w:rsid w:val="005432E1"/>
    <w:rsid w:val="00591D83"/>
    <w:rsid w:val="005A7A93"/>
    <w:rsid w:val="005B7D2E"/>
    <w:rsid w:val="005F64CD"/>
    <w:rsid w:val="00615493"/>
    <w:rsid w:val="0064357E"/>
    <w:rsid w:val="00655C82"/>
    <w:rsid w:val="00676B7E"/>
    <w:rsid w:val="00677A25"/>
    <w:rsid w:val="00681623"/>
    <w:rsid w:val="006878AF"/>
    <w:rsid w:val="00693F78"/>
    <w:rsid w:val="006A019A"/>
    <w:rsid w:val="006A7D32"/>
    <w:rsid w:val="006D4507"/>
    <w:rsid w:val="006D4D8C"/>
    <w:rsid w:val="006E7ED1"/>
    <w:rsid w:val="006F02DB"/>
    <w:rsid w:val="006F3894"/>
    <w:rsid w:val="007070FC"/>
    <w:rsid w:val="00714305"/>
    <w:rsid w:val="00715E93"/>
    <w:rsid w:val="00723737"/>
    <w:rsid w:val="007517F5"/>
    <w:rsid w:val="007B495B"/>
    <w:rsid w:val="007C779E"/>
    <w:rsid w:val="007D7A28"/>
    <w:rsid w:val="007F7EBA"/>
    <w:rsid w:val="00804D08"/>
    <w:rsid w:val="0082771B"/>
    <w:rsid w:val="00836A94"/>
    <w:rsid w:val="00842F6C"/>
    <w:rsid w:val="00875774"/>
    <w:rsid w:val="008848C3"/>
    <w:rsid w:val="00886A61"/>
    <w:rsid w:val="008B26C0"/>
    <w:rsid w:val="008C78EE"/>
    <w:rsid w:val="008D6FBC"/>
    <w:rsid w:val="008E6C02"/>
    <w:rsid w:val="008F576E"/>
    <w:rsid w:val="00906AC7"/>
    <w:rsid w:val="009156E4"/>
    <w:rsid w:val="0091636A"/>
    <w:rsid w:val="00920694"/>
    <w:rsid w:val="0092099A"/>
    <w:rsid w:val="00934F6B"/>
    <w:rsid w:val="00954499"/>
    <w:rsid w:val="00961CCF"/>
    <w:rsid w:val="00987800"/>
    <w:rsid w:val="00996273"/>
    <w:rsid w:val="009A551D"/>
    <w:rsid w:val="009A7962"/>
    <w:rsid w:val="00A37DD6"/>
    <w:rsid w:val="00A7200B"/>
    <w:rsid w:val="00A86E46"/>
    <w:rsid w:val="00AF25EE"/>
    <w:rsid w:val="00B05167"/>
    <w:rsid w:val="00B05E27"/>
    <w:rsid w:val="00B35CEB"/>
    <w:rsid w:val="00B47A28"/>
    <w:rsid w:val="00B572AF"/>
    <w:rsid w:val="00B57678"/>
    <w:rsid w:val="00B6285E"/>
    <w:rsid w:val="00B84A53"/>
    <w:rsid w:val="00B86501"/>
    <w:rsid w:val="00BA6E56"/>
    <w:rsid w:val="00BC003F"/>
    <w:rsid w:val="00BD0FC0"/>
    <w:rsid w:val="00BE5744"/>
    <w:rsid w:val="00BE6B7A"/>
    <w:rsid w:val="00C018FE"/>
    <w:rsid w:val="00C22716"/>
    <w:rsid w:val="00C2325F"/>
    <w:rsid w:val="00C250F2"/>
    <w:rsid w:val="00C364BA"/>
    <w:rsid w:val="00C50479"/>
    <w:rsid w:val="00C610B8"/>
    <w:rsid w:val="00C63C3B"/>
    <w:rsid w:val="00C74E0B"/>
    <w:rsid w:val="00C77F25"/>
    <w:rsid w:val="00C80DAE"/>
    <w:rsid w:val="00C824FD"/>
    <w:rsid w:val="00C83E99"/>
    <w:rsid w:val="00C936F1"/>
    <w:rsid w:val="00CF3087"/>
    <w:rsid w:val="00D2572F"/>
    <w:rsid w:val="00D40805"/>
    <w:rsid w:val="00D70BBF"/>
    <w:rsid w:val="00D856B9"/>
    <w:rsid w:val="00DA6FEC"/>
    <w:rsid w:val="00DB1E06"/>
    <w:rsid w:val="00DB34F2"/>
    <w:rsid w:val="00DC31E0"/>
    <w:rsid w:val="00DC6121"/>
    <w:rsid w:val="00DF4376"/>
    <w:rsid w:val="00E01967"/>
    <w:rsid w:val="00E03A9F"/>
    <w:rsid w:val="00E04498"/>
    <w:rsid w:val="00E04F30"/>
    <w:rsid w:val="00E05DE0"/>
    <w:rsid w:val="00E14726"/>
    <w:rsid w:val="00E26D7E"/>
    <w:rsid w:val="00E4555A"/>
    <w:rsid w:val="00E46C46"/>
    <w:rsid w:val="00E578FB"/>
    <w:rsid w:val="00E64BE0"/>
    <w:rsid w:val="00E931D7"/>
    <w:rsid w:val="00EC2559"/>
    <w:rsid w:val="00ED76B2"/>
    <w:rsid w:val="00F020FF"/>
    <w:rsid w:val="00F223F1"/>
    <w:rsid w:val="00F22C1B"/>
    <w:rsid w:val="00F37F92"/>
    <w:rsid w:val="00F6031E"/>
    <w:rsid w:val="00F8107D"/>
    <w:rsid w:val="00F843B9"/>
    <w:rsid w:val="00F85462"/>
    <w:rsid w:val="00F95FAE"/>
    <w:rsid w:val="00FB7762"/>
    <w:rsid w:val="00FD6AF1"/>
    <w:rsid w:val="00FF25DE"/>
    <w:rsid w:val="00FF2C85"/>
    <w:rsid w:val="00FF351E"/>
    <w:rsid w:val="4B772EE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link w:val="28"/>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8"/>
    <w:qFormat/>
    <w:uiPriority w:val="0"/>
    <w:pPr>
      <w:shd w:val="clear" w:color="auto" w:fill="000080"/>
    </w:pPr>
    <w:rPr>
      <w:rFonts w:eastAsia="仿宋_GB2312"/>
      <w:sz w:val="32"/>
      <w:szCs w:val="20"/>
    </w:rPr>
  </w:style>
  <w:style w:type="paragraph" w:styleId="5">
    <w:name w:val="annotation text"/>
    <w:basedOn w:val="1"/>
    <w:link w:val="33"/>
    <w:qFormat/>
    <w:uiPriority w:val="0"/>
    <w:pPr>
      <w:jc w:val="left"/>
    </w:pPr>
    <w:rPr>
      <w:rFonts w:eastAsia="仿宋_GB2312"/>
      <w:sz w:val="32"/>
      <w:szCs w:val="20"/>
    </w:rPr>
  </w:style>
  <w:style w:type="paragraph" w:styleId="6">
    <w:name w:val="Body Text Indent"/>
    <w:basedOn w:val="1"/>
    <w:qFormat/>
    <w:uiPriority w:val="0"/>
    <w:pPr>
      <w:ind w:left="815" w:hanging="815"/>
    </w:pPr>
    <w:rPr>
      <w:rFonts w:eastAsia="仿宋_GB2312"/>
      <w:sz w:val="28"/>
      <w:szCs w:val="20"/>
    </w:rPr>
  </w:style>
  <w:style w:type="paragraph" w:styleId="7">
    <w:name w:val="Plain Text"/>
    <w:basedOn w:val="1"/>
    <w:link w:val="31"/>
    <w:qFormat/>
    <w:uiPriority w:val="0"/>
    <w:rPr>
      <w:rFonts w:ascii="宋体" w:hAnsi="Courier New"/>
      <w:szCs w:val="21"/>
    </w:rPr>
  </w:style>
  <w:style w:type="paragraph" w:styleId="8">
    <w:name w:val="Date"/>
    <w:basedOn w:val="1"/>
    <w:next w:val="1"/>
    <w:link w:val="30"/>
    <w:qFormat/>
    <w:uiPriority w:val="0"/>
    <w:rPr>
      <w:rFonts w:eastAsia="仿宋_GB2312"/>
      <w:sz w:val="32"/>
      <w:szCs w:val="20"/>
    </w:rPr>
  </w:style>
  <w:style w:type="paragraph" w:styleId="9">
    <w:name w:val="endnote text"/>
    <w:basedOn w:val="1"/>
    <w:link w:val="55"/>
    <w:unhideWhenUsed/>
    <w:qFormat/>
    <w:uiPriority w:val="0"/>
    <w:pPr>
      <w:snapToGrid w:val="0"/>
      <w:jc w:val="left"/>
    </w:pPr>
    <w:rPr>
      <w:rFonts w:ascii="Calibri" w:hAnsi="Calibri"/>
      <w:szCs w:val="22"/>
    </w:rPr>
  </w:style>
  <w:style w:type="paragraph" w:styleId="10">
    <w:name w:val="Balloon Text"/>
    <w:basedOn w:val="1"/>
    <w:link w:val="53"/>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0"/>
    <w:rPr>
      <w:rFonts w:ascii="Calibri" w:hAnsi="Calibri"/>
      <w:szCs w:val="22"/>
    </w:rPr>
  </w:style>
  <w:style w:type="paragraph" w:styleId="14">
    <w:name w:val="footnote text"/>
    <w:basedOn w:val="1"/>
    <w:link w:val="56"/>
    <w:unhideWhenUsed/>
    <w:qFormat/>
    <w:uiPriority w:val="0"/>
    <w:pPr>
      <w:snapToGrid w:val="0"/>
      <w:jc w:val="left"/>
    </w:pPr>
    <w:rPr>
      <w:rFonts w:ascii="Calibri" w:hAnsi="Calibri"/>
      <w:sz w:val="18"/>
      <w:szCs w:val="18"/>
    </w:rPr>
  </w:style>
  <w:style w:type="paragraph" w:styleId="15">
    <w:name w:val="HTML Preformatted"/>
    <w:basedOn w:val="1"/>
    <w:link w:val="5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eastAsia="仿宋_GB2312" w:cs="宋体"/>
      <w:kern w:val="0"/>
      <w:sz w:val="24"/>
      <w:szCs w:val="20"/>
    </w:rPr>
  </w:style>
  <w:style w:type="paragraph" w:styleId="17">
    <w:name w:val="annotation subject"/>
    <w:basedOn w:val="5"/>
    <w:next w:val="5"/>
    <w:link w:val="42"/>
    <w:qFormat/>
    <w:uiPriority w:val="0"/>
    <w:rPr>
      <w:b/>
      <w:szCs w:val="24"/>
    </w:rPr>
  </w:style>
  <w:style w:type="character" w:styleId="20">
    <w:name w:val="Strong"/>
    <w:qFormat/>
    <w:uiPriority w:val="0"/>
    <w:rPr>
      <w:b/>
      <w:bCs/>
    </w:rPr>
  </w:style>
  <w:style w:type="character" w:styleId="21">
    <w:name w:val="endnote reference"/>
    <w:unhideWhenUsed/>
    <w:qFormat/>
    <w:uiPriority w:val="0"/>
    <w:rPr>
      <w:vertAlign w:val="superscript"/>
    </w:rPr>
  </w:style>
  <w:style w:type="character" w:styleId="22">
    <w:name w:val="page number"/>
    <w:basedOn w:val="19"/>
    <w:qFormat/>
    <w:uiPriority w:val="0"/>
  </w:style>
  <w:style w:type="character" w:styleId="23">
    <w:name w:val="Emphasis"/>
    <w:qFormat/>
    <w:uiPriority w:val="0"/>
    <w:rPr>
      <w:i/>
      <w:iCs/>
    </w:rPr>
  </w:style>
  <w:style w:type="character" w:styleId="24">
    <w:name w:val="Hyperlink"/>
    <w:unhideWhenUsed/>
    <w:qFormat/>
    <w:uiPriority w:val="0"/>
    <w:rPr>
      <w:color w:val="0000FF"/>
      <w:u w:val="single"/>
    </w:rPr>
  </w:style>
  <w:style w:type="character" w:styleId="25">
    <w:name w:val="annotation reference"/>
    <w:qFormat/>
    <w:uiPriority w:val="0"/>
    <w:rPr>
      <w:rFonts w:cs="Times New Roman"/>
      <w:sz w:val="21"/>
    </w:rPr>
  </w:style>
  <w:style w:type="character" w:styleId="26">
    <w:name w:val="footnote reference"/>
    <w:unhideWhenUsed/>
    <w:qFormat/>
    <w:uiPriority w:val="0"/>
    <w:rPr>
      <w:vertAlign w:val="superscript"/>
    </w:rPr>
  </w:style>
  <w:style w:type="character" w:customStyle="1" w:styleId="27">
    <w:name w:val="标题 1 Char"/>
    <w:link w:val="2"/>
    <w:qFormat/>
    <w:uiPriority w:val="0"/>
    <w:rPr>
      <w:rFonts w:ascii="Calibri" w:hAnsi="Calibri"/>
      <w:b/>
      <w:bCs/>
      <w:kern w:val="44"/>
      <w:sz w:val="44"/>
      <w:szCs w:val="44"/>
    </w:rPr>
  </w:style>
  <w:style w:type="character" w:customStyle="1" w:styleId="28">
    <w:name w:val="标题 3 Char"/>
    <w:link w:val="3"/>
    <w:qFormat/>
    <w:uiPriority w:val="0"/>
    <w:rPr>
      <w:rFonts w:ascii="宋体" w:hAnsi="宋体"/>
      <w:b/>
      <w:bCs/>
      <w:sz w:val="27"/>
      <w:szCs w:val="27"/>
    </w:rPr>
  </w:style>
  <w:style w:type="character" w:customStyle="1" w:styleId="29">
    <w:name w:val="页脚 Char"/>
    <w:link w:val="11"/>
    <w:uiPriority w:val="99"/>
    <w:rPr>
      <w:kern w:val="2"/>
      <w:sz w:val="18"/>
      <w:szCs w:val="18"/>
    </w:rPr>
  </w:style>
  <w:style w:type="character" w:customStyle="1" w:styleId="30">
    <w:name w:val="日期 Char"/>
    <w:link w:val="8"/>
    <w:qFormat/>
    <w:locked/>
    <w:uiPriority w:val="0"/>
    <w:rPr>
      <w:rFonts w:eastAsia="仿宋_GB2312"/>
      <w:kern w:val="2"/>
      <w:sz w:val="32"/>
    </w:rPr>
  </w:style>
  <w:style w:type="character" w:customStyle="1" w:styleId="31">
    <w:name w:val="纯文本 Char"/>
    <w:link w:val="7"/>
    <w:qFormat/>
    <w:uiPriority w:val="0"/>
    <w:rPr>
      <w:rFonts w:ascii="宋体" w:hAnsi="Courier New" w:cs="Courier New"/>
      <w:kern w:val="2"/>
      <w:sz w:val="21"/>
      <w:szCs w:val="21"/>
    </w:rPr>
  </w:style>
  <w:style w:type="character" w:customStyle="1" w:styleId="32">
    <w:name w:val="纯文本 Char1"/>
    <w:qFormat/>
    <w:uiPriority w:val="0"/>
    <w:rPr>
      <w:rFonts w:ascii="宋体" w:hAnsi="Courier New" w:cs="Courier New"/>
      <w:kern w:val="2"/>
      <w:sz w:val="21"/>
      <w:szCs w:val="21"/>
    </w:rPr>
  </w:style>
  <w:style w:type="character" w:customStyle="1" w:styleId="33">
    <w:name w:val="批注文字 Char"/>
    <w:link w:val="5"/>
    <w:uiPriority w:val="0"/>
    <w:rPr>
      <w:rFonts w:eastAsia="仿宋_GB2312"/>
      <w:kern w:val="2"/>
      <w:sz w:val="32"/>
    </w:rPr>
  </w:style>
  <w:style w:type="character" w:customStyle="1" w:styleId="34">
    <w:name w:val="批注文字 Char1"/>
    <w:uiPriority w:val="0"/>
    <w:rPr>
      <w:kern w:val="2"/>
      <w:sz w:val="21"/>
      <w:szCs w:val="24"/>
    </w:rPr>
  </w:style>
  <w:style w:type="paragraph" w:customStyle="1" w:styleId="35">
    <w:name w:val="_Style 23"/>
    <w:unhideWhenUsed/>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link w:val="12"/>
    <w:qFormat/>
    <w:uiPriority w:val="0"/>
    <w:rPr>
      <w:kern w:val="2"/>
      <w:sz w:val="18"/>
      <w:szCs w:val="18"/>
    </w:rPr>
  </w:style>
  <w:style w:type="paragraph" w:customStyle="1" w:styleId="37">
    <w:name w:val="Char Char Char Char"/>
    <w:basedOn w:val="4"/>
    <w:qFormat/>
    <w:uiPriority w:val="0"/>
    <w:pPr>
      <w:adjustRightInd w:val="0"/>
      <w:spacing w:line="436" w:lineRule="exact"/>
      <w:ind w:left="357"/>
      <w:jc w:val="left"/>
      <w:outlineLvl w:val="3"/>
    </w:pPr>
    <w:rPr>
      <w:rFonts w:ascii="Tahoma" w:hAnsi="Tahoma" w:eastAsia="宋体"/>
      <w:b/>
      <w:sz w:val="24"/>
      <w:szCs w:val="24"/>
    </w:rPr>
  </w:style>
  <w:style w:type="character" w:customStyle="1" w:styleId="38">
    <w:name w:val="文档结构图 Char"/>
    <w:link w:val="4"/>
    <w:qFormat/>
    <w:uiPriority w:val="0"/>
    <w:rPr>
      <w:rFonts w:eastAsia="仿宋_GB2312"/>
      <w:kern w:val="2"/>
      <w:sz w:val="32"/>
      <w:shd w:val="clear" w:color="auto" w:fill="000080"/>
    </w:rPr>
  </w:style>
  <w:style w:type="paragraph" w:customStyle="1" w:styleId="39">
    <w:name w:val="Char Char Char Char1"/>
    <w:basedOn w:val="4"/>
    <w:qFormat/>
    <w:uiPriority w:val="0"/>
    <w:pPr>
      <w:adjustRightInd w:val="0"/>
      <w:spacing w:line="436" w:lineRule="exact"/>
      <w:ind w:left="357"/>
      <w:jc w:val="left"/>
      <w:outlineLvl w:val="3"/>
    </w:pPr>
    <w:rPr>
      <w:rFonts w:ascii="Tahoma" w:hAnsi="Tahoma" w:eastAsia="宋体"/>
      <w:b/>
      <w:sz w:val="24"/>
      <w:szCs w:val="24"/>
    </w:rPr>
  </w:style>
  <w:style w:type="paragraph" w:customStyle="1" w:styleId="40">
    <w:name w:val="Char Char Char Char2"/>
    <w:basedOn w:val="4"/>
    <w:qFormat/>
    <w:uiPriority w:val="0"/>
    <w:pPr>
      <w:adjustRightInd w:val="0"/>
      <w:spacing w:line="436" w:lineRule="exact"/>
      <w:ind w:left="357"/>
      <w:jc w:val="left"/>
      <w:outlineLvl w:val="3"/>
    </w:pPr>
    <w:rPr>
      <w:rFonts w:ascii="Tahoma" w:hAnsi="Tahoma" w:eastAsia="宋体"/>
      <w:b/>
      <w:sz w:val="24"/>
      <w:szCs w:val="24"/>
    </w:rPr>
  </w:style>
  <w:style w:type="paragraph" w:customStyle="1" w:styleId="41">
    <w:name w:val="_Style 1"/>
    <w:basedOn w:val="1"/>
    <w:qFormat/>
    <w:uiPriority w:val="34"/>
    <w:pPr>
      <w:ind w:firstLine="420" w:firstLineChars="200"/>
    </w:pPr>
    <w:rPr>
      <w:rFonts w:eastAsia="仿宋_GB2312"/>
      <w:sz w:val="32"/>
      <w:szCs w:val="20"/>
    </w:rPr>
  </w:style>
  <w:style w:type="character" w:customStyle="1" w:styleId="42">
    <w:name w:val="批注主题 Char"/>
    <w:link w:val="17"/>
    <w:qFormat/>
    <w:uiPriority w:val="0"/>
    <w:rPr>
      <w:rFonts w:eastAsia="仿宋_GB2312"/>
      <w:b/>
      <w:kern w:val="2"/>
      <w:sz w:val="32"/>
      <w:szCs w:val="24"/>
    </w:rPr>
  </w:style>
  <w:style w:type="paragraph" w:styleId="43">
    <w:name w:val="List Paragraph"/>
    <w:basedOn w:val="1"/>
    <w:qFormat/>
    <w:uiPriority w:val="34"/>
    <w:pPr>
      <w:widowControl/>
      <w:ind w:firstLine="420" w:firstLineChars="200"/>
      <w:jc w:val="left"/>
    </w:pPr>
    <w:rPr>
      <w:rFonts w:ascii="宋体" w:hAnsi="宋体" w:cs="宋体"/>
      <w:kern w:val="0"/>
      <w:sz w:val="24"/>
    </w:rPr>
  </w:style>
  <w:style w:type="paragraph" w:customStyle="1" w:styleId="44">
    <w:name w:val="Char1"/>
    <w:basedOn w:val="1"/>
    <w:qFormat/>
    <w:uiPriority w:val="0"/>
    <w:rPr>
      <w:rFonts w:ascii="Tw Cen MT" w:hAnsi="Tw Cen MT" w:eastAsia="华文仿宋"/>
      <w:szCs w:val="20"/>
    </w:rPr>
  </w:style>
  <w:style w:type="paragraph" w:customStyle="1" w:styleId="45">
    <w:name w:val="列出段落1"/>
    <w:basedOn w:val="1"/>
    <w:qFormat/>
    <w:uiPriority w:val="0"/>
    <w:pPr>
      <w:ind w:firstLine="420" w:firstLineChars="200"/>
    </w:pPr>
    <w:rPr>
      <w:rFonts w:ascii="Calibri" w:hAnsi="Calibri"/>
      <w:szCs w:val="22"/>
    </w:rPr>
  </w:style>
  <w:style w:type="paragraph" w:customStyle="1" w:styleId="46">
    <w:name w:val="Char Char Char Char3"/>
    <w:basedOn w:val="4"/>
    <w:uiPriority w:val="0"/>
    <w:pPr>
      <w:adjustRightInd w:val="0"/>
      <w:spacing w:line="436" w:lineRule="exact"/>
      <w:ind w:left="357"/>
      <w:jc w:val="left"/>
      <w:outlineLvl w:val="3"/>
    </w:pPr>
    <w:rPr>
      <w:rFonts w:ascii="Tahoma" w:hAnsi="Tahoma" w:eastAsia="宋体"/>
      <w:b/>
      <w:sz w:val="24"/>
      <w:szCs w:val="24"/>
    </w:rPr>
  </w:style>
  <w:style w:type="paragraph" w:customStyle="1" w:styleId="47">
    <w:name w:val="Char Char Char1 Char Char Char Char"/>
    <w:basedOn w:val="1"/>
    <w:qFormat/>
    <w:uiPriority w:val="0"/>
    <w:rPr>
      <w:szCs w:val="20"/>
    </w:rPr>
  </w:style>
  <w:style w:type="paragraph" w:customStyle="1" w:styleId="48">
    <w:name w:val="p0"/>
    <w:basedOn w:val="1"/>
    <w:qFormat/>
    <w:uiPriority w:val="0"/>
    <w:pPr>
      <w:widowControl/>
    </w:pPr>
    <w:rPr>
      <w:rFonts w:ascii="Calibri" w:hAnsi="Calibri" w:cs="Calibri"/>
      <w:kern w:val="0"/>
      <w:szCs w:val="21"/>
    </w:rPr>
  </w:style>
  <w:style w:type="paragraph" w:customStyle="1" w:styleId="49">
    <w:name w:val="列出段落11"/>
    <w:basedOn w:val="1"/>
    <w:qFormat/>
    <w:uiPriority w:val="0"/>
    <w:pPr>
      <w:ind w:firstLine="420" w:firstLineChars="200"/>
    </w:pPr>
    <w:rPr>
      <w:szCs w:val="20"/>
    </w:rPr>
  </w:style>
  <w:style w:type="paragraph" w:customStyle="1" w:styleId="50">
    <w:name w:val="列出段落2"/>
    <w:basedOn w:val="1"/>
    <w:qFormat/>
    <w:uiPriority w:val="0"/>
    <w:pPr>
      <w:ind w:firstLine="420" w:firstLineChars="200"/>
    </w:pPr>
    <w:rPr>
      <w:rFonts w:ascii="Calibri" w:hAnsi="Calibri"/>
      <w:szCs w:val="22"/>
    </w:rPr>
  </w:style>
  <w:style w:type="character" w:customStyle="1" w:styleId="51">
    <w:name w:val="font01"/>
    <w:uiPriority w:val="0"/>
    <w:rPr>
      <w:rFonts w:hint="eastAsia" w:ascii="宋体" w:hAnsi="宋体" w:eastAsia="宋体" w:cs="宋体"/>
      <w:color w:val="000000"/>
      <w:sz w:val="16"/>
      <w:szCs w:val="16"/>
      <w:u w:val="none"/>
    </w:rPr>
  </w:style>
  <w:style w:type="character" w:customStyle="1" w:styleId="52">
    <w:name w:val="页脚 Char1"/>
    <w:qFormat/>
    <w:uiPriority w:val="0"/>
    <w:rPr>
      <w:rFonts w:eastAsia="宋体"/>
      <w:kern w:val="2"/>
      <w:sz w:val="18"/>
      <w:szCs w:val="18"/>
      <w:lang w:val="en-US" w:eastAsia="zh-CN" w:bidi="ar-SA"/>
    </w:rPr>
  </w:style>
  <w:style w:type="character" w:customStyle="1" w:styleId="53">
    <w:name w:val="批注框文本 Char"/>
    <w:link w:val="10"/>
    <w:qFormat/>
    <w:uiPriority w:val="0"/>
    <w:rPr>
      <w:kern w:val="2"/>
      <w:sz w:val="18"/>
      <w:szCs w:val="18"/>
    </w:rPr>
  </w:style>
  <w:style w:type="paragraph" w:customStyle="1" w:styleId="54">
    <w:name w:val="正文1"/>
    <w:basedOn w:val="1"/>
    <w:qFormat/>
    <w:uiPriority w:val="0"/>
    <w:pPr>
      <w:widowControl/>
      <w:overflowPunct w:val="0"/>
      <w:autoSpaceDE w:val="0"/>
      <w:autoSpaceDN w:val="0"/>
      <w:adjustRightInd w:val="0"/>
      <w:spacing w:line="400" w:lineRule="exact"/>
      <w:textAlignment w:val="baseline"/>
    </w:pPr>
    <w:rPr>
      <w:rFonts w:ascii="宋体" w:cs="宋体"/>
      <w:kern w:val="0"/>
      <w:sz w:val="24"/>
    </w:rPr>
  </w:style>
  <w:style w:type="character" w:customStyle="1" w:styleId="55">
    <w:name w:val="尾注文本 Char"/>
    <w:link w:val="9"/>
    <w:qFormat/>
    <w:uiPriority w:val="0"/>
    <w:rPr>
      <w:rFonts w:ascii="Calibri" w:hAnsi="Calibri"/>
      <w:kern w:val="2"/>
      <w:sz w:val="21"/>
      <w:szCs w:val="22"/>
    </w:rPr>
  </w:style>
  <w:style w:type="character" w:customStyle="1" w:styleId="56">
    <w:name w:val="脚注文本 Char"/>
    <w:link w:val="14"/>
    <w:qFormat/>
    <w:uiPriority w:val="0"/>
    <w:rPr>
      <w:rFonts w:ascii="Calibri" w:hAnsi="Calibri"/>
      <w:kern w:val="2"/>
      <w:sz w:val="18"/>
      <w:szCs w:val="18"/>
    </w:rPr>
  </w:style>
  <w:style w:type="character" w:customStyle="1" w:styleId="57">
    <w:name w:val="HTML 预设格式 Char"/>
    <w:link w:val="15"/>
    <w:qFormat/>
    <w:uiPriority w:val="0"/>
    <w:rPr>
      <w:rFonts w:ascii="宋体" w:hAnsi="宋体"/>
      <w:sz w:val="24"/>
      <w:szCs w:val="24"/>
    </w:rPr>
  </w:style>
  <w:style w:type="paragraph" w:customStyle="1" w:styleId="58">
    <w:name w:val="Medium Grid 1 - Accent 21"/>
    <w:basedOn w:val="1"/>
    <w:qFormat/>
    <w:uiPriority w:val="0"/>
    <w:pPr>
      <w:ind w:firstLine="420" w:firstLineChars="200"/>
    </w:pPr>
    <w:rPr>
      <w:rFonts w:ascii="Calibri" w:hAnsi="Calibri" w:cs="Calibri"/>
      <w:szCs w:val="21"/>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1">
    <w:name w:val="n"/>
    <w:qFormat/>
    <w:uiPriority w:val="0"/>
  </w:style>
  <w:style w:type="paragraph" w:customStyle="1" w:styleId="62">
    <w:name w:val="Revision"/>
    <w:hidden/>
    <w:uiPriority w:val="0"/>
    <w:rPr>
      <w:rFonts w:ascii="Calibri" w:hAnsi="Calibri" w:eastAsia="宋体" w:cs="Times New Roman"/>
      <w:kern w:val="2"/>
      <w:sz w:val="21"/>
      <w:szCs w:val="22"/>
      <w:lang w:val="en-US" w:eastAsia="zh-CN" w:bidi="ar-SA"/>
    </w:rPr>
  </w:style>
  <w:style w:type="character" w:customStyle="1" w:styleId="63">
    <w:name w:val="访问过的超链接"/>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3177C-313A-4B67-AB9E-BD2575A8BF7B}">
  <ds:schemaRefs/>
</ds:datastoreItem>
</file>

<file path=docProps/app.xml><?xml version="1.0" encoding="utf-8"?>
<Properties xmlns="http://schemas.openxmlformats.org/officeDocument/2006/extended-properties" xmlns:vt="http://schemas.openxmlformats.org/officeDocument/2006/docPropsVTypes">
  <Template>Normal</Template>
  <Company>msk</Company>
  <Pages>38</Pages>
  <Words>22979</Words>
  <Characters>23878</Characters>
  <Lines>34</Lines>
  <Paragraphs>53</Paragraphs>
  <TotalTime>3</TotalTime>
  <ScaleCrop>false</ScaleCrop>
  <LinksUpToDate>false</LinksUpToDate>
  <CharactersWithSpaces>23907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2017-06-15T07:12:00Z</dcterms:created>
  <dc:creator>user</dc:creator>
  <cp:lastModifiedBy>名字不重要</cp:lastModifiedBy>
  <cp:lastPrinted>2014-11-27T03:46:00Z</cp:lastPrinted>
  <dcterms:modified xsi:type="dcterms:W3CDTF">2023-07-11T08:47:43Z</dcterms:modified>
  <dc:title>北京市东城区人民政府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00B8E86EF6C04B168E6590084424C661_12</vt:lpwstr>
  </property>
</Properties>
</file>