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72271">
      <w:pPr>
        <w:spacing w:line="1780" w:lineRule="exact"/>
        <w:rPr>
          <w:sz w:val="80"/>
        </w:rPr>
      </w:pPr>
      <w:r>
        <w:rPr>
          <w:sz w:val="80"/>
          <w:lang w:val="en-US" w:eastAsia="zh-CN"/>
        </w:rPr>
        <w:pict>
          <v:group id="组合 9" o:spid="_x0000_s1033" style="position:absolute;left:0;text-align:left;margin-left:-4.55pt;margin-top:-7.2pt;width:450.95pt;height:254.15pt;z-index:251657728" coordorigin="1497,1784" coordsize="9019,5083">
            <v:line id="直线 6" o:spid="_x0000_s1030" style="position:absolute" from="1588,6867" to="10414,6867" strokecolor="red" strokeweight="2pt">
              <v:fill o:detectmouseclick="t"/>
            </v:line>
            <v:shapetype id="_x0000_t202" coordsize="21600,21600" o:spt="202" path="m,l,21600r21600,l21600,xe">
              <v:stroke joinstyle="miter"/>
              <v:path gradientshapeok="t" o:connecttype="rect"/>
            </v:shapetype>
            <v:shape id="文本框 7" o:spid="_x0000_s1031" type="#_x0000_t202" style="position:absolute;left:1497;top:1784;width:9019;height:3888;mso-wrap-style:square;v-text-anchor:top" stroked="f">
              <v:textbox style="mso-fit-shape-to-text:t">
                <w:txbxContent>
                  <w:p w:rsidR="00000000" w:rsidRDefault="00072271">
                    <w:pPr>
                      <w:jc w:val="center"/>
                      <w:rPr>
                        <w:rFonts w:ascii="方正小标宋简体" w:eastAsia="方正小标宋简体"/>
                        <w:bCs/>
                        <w:color w:val="FF0000"/>
                        <w:spacing w:val="-6"/>
                        <w:w w:val="68"/>
                        <w:sz w:val="108"/>
                        <w:szCs w:val="108"/>
                      </w:rPr>
                    </w:pPr>
                  </w:p>
                  <w:p w:rsidR="00000000" w:rsidRDefault="00072271">
                    <w:pPr>
                      <w:jc w:val="center"/>
                    </w:pPr>
                    <w:r>
                      <w:rPr>
                        <w:rFonts w:ascii="方正小标宋简体" w:eastAsia="方正小标宋简体" w:hint="eastAsia"/>
                        <w:bCs/>
                        <w:color w:val="FF0000"/>
                        <w:spacing w:val="-6"/>
                        <w:w w:val="68"/>
                        <w:sz w:val="108"/>
                        <w:szCs w:val="108"/>
                      </w:rPr>
                      <w:t>北京市东城区人民政府文件</w:t>
                    </w:r>
                  </w:p>
                </w:txbxContent>
              </v:textbox>
            </v:shape>
          </v:group>
        </w:pict>
      </w:r>
    </w:p>
    <w:p w:rsidR="00000000" w:rsidRDefault="00072271">
      <w:pPr>
        <w:jc w:val="center"/>
        <w:rPr>
          <w:rFonts w:ascii="方正小标宋简体" w:eastAsia="方正小标宋简体"/>
          <w:bCs/>
          <w:color w:val="FF0000"/>
          <w:spacing w:val="-6"/>
          <w:w w:val="68"/>
          <w:sz w:val="108"/>
          <w:szCs w:val="108"/>
        </w:rPr>
      </w:pPr>
      <w:r>
        <w:rPr>
          <w:rFonts w:ascii="方正小标宋简体" w:eastAsia="方正小标宋简体" w:hint="eastAsia"/>
          <w:bCs/>
          <w:color w:val="FF0000"/>
          <w:spacing w:val="-6"/>
          <w:w w:val="68"/>
          <w:sz w:val="108"/>
          <w:szCs w:val="108"/>
        </w:rPr>
        <w:t>北京市东城区人民政府文件</w:t>
      </w:r>
    </w:p>
    <w:p w:rsidR="00000000" w:rsidRDefault="00072271">
      <w:pPr>
        <w:spacing w:line="580" w:lineRule="exact"/>
        <w:rPr>
          <w:rFonts w:ascii="仿宋_GB2312" w:eastAsia="仿宋_GB2312"/>
          <w:sz w:val="32"/>
          <w:szCs w:val="32"/>
        </w:rPr>
      </w:pPr>
    </w:p>
    <w:p w:rsidR="00000000" w:rsidRDefault="00072271">
      <w:pPr>
        <w:spacing w:afterLines="50" w:line="540" w:lineRule="exact"/>
        <w:ind w:leftChars="100" w:left="210" w:rightChars="100" w:right="210"/>
        <w:jc w:val="center"/>
        <w:rPr>
          <w:rFonts w:ascii="楷体_GB2312" w:eastAsia="楷体_GB2312"/>
          <w:sz w:val="32"/>
          <w:szCs w:val="32"/>
        </w:rPr>
      </w:pPr>
      <w:r>
        <w:rPr>
          <w:rFonts w:eastAsia="仿宋_GB2312"/>
          <w:sz w:val="32"/>
          <w:szCs w:val="32"/>
        </w:rPr>
        <w:t>东政</w:t>
      </w:r>
      <w:r>
        <w:rPr>
          <w:rFonts w:eastAsia="仿宋_GB2312" w:hint="eastAsia"/>
          <w:sz w:val="32"/>
          <w:szCs w:val="32"/>
        </w:rPr>
        <w:t>发</w:t>
      </w:r>
      <w:r>
        <w:rPr>
          <w:rFonts w:eastAsia="仿宋_GB2312"/>
          <w:sz w:val="32"/>
          <w:szCs w:val="32"/>
        </w:rPr>
        <w:t>〔</w:t>
      </w:r>
      <w:r>
        <w:rPr>
          <w:rFonts w:eastAsia="仿宋_GB2312"/>
          <w:sz w:val="32"/>
          <w:szCs w:val="32"/>
        </w:rPr>
        <w:t>20</w:t>
      </w:r>
      <w:r>
        <w:rPr>
          <w:rFonts w:eastAsia="仿宋_GB2312" w:hint="eastAsia"/>
          <w:sz w:val="32"/>
          <w:szCs w:val="32"/>
        </w:rPr>
        <w:t>18</w:t>
      </w:r>
      <w:r>
        <w:rPr>
          <w:rFonts w:eastAsia="仿宋_GB2312"/>
          <w:sz w:val="32"/>
          <w:szCs w:val="32"/>
        </w:rPr>
        <w:t>〕</w:t>
      </w:r>
      <w:r>
        <w:rPr>
          <w:rFonts w:eastAsia="仿宋_GB2312" w:hint="eastAsia"/>
          <w:sz w:val="32"/>
          <w:szCs w:val="32"/>
        </w:rPr>
        <w:t>45</w:t>
      </w:r>
      <w:r>
        <w:rPr>
          <w:rFonts w:eastAsia="仿宋_GB2312"/>
          <w:sz w:val="32"/>
          <w:szCs w:val="32"/>
        </w:rPr>
        <w:t>号</w:t>
      </w:r>
    </w:p>
    <w:p w:rsidR="00000000" w:rsidRDefault="00072271">
      <w:pPr>
        <w:spacing w:line="540" w:lineRule="exact"/>
        <w:rPr>
          <w:rFonts w:eastAsia="仿宋_GB2312"/>
          <w:sz w:val="32"/>
          <w:szCs w:val="32"/>
        </w:rPr>
      </w:pPr>
    </w:p>
    <w:p w:rsidR="00000000" w:rsidRDefault="00072271">
      <w:pPr>
        <w:spacing w:line="520" w:lineRule="exact"/>
        <w:rPr>
          <w:rFonts w:eastAsia="仿宋_GB2312"/>
          <w:sz w:val="32"/>
          <w:szCs w:val="32"/>
        </w:rPr>
      </w:pPr>
    </w:p>
    <w:p w:rsidR="00000000" w:rsidRDefault="00072271">
      <w:pPr>
        <w:spacing w:line="640" w:lineRule="exact"/>
        <w:jc w:val="center"/>
        <w:rPr>
          <w:rFonts w:eastAsia="方正小标宋简体"/>
          <w:sz w:val="44"/>
          <w:szCs w:val="44"/>
        </w:rPr>
      </w:pPr>
      <w:r>
        <w:rPr>
          <w:rFonts w:eastAsia="方正小标宋简体"/>
          <w:sz w:val="44"/>
          <w:szCs w:val="44"/>
        </w:rPr>
        <w:t>北京市东城区人民政府</w:t>
      </w:r>
    </w:p>
    <w:p w:rsidR="00000000" w:rsidRDefault="00072271">
      <w:pPr>
        <w:spacing w:line="640" w:lineRule="exact"/>
        <w:jc w:val="center"/>
        <w:rPr>
          <w:rFonts w:eastAsia="方正小标宋简体" w:hint="eastAsia"/>
          <w:sz w:val="44"/>
          <w:szCs w:val="44"/>
        </w:rPr>
      </w:pPr>
      <w:r>
        <w:rPr>
          <w:rFonts w:eastAsia="方正小标宋简体"/>
          <w:sz w:val="44"/>
          <w:szCs w:val="44"/>
        </w:rPr>
        <w:t>关于</w:t>
      </w:r>
      <w:r>
        <w:rPr>
          <w:rFonts w:eastAsia="方正小标宋简体" w:hint="eastAsia"/>
          <w:sz w:val="44"/>
          <w:szCs w:val="44"/>
        </w:rPr>
        <w:t>印发《中关村东城园构建高精尖产业</w:t>
      </w:r>
    </w:p>
    <w:p w:rsidR="00000000" w:rsidRDefault="00072271">
      <w:pPr>
        <w:spacing w:line="640" w:lineRule="exact"/>
        <w:jc w:val="center"/>
        <w:rPr>
          <w:rFonts w:eastAsia="方正小标宋简体"/>
          <w:sz w:val="44"/>
          <w:szCs w:val="44"/>
        </w:rPr>
      </w:pPr>
      <w:r>
        <w:rPr>
          <w:rFonts w:eastAsia="方正小标宋简体" w:hint="eastAsia"/>
          <w:sz w:val="44"/>
          <w:szCs w:val="44"/>
        </w:rPr>
        <w:t>用地管理办法》</w:t>
      </w:r>
      <w:r>
        <w:rPr>
          <w:rFonts w:eastAsia="方正小标宋简体"/>
          <w:sz w:val="44"/>
          <w:szCs w:val="44"/>
        </w:rPr>
        <w:t>的</w:t>
      </w:r>
      <w:r>
        <w:rPr>
          <w:rFonts w:eastAsia="方正小标宋简体" w:hint="eastAsia"/>
          <w:sz w:val="44"/>
          <w:szCs w:val="44"/>
        </w:rPr>
        <w:t>通知</w:t>
      </w:r>
    </w:p>
    <w:p w:rsidR="00000000" w:rsidRDefault="00072271">
      <w:pPr>
        <w:spacing w:line="540" w:lineRule="exact"/>
        <w:rPr>
          <w:rFonts w:eastAsia="仿宋_GB2312"/>
          <w:sz w:val="32"/>
          <w:szCs w:val="32"/>
        </w:rPr>
      </w:pPr>
    </w:p>
    <w:p w:rsidR="00000000" w:rsidRDefault="00072271">
      <w:pPr>
        <w:spacing w:line="540" w:lineRule="exact"/>
        <w:rPr>
          <w:rFonts w:eastAsia="楷体_GB2312"/>
          <w:spacing w:val="-4"/>
          <w:sz w:val="32"/>
          <w:szCs w:val="32"/>
        </w:rPr>
      </w:pPr>
      <w:r>
        <w:rPr>
          <w:rFonts w:eastAsia="楷体_GB2312"/>
          <w:spacing w:val="-4"/>
          <w:sz w:val="32"/>
          <w:szCs w:val="32"/>
        </w:rPr>
        <w:t>各街道办事处，区政府各委、办、局，各区属机构：</w:t>
      </w:r>
    </w:p>
    <w:p w:rsidR="00000000" w:rsidRDefault="00072271">
      <w:pPr>
        <w:spacing w:line="540" w:lineRule="exact"/>
        <w:ind w:firstLineChars="200" w:firstLine="624"/>
        <w:rPr>
          <w:rFonts w:eastAsia="楷体_GB2312"/>
          <w:spacing w:val="-4"/>
          <w:sz w:val="32"/>
          <w:szCs w:val="32"/>
        </w:rPr>
      </w:pPr>
      <w:r>
        <w:rPr>
          <w:rFonts w:eastAsia="楷体_GB2312"/>
          <w:spacing w:val="-4"/>
          <w:sz w:val="32"/>
          <w:szCs w:val="32"/>
        </w:rPr>
        <w:t>《中关村东城园构建高精尖产业用地管理办法》已经</w:t>
      </w:r>
      <w:r>
        <w:rPr>
          <w:rFonts w:eastAsia="楷体_GB2312"/>
          <w:spacing w:val="-4"/>
          <w:sz w:val="32"/>
          <w:szCs w:val="32"/>
        </w:rPr>
        <w:t>2018</w:t>
      </w:r>
      <w:r>
        <w:rPr>
          <w:rFonts w:eastAsia="楷体_GB2312"/>
          <w:spacing w:val="-4"/>
          <w:sz w:val="32"/>
          <w:szCs w:val="32"/>
        </w:rPr>
        <w:t>年</w:t>
      </w:r>
      <w:r>
        <w:rPr>
          <w:rFonts w:eastAsia="楷体_GB2312"/>
          <w:spacing w:val="-4"/>
          <w:sz w:val="32"/>
          <w:szCs w:val="32"/>
        </w:rPr>
        <w:t>11</w:t>
      </w:r>
      <w:r>
        <w:rPr>
          <w:rFonts w:eastAsia="楷体_GB2312"/>
          <w:spacing w:val="-4"/>
          <w:sz w:val="32"/>
          <w:szCs w:val="32"/>
        </w:rPr>
        <w:t>月</w:t>
      </w:r>
      <w:r>
        <w:rPr>
          <w:rFonts w:eastAsia="楷体_GB2312"/>
          <w:spacing w:val="-4"/>
          <w:sz w:val="32"/>
          <w:szCs w:val="32"/>
        </w:rPr>
        <w:t>5</w:t>
      </w:r>
      <w:r>
        <w:rPr>
          <w:rFonts w:eastAsia="楷体_GB2312"/>
          <w:spacing w:val="-4"/>
          <w:sz w:val="32"/>
          <w:szCs w:val="32"/>
        </w:rPr>
        <w:t>日第</w:t>
      </w:r>
      <w:r>
        <w:rPr>
          <w:rFonts w:eastAsia="楷体_GB2312"/>
          <w:spacing w:val="-4"/>
          <w:sz w:val="32"/>
          <w:szCs w:val="32"/>
        </w:rPr>
        <w:t>53</w:t>
      </w:r>
      <w:r>
        <w:rPr>
          <w:rFonts w:eastAsia="楷体_GB2312"/>
          <w:spacing w:val="-4"/>
          <w:sz w:val="32"/>
          <w:szCs w:val="32"/>
        </w:rPr>
        <w:t>次区政府常务会议审议通过。现印发给你们，请认真贯彻执行。</w:t>
      </w:r>
    </w:p>
    <w:p w:rsidR="00000000" w:rsidRDefault="00072271">
      <w:pPr>
        <w:spacing w:line="480" w:lineRule="exact"/>
        <w:ind w:firstLineChars="200" w:firstLine="624"/>
        <w:rPr>
          <w:rFonts w:eastAsia="楷体_GB2312"/>
          <w:spacing w:val="-4"/>
          <w:sz w:val="32"/>
          <w:szCs w:val="32"/>
        </w:rPr>
      </w:pPr>
    </w:p>
    <w:p w:rsidR="00000000" w:rsidRDefault="00072271">
      <w:pPr>
        <w:spacing w:line="480" w:lineRule="exact"/>
        <w:ind w:firstLineChars="200" w:firstLine="624"/>
        <w:rPr>
          <w:rFonts w:eastAsia="楷体_GB2312"/>
          <w:spacing w:val="-4"/>
          <w:sz w:val="32"/>
          <w:szCs w:val="32"/>
        </w:rPr>
      </w:pPr>
    </w:p>
    <w:p w:rsidR="00000000" w:rsidRDefault="00072271">
      <w:pPr>
        <w:spacing w:line="540" w:lineRule="exact"/>
        <w:ind w:rightChars="296" w:right="622" w:firstLineChars="200" w:firstLine="624"/>
        <w:jc w:val="right"/>
        <w:rPr>
          <w:rFonts w:eastAsia="楷体_GB2312"/>
          <w:spacing w:val="-4"/>
          <w:sz w:val="32"/>
          <w:szCs w:val="32"/>
        </w:rPr>
      </w:pPr>
      <w:r>
        <w:rPr>
          <w:rFonts w:eastAsia="楷体_GB2312"/>
          <w:spacing w:val="-4"/>
          <w:sz w:val="32"/>
          <w:szCs w:val="32"/>
        </w:rPr>
        <w:t>北京市东城区人民政府</w:t>
      </w:r>
    </w:p>
    <w:p w:rsidR="00000000" w:rsidRDefault="00072271">
      <w:pPr>
        <w:spacing w:line="540" w:lineRule="exact"/>
        <w:ind w:rightChars="498" w:right="1046" w:firstLineChars="200" w:firstLine="624"/>
        <w:jc w:val="right"/>
        <w:rPr>
          <w:rFonts w:eastAsia="楷体_GB2312"/>
          <w:spacing w:val="-4"/>
          <w:sz w:val="32"/>
          <w:szCs w:val="32"/>
        </w:rPr>
      </w:pPr>
      <w:r>
        <w:rPr>
          <w:rFonts w:eastAsia="楷体_GB2312"/>
          <w:spacing w:val="-4"/>
          <w:sz w:val="32"/>
          <w:szCs w:val="32"/>
        </w:rPr>
        <w:t>2018</w:t>
      </w:r>
      <w:r>
        <w:rPr>
          <w:rFonts w:eastAsia="楷体_GB2312"/>
          <w:spacing w:val="-4"/>
          <w:sz w:val="32"/>
          <w:szCs w:val="32"/>
        </w:rPr>
        <w:t>年</w:t>
      </w:r>
      <w:r>
        <w:rPr>
          <w:rFonts w:eastAsia="楷体_GB2312"/>
          <w:spacing w:val="-4"/>
          <w:sz w:val="32"/>
          <w:szCs w:val="32"/>
        </w:rPr>
        <w:t>1</w:t>
      </w:r>
      <w:r>
        <w:rPr>
          <w:rFonts w:eastAsia="楷体_GB2312" w:hint="eastAsia"/>
          <w:spacing w:val="-4"/>
          <w:sz w:val="32"/>
          <w:szCs w:val="32"/>
        </w:rPr>
        <w:t>2</w:t>
      </w:r>
      <w:r>
        <w:rPr>
          <w:rFonts w:eastAsia="楷体_GB2312"/>
          <w:spacing w:val="-4"/>
          <w:sz w:val="32"/>
          <w:szCs w:val="32"/>
        </w:rPr>
        <w:t>月</w:t>
      </w:r>
      <w:r>
        <w:rPr>
          <w:rFonts w:eastAsia="楷体_GB2312"/>
          <w:spacing w:val="-4"/>
          <w:sz w:val="32"/>
          <w:szCs w:val="32"/>
        </w:rPr>
        <w:t xml:space="preserve"> </w:t>
      </w:r>
      <w:r>
        <w:rPr>
          <w:rFonts w:eastAsia="楷体_GB2312" w:hint="eastAsia"/>
          <w:spacing w:val="-4"/>
          <w:sz w:val="32"/>
          <w:szCs w:val="32"/>
        </w:rPr>
        <w:t>3</w:t>
      </w:r>
      <w:r>
        <w:rPr>
          <w:rFonts w:eastAsia="楷体_GB2312"/>
          <w:spacing w:val="-4"/>
          <w:sz w:val="32"/>
          <w:szCs w:val="32"/>
        </w:rPr>
        <w:t>日</w:t>
      </w:r>
    </w:p>
    <w:p w:rsidR="00000000" w:rsidRDefault="00072271">
      <w:pPr>
        <w:spacing w:line="480" w:lineRule="exact"/>
        <w:ind w:firstLineChars="200" w:firstLine="624"/>
        <w:rPr>
          <w:rFonts w:eastAsia="楷体_GB2312" w:hint="eastAsia"/>
          <w:spacing w:val="-4"/>
          <w:sz w:val="32"/>
          <w:szCs w:val="32"/>
        </w:rPr>
      </w:pPr>
      <w:r>
        <w:rPr>
          <w:rFonts w:eastAsia="楷体_GB2312" w:hint="eastAsia"/>
          <w:spacing w:val="-4"/>
          <w:sz w:val="32"/>
          <w:szCs w:val="32"/>
        </w:rPr>
        <w:t>（此件公开发布）</w:t>
      </w:r>
    </w:p>
    <w:p w:rsidR="00000000" w:rsidRDefault="00072271">
      <w:pPr>
        <w:spacing w:line="680" w:lineRule="exact"/>
        <w:jc w:val="center"/>
        <w:rPr>
          <w:rFonts w:eastAsia="方正小标宋简体" w:hint="eastAsia"/>
          <w:sz w:val="44"/>
          <w:szCs w:val="44"/>
        </w:rPr>
      </w:pPr>
      <w:r>
        <w:rPr>
          <w:rFonts w:eastAsia="方正小标宋简体" w:hint="eastAsia"/>
          <w:sz w:val="44"/>
          <w:szCs w:val="44"/>
        </w:rPr>
        <w:t>中关村东城园构建高精尖</w:t>
      </w:r>
    </w:p>
    <w:p w:rsidR="00000000" w:rsidRDefault="00072271">
      <w:pPr>
        <w:spacing w:line="680" w:lineRule="exact"/>
        <w:jc w:val="center"/>
        <w:rPr>
          <w:rFonts w:eastAsia="方正小标宋简体"/>
          <w:sz w:val="44"/>
          <w:szCs w:val="44"/>
        </w:rPr>
      </w:pPr>
      <w:r>
        <w:rPr>
          <w:rFonts w:eastAsia="方正小标宋简体" w:hint="eastAsia"/>
          <w:sz w:val="44"/>
          <w:szCs w:val="44"/>
        </w:rPr>
        <w:t>产业用地管理办法</w:t>
      </w:r>
    </w:p>
    <w:p w:rsidR="00000000" w:rsidRDefault="00072271">
      <w:pPr>
        <w:spacing w:line="590" w:lineRule="exact"/>
        <w:ind w:firstLineChars="200" w:firstLine="624"/>
        <w:rPr>
          <w:rFonts w:eastAsia="仿宋_GB2312" w:hint="eastAsia"/>
          <w:spacing w:val="-4"/>
          <w:sz w:val="32"/>
          <w:szCs w:val="32"/>
        </w:rPr>
      </w:pPr>
    </w:p>
    <w:p w:rsidR="00000000" w:rsidRDefault="00072271">
      <w:pPr>
        <w:spacing w:line="560" w:lineRule="exact"/>
        <w:ind w:firstLineChars="200" w:firstLine="624"/>
        <w:rPr>
          <w:rFonts w:eastAsia="仿宋_GB2312"/>
          <w:spacing w:val="-4"/>
          <w:sz w:val="32"/>
          <w:szCs w:val="32"/>
        </w:rPr>
      </w:pPr>
      <w:r>
        <w:rPr>
          <w:rFonts w:eastAsia="仿宋_GB2312" w:hint="eastAsia"/>
          <w:spacing w:val="-4"/>
          <w:sz w:val="32"/>
          <w:szCs w:val="32"/>
        </w:rPr>
        <w:t>为了最大限度地提高核心区宝贵稀缺土地资源的效益，加快构建中关村东城园高精尖经</w:t>
      </w:r>
      <w:r>
        <w:rPr>
          <w:rFonts w:eastAsia="仿宋_GB2312" w:hint="eastAsia"/>
          <w:spacing w:val="-4"/>
          <w:sz w:val="32"/>
          <w:szCs w:val="32"/>
        </w:rPr>
        <w:t>济结构，依据《北京市人民政府关于加快科技创新构建高精尖经济结构用地政策的意见（试行）》（京政发</w:t>
      </w:r>
      <w:r>
        <w:rPr>
          <w:rFonts w:ascii="仿宋_GB2312" w:eastAsia="仿宋_GB2312" w:hint="eastAsia"/>
          <w:spacing w:val="-4"/>
          <w:sz w:val="32"/>
          <w:szCs w:val="32"/>
        </w:rPr>
        <w:t>〔</w:t>
      </w:r>
      <w:r>
        <w:rPr>
          <w:rFonts w:eastAsia="仿宋_GB2312" w:hint="eastAsia"/>
          <w:spacing w:val="-4"/>
          <w:sz w:val="32"/>
          <w:szCs w:val="32"/>
        </w:rPr>
        <w:t>2017</w:t>
      </w:r>
      <w:r>
        <w:rPr>
          <w:rFonts w:ascii="仿宋_GB2312" w:eastAsia="仿宋_GB2312" w:hint="eastAsia"/>
          <w:spacing w:val="-4"/>
          <w:sz w:val="32"/>
          <w:szCs w:val="32"/>
        </w:rPr>
        <w:t>〕</w:t>
      </w:r>
      <w:r>
        <w:rPr>
          <w:rFonts w:eastAsia="仿宋_GB2312" w:hint="eastAsia"/>
          <w:spacing w:val="-4"/>
          <w:sz w:val="32"/>
          <w:szCs w:val="32"/>
        </w:rPr>
        <w:t>39</w:t>
      </w:r>
      <w:r>
        <w:rPr>
          <w:rFonts w:eastAsia="仿宋_GB2312" w:hint="eastAsia"/>
          <w:spacing w:val="-4"/>
          <w:sz w:val="32"/>
          <w:szCs w:val="32"/>
        </w:rPr>
        <w:t>号），特制定本管理办法。</w:t>
      </w:r>
    </w:p>
    <w:p w:rsidR="00000000" w:rsidRDefault="00072271">
      <w:pPr>
        <w:spacing w:line="560" w:lineRule="exact"/>
        <w:ind w:firstLineChars="200" w:firstLine="624"/>
        <w:rPr>
          <w:rFonts w:eastAsia="仿宋_GB2312" w:hint="eastAsia"/>
          <w:spacing w:val="-4"/>
          <w:sz w:val="32"/>
          <w:szCs w:val="32"/>
        </w:rPr>
      </w:pPr>
      <w:r>
        <w:rPr>
          <w:rFonts w:ascii="黑体" w:eastAsia="黑体" w:hAnsi="黑体" w:hint="eastAsia"/>
          <w:spacing w:val="-4"/>
          <w:sz w:val="32"/>
          <w:szCs w:val="32"/>
        </w:rPr>
        <w:t>一、指导思想。</w:t>
      </w:r>
      <w:r>
        <w:rPr>
          <w:rFonts w:eastAsia="仿宋_GB2312" w:hint="eastAsia"/>
          <w:spacing w:val="-4"/>
          <w:sz w:val="32"/>
          <w:szCs w:val="32"/>
        </w:rPr>
        <w:t>深入贯彻党的十九大精神，全面落实市委市政府决策部署，深化供给侧结构性改革，有效利用核心区土地资源，构建中关村东城园高精尖经济结构，推动中关村东城园高质量发展。</w:t>
      </w:r>
    </w:p>
    <w:p w:rsidR="00000000" w:rsidRDefault="00072271">
      <w:pPr>
        <w:spacing w:line="560" w:lineRule="exact"/>
        <w:ind w:firstLineChars="200" w:firstLine="624"/>
        <w:rPr>
          <w:rFonts w:eastAsia="仿宋_GB2312" w:hint="eastAsia"/>
          <w:spacing w:val="-4"/>
          <w:sz w:val="32"/>
          <w:szCs w:val="32"/>
        </w:rPr>
      </w:pPr>
      <w:r>
        <w:rPr>
          <w:rFonts w:ascii="黑体" w:eastAsia="黑体" w:hAnsi="黑体" w:hint="eastAsia"/>
          <w:spacing w:val="-4"/>
          <w:sz w:val="32"/>
          <w:szCs w:val="32"/>
        </w:rPr>
        <w:t>二、基本原则。</w:t>
      </w:r>
      <w:r>
        <w:rPr>
          <w:rFonts w:eastAsia="仿宋_GB2312" w:hint="eastAsia"/>
          <w:spacing w:val="-4"/>
          <w:sz w:val="32"/>
          <w:szCs w:val="32"/>
        </w:rPr>
        <w:t>按照“规划确定用途、产业方向确定供应条件、市场确定供应价格、用地主体一视同仁”的原则，组织高精尖企业优先落户，依法供应园区产业用地。</w:t>
      </w:r>
    </w:p>
    <w:p w:rsidR="00000000" w:rsidRDefault="00072271">
      <w:pPr>
        <w:spacing w:line="560" w:lineRule="exact"/>
        <w:ind w:firstLineChars="200" w:firstLine="624"/>
        <w:rPr>
          <w:rFonts w:eastAsia="仿宋_GB2312" w:hint="eastAsia"/>
          <w:spacing w:val="-4"/>
          <w:sz w:val="32"/>
          <w:szCs w:val="32"/>
        </w:rPr>
      </w:pPr>
      <w:r>
        <w:rPr>
          <w:rFonts w:ascii="黑体" w:eastAsia="黑体" w:hAnsi="黑体" w:hint="eastAsia"/>
          <w:spacing w:val="-4"/>
          <w:sz w:val="32"/>
          <w:szCs w:val="32"/>
        </w:rPr>
        <w:t>三、适用范围。</w:t>
      </w:r>
      <w:r>
        <w:rPr>
          <w:rFonts w:eastAsia="仿宋_GB2312" w:hint="eastAsia"/>
          <w:spacing w:val="-4"/>
          <w:sz w:val="32"/>
          <w:szCs w:val="32"/>
        </w:rPr>
        <w:t>本管理办法适用于中关村国家自主创新示范区</w:t>
      </w:r>
      <w:r>
        <w:rPr>
          <w:rFonts w:eastAsia="仿宋_GB2312" w:hint="eastAsia"/>
          <w:spacing w:val="-4"/>
          <w:sz w:val="32"/>
          <w:szCs w:val="32"/>
        </w:rPr>
        <w:t>中关村东城园。</w:t>
      </w:r>
    </w:p>
    <w:p w:rsidR="00000000" w:rsidRDefault="00072271">
      <w:pPr>
        <w:spacing w:line="560" w:lineRule="exact"/>
        <w:ind w:firstLineChars="200" w:firstLine="624"/>
        <w:rPr>
          <w:rFonts w:eastAsia="仿宋_GB2312"/>
          <w:spacing w:val="-4"/>
          <w:sz w:val="32"/>
          <w:szCs w:val="32"/>
        </w:rPr>
      </w:pPr>
      <w:r>
        <w:rPr>
          <w:rFonts w:ascii="黑体" w:eastAsia="黑体" w:hAnsi="黑体" w:hint="eastAsia"/>
          <w:spacing w:val="-4"/>
          <w:sz w:val="32"/>
          <w:szCs w:val="32"/>
        </w:rPr>
        <w:t>四、产业发展方向要求。</w:t>
      </w:r>
      <w:r>
        <w:rPr>
          <w:rFonts w:eastAsia="仿宋_GB2312" w:hint="eastAsia"/>
          <w:spacing w:val="-4"/>
          <w:sz w:val="32"/>
          <w:szCs w:val="32"/>
        </w:rPr>
        <w:t>按照北京市、东城区、中关村东城园构建高精尖经济结构要求，申请用地企业从事业务应属于信息服务业、文化产业、体育健康产业、金融服务业、商务服务业和科技服务业范畴。</w:t>
      </w:r>
    </w:p>
    <w:p w:rsidR="00000000" w:rsidRDefault="00072271">
      <w:pPr>
        <w:spacing w:line="56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五、供地前置条件</w:t>
      </w:r>
    </w:p>
    <w:p w:rsidR="00000000" w:rsidRDefault="00072271">
      <w:pPr>
        <w:spacing w:line="560" w:lineRule="exact"/>
        <w:ind w:firstLineChars="200" w:firstLine="624"/>
        <w:rPr>
          <w:rFonts w:eastAsia="仿宋_GB2312" w:hint="eastAsia"/>
          <w:spacing w:val="-4"/>
          <w:sz w:val="32"/>
          <w:szCs w:val="32"/>
        </w:rPr>
      </w:pPr>
      <w:r>
        <w:rPr>
          <w:rFonts w:eastAsia="仿宋_GB2312" w:hint="eastAsia"/>
          <w:spacing w:val="-4"/>
          <w:sz w:val="32"/>
          <w:szCs w:val="32"/>
        </w:rPr>
        <w:t>（一）申请主体收入应能计入中关村东城园。</w:t>
      </w:r>
    </w:p>
    <w:p w:rsidR="00000000" w:rsidRDefault="00072271">
      <w:pPr>
        <w:spacing w:line="580" w:lineRule="exact"/>
        <w:ind w:firstLineChars="200" w:firstLine="624"/>
        <w:rPr>
          <w:rFonts w:eastAsia="仿宋_GB2312"/>
          <w:spacing w:val="-4"/>
          <w:sz w:val="32"/>
          <w:szCs w:val="32"/>
        </w:rPr>
      </w:pPr>
      <w:r>
        <w:rPr>
          <w:rFonts w:eastAsia="仿宋_GB2312" w:hint="eastAsia"/>
          <w:spacing w:val="-4"/>
          <w:sz w:val="32"/>
          <w:szCs w:val="32"/>
        </w:rPr>
        <w:t>（二）申请企业必须达到单位面积营业收入、人均营业收入、单位面积全口径税收、单位面积区级税收、人均全口径税收、人均区级税收、收入利润率、万元</w:t>
      </w:r>
      <w:r>
        <w:rPr>
          <w:rFonts w:eastAsia="仿宋_GB2312" w:hint="eastAsia"/>
          <w:spacing w:val="-4"/>
          <w:sz w:val="32"/>
          <w:szCs w:val="32"/>
        </w:rPr>
        <w:t>GDP</w:t>
      </w:r>
      <w:r>
        <w:rPr>
          <w:rFonts w:eastAsia="仿宋_GB2312" w:hint="eastAsia"/>
          <w:spacing w:val="-4"/>
          <w:sz w:val="32"/>
          <w:szCs w:val="32"/>
        </w:rPr>
        <w:t>能耗等中关村东城园产业准入量化指标要求。</w:t>
      </w:r>
    </w:p>
    <w:p w:rsidR="00000000" w:rsidRDefault="00072271">
      <w:pPr>
        <w:spacing w:line="58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六、供地及用地方式</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（一）以租赁方式取得园区产业用地。经市、区政府向</w:t>
      </w:r>
      <w:r>
        <w:rPr>
          <w:rFonts w:eastAsia="仿宋_GB2312" w:hint="eastAsia"/>
          <w:spacing w:val="-4"/>
          <w:sz w:val="32"/>
          <w:szCs w:val="32"/>
        </w:rPr>
        <w:t>园区开发企业授权后，入园企业可以依法向园区开发企业承租中关村东城园产业用地，但不得转让。租赁土地最长期限不超过</w:t>
      </w:r>
      <w:r>
        <w:rPr>
          <w:rFonts w:eastAsia="仿宋_GB2312" w:hint="eastAsia"/>
          <w:spacing w:val="-4"/>
          <w:sz w:val="32"/>
          <w:szCs w:val="32"/>
        </w:rPr>
        <w:t>15</w:t>
      </w:r>
      <w:r>
        <w:rPr>
          <w:rFonts w:eastAsia="仿宋_GB2312" w:hint="eastAsia"/>
          <w:spacing w:val="-4"/>
          <w:sz w:val="32"/>
          <w:szCs w:val="32"/>
        </w:rPr>
        <w:t>年。产业用地租金实行年租制，年租金由中关村东城园管委会根据园区土地成本收益和产业引导政策提出，报东城区政府批准。</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（二）以出让方式取得园区土地使用权。实行弹性年期出让，出让年限最长</w:t>
      </w:r>
      <w:r>
        <w:rPr>
          <w:rFonts w:eastAsia="仿宋_GB2312" w:hint="eastAsia"/>
          <w:spacing w:val="-4"/>
          <w:sz w:val="32"/>
          <w:szCs w:val="32"/>
        </w:rPr>
        <w:t>20</w:t>
      </w:r>
      <w:r>
        <w:rPr>
          <w:rFonts w:eastAsia="仿宋_GB2312" w:hint="eastAsia"/>
          <w:spacing w:val="-4"/>
          <w:sz w:val="32"/>
          <w:szCs w:val="32"/>
        </w:rPr>
        <w:t>年。但国家和市、区重大产业项目，经批准后可适当延长，最长出让年限不得超过土地使用权出让用途法定最高年限。</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（三）园区开发企业自建并持有产业用房方式。园区开发企业可以将自行建设并持有的产业用房及其各项配套服务用房出租</w:t>
      </w:r>
      <w:r>
        <w:rPr>
          <w:rFonts w:eastAsia="仿宋_GB2312" w:hint="eastAsia"/>
          <w:spacing w:val="-4"/>
          <w:sz w:val="32"/>
          <w:szCs w:val="32"/>
        </w:rPr>
        <w:t>给申请企业，但不得整体或分割销售，也不得转让公司股权。</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四）园区企业可采取与园区开发企业共有建设用地使用权方式依法使用中关村东城园土地。为降低园区终端用户土地使用成本，在园区企业依法通过招拍挂取得土地使用权时，东城区政府在设置土地供应条件中可以通过园区开发企业占有地块土地使用权一定比例的方式承担相应费用、与园区企业共有地块土地使用权，以分担园区企业依法取得土地使用权时发生的费用支出。</w:t>
      </w:r>
    </w:p>
    <w:p w:rsidR="00000000" w:rsidRDefault="00072271">
      <w:pPr>
        <w:spacing w:line="56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七、使用园区土地的建筑权属</w:t>
      </w:r>
    </w:p>
    <w:p w:rsidR="00000000" w:rsidRDefault="00072271">
      <w:pPr>
        <w:spacing w:line="560" w:lineRule="exact"/>
        <w:ind w:firstLineChars="200" w:firstLine="624"/>
        <w:rPr>
          <w:rFonts w:eastAsia="仿宋_GB2312" w:hint="eastAsia"/>
          <w:spacing w:val="-4"/>
          <w:sz w:val="32"/>
          <w:szCs w:val="32"/>
        </w:rPr>
      </w:pPr>
      <w:r>
        <w:rPr>
          <w:rFonts w:eastAsia="仿宋_GB2312" w:hint="eastAsia"/>
          <w:spacing w:val="-4"/>
          <w:sz w:val="32"/>
          <w:szCs w:val="32"/>
        </w:rPr>
        <w:t>根据中关村东城园规划，入园企业可在土地承租期或土地使用权出让期内，依法建设生产经营设施，该设施</w:t>
      </w:r>
      <w:r>
        <w:rPr>
          <w:rFonts w:eastAsia="仿宋_GB2312" w:hint="eastAsia"/>
          <w:spacing w:val="-4"/>
          <w:sz w:val="32"/>
          <w:szCs w:val="32"/>
        </w:rPr>
        <w:t>在土地承租期或土地使用权出让期内属投资企业所有。</w:t>
      </w:r>
    </w:p>
    <w:p w:rsidR="00000000" w:rsidRDefault="00072271">
      <w:pPr>
        <w:spacing w:line="56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八、届满续期手续</w:t>
      </w:r>
    </w:p>
    <w:p w:rsidR="00000000" w:rsidRDefault="00072271">
      <w:pPr>
        <w:spacing w:line="560" w:lineRule="exact"/>
        <w:ind w:firstLineChars="200" w:firstLine="624"/>
        <w:rPr>
          <w:rFonts w:eastAsia="仿宋_GB2312" w:hint="eastAsia"/>
          <w:spacing w:val="-4"/>
          <w:sz w:val="32"/>
          <w:szCs w:val="32"/>
        </w:rPr>
      </w:pPr>
      <w:r>
        <w:rPr>
          <w:rFonts w:eastAsia="仿宋_GB2312" w:hint="eastAsia"/>
          <w:spacing w:val="-4"/>
          <w:sz w:val="32"/>
          <w:szCs w:val="32"/>
        </w:rPr>
        <w:t>土地使用期限届满，入园企业需继续使用土地的，应当最迟于届满前一年申请续期，如符合园区发展规划和产业用地要求，应当重新依法办理供地租地手续。对于未申请续期及申请续期根据社会公共利益需要未予批准的，中关村东城园管委会等有关部门依照区政府授权依法办理退出手续，收回建设承租土地或建设用地使用权。</w:t>
      </w:r>
    </w:p>
    <w:p w:rsidR="00000000" w:rsidRDefault="00072271">
      <w:pPr>
        <w:spacing w:line="56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九、用地退出补偿</w:t>
      </w:r>
    </w:p>
    <w:p w:rsidR="00000000" w:rsidRDefault="00072271">
      <w:pPr>
        <w:spacing w:line="560" w:lineRule="exact"/>
        <w:ind w:firstLineChars="200" w:firstLine="624"/>
        <w:rPr>
          <w:rFonts w:eastAsia="仿宋_GB2312" w:hint="eastAsia"/>
          <w:spacing w:val="-4"/>
          <w:sz w:val="32"/>
          <w:szCs w:val="32"/>
        </w:rPr>
      </w:pPr>
      <w:r>
        <w:rPr>
          <w:rFonts w:eastAsia="仿宋_GB2312" w:hint="eastAsia"/>
          <w:spacing w:val="-4"/>
          <w:sz w:val="32"/>
          <w:szCs w:val="32"/>
        </w:rPr>
        <w:t>（一）东城区政府提前收回承租土地的，对地上可继续使用的建筑物，应按重置价格结合成新程度评估确定补偿价格。</w:t>
      </w:r>
    </w:p>
    <w:p w:rsidR="00000000" w:rsidRDefault="00072271">
      <w:pPr>
        <w:spacing w:line="560" w:lineRule="exact"/>
        <w:ind w:firstLineChars="200" w:firstLine="624"/>
        <w:rPr>
          <w:rFonts w:eastAsia="仿宋_GB2312" w:hint="eastAsia"/>
          <w:spacing w:val="-4"/>
          <w:sz w:val="32"/>
          <w:szCs w:val="32"/>
        </w:rPr>
      </w:pPr>
      <w:r>
        <w:rPr>
          <w:rFonts w:eastAsia="仿宋_GB2312" w:hint="eastAsia"/>
          <w:spacing w:val="-4"/>
          <w:sz w:val="32"/>
          <w:szCs w:val="32"/>
        </w:rPr>
        <w:t>（二）入园企业提前退出建设用地</w:t>
      </w:r>
      <w:r>
        <w:rPr>
          <w:rFonts w:eastAsia="仿宋_GB2312" w:hint="eastAsia"/>
          <w:spacing w:val="-4"/>
          <w:sz w:val="32"/>
          <w:szCs w:val="32"/>
        </w:rPr>
        <w:t>使用权的，有关部门按约定返还其已缴纳的剩余年期土地出让价款；对地上可继续使用的建筑物，按重置价格结合成新程度评估确定补偿价格。</w:t>
      </w:r>
    </w:p>
    <w:p w:rsidR="00000000" w:rsidRDefault="00072271">
      <w:pPr>
        <w:spacing w:line="560" w:lineRule="exact"/>
        <w:ind w:firstLineChars="200" w:firstLine="624"/>
        <w:rPr>
          <w:rFonts w:eastAsia="仿宋_GB2312"/>
          <w:spacing w:val="-4"/>
          <w:sz w:val="32"/>
          <w:szCs w:val="32"/>
        </w:rPr>
      </w:pPr>
      <w:r>
        <w:rPr>
          <w:rFonts w:eastAsia="仿宋_GB2312" w:hint="eastAsia"/>
          <w:spacing w:val="-4"/>
          <w:sz w:val="32"/>
          <w:szCs w:val="32"/>
        </w:rPr>
        <w:t>（三）东城区政府收回出让的土地使用权的，应依法进行评估，按照入园企业取得土地使用权时缴纳的费用合理确定补偿价格；对地上可继续使用的建筑物，按重置价格结合成新程度评估确定补偿价格。</w:t>
      </w:r>
    </w:p>
    <w:p w:rsidR="00000000" w:rsidRDefault="00072271">
      <w:pPr>
        <w:spacing w:line="56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十、土地使用要求</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（一）签订供地合同前，申请企业必须与中关村东城园管委会签订履约监管协议书，作为用地合同的附件。履约监管协议书包括约定退出条款，明确申请企业运营后未达到准入条件的监管处理措施，以及企业自身</w:t>
      </w:r>
      <w:r>
        <w:rPr>
          <w:rFonts w:eastAsia="仿宋_GB2312" w:hint="eastAsia"/>
          <w:spacing w:val="-4"/>
          <w:sz w:val="32"/>
          <w:szCs w:val="32"/>
        </w:rPr>
        <w:t>原因无法开发建设或运营的退出方式。</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（二）未经批准，不得改变土地用途。</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三）除市政府审核批准的专业园、公共服务平台、孵化器运营机构可将依法自持建设用地使用权的土地或建设的产业用房出租给入园企业外，其他入园企业严禁以任何形式将园区出让或出租的土地及地上房屋进行转让、销售、出租；对擅自改变土地用途、变相进行房地产开发等的，由中关村东城园管委会提请有关部门按照法律法规和履约监管协议书进行处置。</w:t>
      </w:r>
    </w:p>
    <w:p w:rsidR="00000000" w:rsidRDefault="00072271">
      <w:pPr>
        <w:spacing w:line="58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十一、监督管理要求</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（一）中关村东城园管委会定期监测评估产业项目准入、运营等情况评估，公开执行情况，接受社会监督。</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w:t>
      </w:r>
      <w:r>
        <w:rPr>
          <w:rFonts w:eastAsia="仿宋_GB2312" w:hint="eastAsia"/>
          <w:spacing w:val="-4"/>
          <w:sz w:val="32"/>
          <w:szCs w:val="32"/>
        </w:rPr>
        <w:t>二）中关村东城园管委会建立企业用地信用台账，对违反用地合同和履约监管协议书的失信企业列入黑名单，限制其取得政府供应的土地。</w:t>
      </w:r>
    </w:p>
    <w:p w:rsidR="00000000" w:rsidRDefault="00072271">
      <w:pPr>
        <w:spacing w:line="580" w:lineRule="exact"/>
        <w:ind w:firstLineChars="200" w:firstLine="624"/>
        <w:rPr>
          <w:rFonts w:ascii="黑体" w:eastAsia="黑体" w:hAnsi="黑体" w:hint="eastAsia"/>
          <w:spacing w:val="-4"/>
          <w:sz w:val="32"/>
          <w:szCs w:val="32"/>
        </w:rPr>
      </w:pPr>
      <w:r>
        <w:rPr>
          <w:rFonts w:ascii="黑体" w:eastAsia="黑体" w:hAnsi="黑体" w:hint="eastAsia"/>
          <w:spacing w:val="-4"/>
          <w:sz w:val="32"/>
          <w:szCs w:val="32"/>
        </w:rPr>
        <w:t>十二、保障措施</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（一）成立由中关村东城园管委会、东城规土分局、区发改委、区产促局组成的联合工作组，定期协商，共同推进中关村东城园土地利用。</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（二）编制中关村东城园高精尖产业用地全生命周期管理工作流程图。</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（三）摸清中关村东城园区内用地情况，建立可用于产业发展的土地资源台账。</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（四）研究制定中关村东城园产业准入清单，明确入园企业准入条件、产业类型、投资强度、产出效率（含地均产出）、创新能</w:t>
      </w:r>
      <w:r>
        <w:rPr>
          <w:rFonts w:eastAsia="仿宋_GB2312" w:hint="eastAsia"/>
          <w:spacing w:val="-4"/>
          <w:sz w:val="32"/>
          <w:szCs w:val="32"/>
        </w:rPr>
        <w:t>力、节能环保等要求。</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（五）依据新版总规控制性详细规划要求，制定中关村东城园空间规划和产业发展规划。</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（六）东城规土分局负责提出中关村东城园产业用地年度计划，并列入全市年度土地供应计划。</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（七）中关村东城园管委会研究提出租赁产业用地年租金标准并报东城区政府批准。</w:t>
      </w:r>
    </w:p>
    <w:p w:rsidR="00000000" w:rsidRDefault="00072271">
      <w:pPr>
        <w:spacing w:line="580" w:lineRule="exact"/>
        <w:ind w:firstLineChars="200" w:firstLine="624"/>
        <w:rPr>
          <w:rFonts w:eastAsia="仿宋_GB2312" w:hint="eastAsia"/>
          <w:spacing w:val="-4"/>
          <w:sz w:val="32"/>
          <w:szCs w:val="32"/>
        </w:rPr>
      </w:pPr>
      <w:r>
        <w:rPr>
          <w:rFonts w:eastAsia="仿宋_GB2312" w:hint="eastAsia"/>
          <w:spacing w:val="-4"/>
          <w:sz w:val="32"/>
          <w:szCs w:val="32"/>
        </w:rPr>
        <w:t>（八）中关村东城园管委会根据土地整理情况及时向社会发布拟提供的高精尖产业用地信息。</w:t>
      </w:r>
    </w:p>
    <w:p w:rsidR="00000000" w:rsidRDefault="00072271">
      <w:pPr>
        <w:spacing w:line="580" w:lineRule="exact"/>
        <w:ind w:firstLineChars="200" w:firstLine="624"/>
        <w:rPr>
          <w:rFonts w:eastAsia="仿宋_GB2312"/>
          <w:spacing w:val="-4"/>
          <w:sz w:val="32"/>
          <w:szCs w:val="32"/>
        </w:rPr>
      </w:pPr>
      <w:r>
        <w:rPr>
          <w:rFonts w:eastAsia="仿宋_GB2312" w:hint="eastAsia"/>
          <w:spacing w:val="-4"/>
          <w:sz w:val="32"/>
          <w:szCs w:val="32"/>
        </w:rPr>
        <w:t>（九）结合区属国有企业改革，明确园区运营公司，落实《北京市人民政府关于加快科技创新构建高精尖经济结构用地政策的意见（试行）》（京政发</w:t>
      </w:r>
      <w:r>
        <w:rPr>
          <w:rFonts w:ascii="仿宋_GB2312" w:eastAsia="仿宋_GB2312" w:hint="eastAsia"/>
          <w:spacing w:val="-4"/>
          <w:sz w:val="32"/>
          <w:szCs w:val="32"/>
        </w:rPr>
        <w:t>〔</w:t>
      </w:r>
      <w:r>
        <w:rPr>
          <w:rFonts w:eastAsia="仿宋_GB2312" w:hint="eastAsia"/>
          <w:spacing w:val="-4"/>
          <w:sz w:val="32"/>
          <w:szCs w:val="32"/>
        </w:rPr>
        <w:t>2017</w:t>
      </w:r>
      <w:r>
        <w:rPr>
          <w:rFonts w:ascii="仿宋_GB2312" w:eastAsia="仿宋_GB2312" w:hint="eastAsia"/>
          <w:spacing w:val="-4"/>
          <w:sz w:val="32"/>
          <w:szCs w:val="32"/>
        </w:rPr>
        <w:t>〕</w:t>
      </w:r>
      <w:r>
        <w:rPr>
          <w:rFonts w:eastAsia="仿宋_GB2312" w:hint="eastAsia"/>
          <w:spacing w:val="-4"/>
          <w:sz w:val="32"/>
          <w:szCs w:val="32"/>
        </w:rPr>
        <w:t>39</w:t>
      </w:r>
      <w:r>
        <w:rPr>
          <w:rFonts w:eastAsia="仿宋_GB2312" w:hint="eastAsia"/>
          <w:spacing w:val="-4"/>
          <w:sz w:val="32"/>
          <w:szCs w:val="32"/>
        </w:rPr>
        <w:t>号）文件运营主体</w:t>
      </w:r>
      <w:r>
        <w:rPr>
          <w:rFonts w:eastAsia="仿宋_GB2312" w:hint="eastAsia"/>
          <w:spacing w:val="-4"/>
          <w:sz w:val="32"/>
          <w:szCs w:val="32"/>
        </w:rPr>
        <w:t>。</w:t>
      </w:r>
    </w:p>
    <w:p w:rsidR="00000000" w:rsidRDefault="00072271">
      <w:pPr>
        <w:pBdr>
          <w:bottom w:val="single" w:sz="4" w:space="1" w:color="auto"/>
        </w:pBdr>
        <w:spacing w:line="590" w:lineRule="exact"/>
        <w:ind w:firstLineChars="200" w:firstLine="624"/>
        <w:rPr>
          <w:rFonts w:eastAsia="仿宋_GB2312" w:hint="eastAsia"/>
          <w:spacing w:val="-4"/>
          <w:sz w:val="32"/>
          <w:szCs w:val="32"/>
        </w:rPr>
      </w:pPr>
    </w:p>
    <w:p w:rsidR="00000000" w:rsidRDefault="00072271">
      <w:pPr>
        <w:pBdr>
          <w:bottom w:val="single" w:sz="4" w:space="1" w:color="auto"/>
        </w:pBdr>
        <w:spacing w:line="590" w:lineRule="exact"/>
        <w:ind w:firstLineChars="200" w:firstLine="624"/>
        <w:rPr>
          <w:rFonts w:eastAsia="仿宋_GB2312"/>
          <w:spacing w:val="-4"/>
          <w:sz w:val="32"/>
          <w:szCs w:val="32"/>
        </w:rPr>
      </w:pPr>
    </w:p>
    <w:p w:rsidR="00000000" w:rsidRDefault="00072271" w:rsidP="00072271">
      <w:pPr>
        <w:pStyle w:val="a4"/>
        <w:spacing w:line="590" w:lineRule="exact"/>
        <w:ind w:left="1069" w:right="341" w:hangingChars="393" w:hanging="1069"/>
        <w:rPr>
          <w:spacing w:val="-4"/>
          <w:szCs w:val="28"/>
        </w:rPr>
      </w:pPr>
      <w:r>
        <w:rPr>
          <w:spacing w:val="-4"/>
          <w:szCs w:val="28"/>
        </w:rPr>
        <w:t xml:space="preserve">  </w:t>
      </w:r>
      <w:r>
        <w:rPr>
          <w:spacing w:val="-4"/>
          <w:szCs w:val="28"/>
        </w:rPr>
        <w:t>抄送：</w:t>
      </w:r>
      <w:r>
        <w:rPr>
          <w:szCs w:val="28"/>
        </w:rPr>
        <w:t>区委各部门，区人大常委会办公室，区政协办公室，</w:t>
      </w:r>
      <w:r>
        <w:rPr>
          <w:spacing w:val="-4"/>
          <w:szCs w:val="28"/>
        </w:rPr>
        <w:t>区法院，区检察院，</w:t>
      </w:r>
      <w:r>
        <w:rPr>
          <w:rFonts w:hint="eastAsia"/>
          <w:spacing w:val="-4"/>
          <w:szCs w:val="28"/>
        </w:rPr>
        <w:t>区武装部，各人民团体</w:t>
      </w:r>
      <w:r>
        <w:rPr>
          <w:spacing w:val="-4"/>
          <w:szCs w:val="28"/>
        </w:rPr>
        <w:t>。</w:t>
      </w:r>
    </w:p>
    <w:p w:rsidR="00000000" w:rsidRDefault="00072271">
      <w:pPr>
        <w:pBdr>
          <w:top w:val="single" w:sz="4" w:space="1" w:color="auto"/>
          <w:bottom w:val="single" w:sz="4" w:space="1" w:color="auto"/>
        </w:pBdr>
        <w:spacing w:line="590" w:lineRule="exact"/>
        <w:ind w:firstLineChars="100" w:firstLine="272"/>
        <w:rPr>
          <w:rFonts w:eastAsia="仿宋_GB2312"/>
          <w:spacing w:val="-4"/>
          <w:sz w:val="28"/>
          <w:szCs w:val="28"/>
        </w:rPr>
      </w:pPr>
      <w:r>
        <w:rPr>
          <w:rFonts w:eastAsia="仿宋_GB2312"/>
          <w:spacing w:val="-4"/>
          <w:sz w:val="28"/>
          <w:szCs w:val="28"/>
        </w:rPr>
        <w:t>北京市东城区人民政府办公室</w:t>
      </w:r>
      <w:r>
        <w:rPr>
          <w:rFonts w:eastAsia="仿宋_GB2312"/>
          <w:spacing w:val="-4"/>
          <w:sz w:val="28"/>
          <w:szCs w:val="28"/>
        </w:rPr>
        <w:t xml:space="preserve">  </w:t>
      </w:r>
      <w:r>
        <w:rPr>
          <w:rFonts w:eastAsia="仿宋_GB2312"/>
          <w:spacing w:val="-4"/>
          <w:sz w:val="28"/>
          <w:szCs w:val="28"/>
        </w:rPr>
        <w:t xml:space="preserve">　</w:t>
      </w:r>
      <w:r>
        <w:rPr>
          <w:rFonts w:eastAsia="仿宋_GB2312" w:hint="eastAsia"/>
          <w:spacing w:val="-4"/>
          <w:sz w:val="28"/>
          <w:szCs w:val="28"/>
        </w:rPr>
        <w:t xml:space="preserve">        </w:t>
      </w:r>
      <w:r>
        <w:rPr>
          <w:rFonts w:eastAsia="仿宋_GB2312"/>
          <w:spacing w:val="-4"/>
          <w:sz w:val="28"/>
          <w:szCs w:val="28"/>
        </w:rPr>
        <w:t xml:space="preserve">　</w:t>
      </w:r>
      <w:r>
        <w:rPr>
          <w:rFonts w:eastAsia="仿宋_GB2312"/>
          <w:spacing w:val="-4"/>
          <w:sz w:val="28"/>
          <w:szCs w:val="28"/>
        </w:rPr>
        <w:t xml:space="preserve">  20</w:t>
      </w:r>
      <w:r>
        <w:rPr>
          <w:rFonts w:eastAsia="仿宋_GB2312" w:hint="eastAsia"/>
          <w:spacing w:val="-4"/>
          <w:sz w:val="28"/>
          <w:szCs w:val="28"/>
        </w:rPr>
        <w:t>18</w:t>
      </w:r>
      <w:r>
        <w:rPr>
          <w:rFonts w:eastAsia="仿宋_GB2312"/>
          <w:spacing w:val="-4"/>
          <w:sz w:val="28"/>
          <w:szCs w:val="28"/>
        </w:rPr>
        <w:t>年</w:t>
      </w:r>
      <w:r>
        <w:rPr>
          <w:rFonts w:eastAsia="仿宋_GB2312" w:hint="eastAsia"/>
          <w:spacing w:val="-4"/>
          <w:sz w:val="28"/>
          <w:szCs w:val="28"/>
        </w:rPr>
        <w:t>12</w:t>
      </w:r>
      <w:r>
        <w:rPr>
          <w:rFonts w:eastAsia="仿宋_GB2312"/>
          <w:spacing w:val="-4"/>
          <w:sz w:val="28"/>
          <w:szCs w:val="28"/>
        </w:rPr>
        <w:t>月</w:t>
      </w:r>
      <w:r>
        <w:rPr>
          <w:rFonts w:eastAsia="仿宋_GB2312" w:hint="eastAsia"/>
          <w:spacing w:val="-4"/>
          <w:sz w:val="28"/>
          <w:szCs w:val="28"/>
        </w:rPr>
        <w:t>4</w:t>
      </w:r>
      <w:r>
        <w:rPr>
          <w:rFonts w:eastAsia="仿宋_GB2312"/>
          <w:spacing w:val="-4"/>
          <w:sz w:val="28"/>
          <w:szCs w:val="28"/>
        </w:rPr>
        <w:t>日印发</w:t>
      </w:r>
    </w:p>
    <w:p w:rsidR="00000000" w:rsidRDefault="00072271">
      <w:pPr>
        <w:spacing w:line="590" w:lineRule="exact"/>
        <w:ind w:rightChars="161" w:right="338" w:firstLineChars="200" w:firstLine="544"/>
        <w:jc w:val="right"/>
        <w:rPr>
          <w:rFonts w:eastAsia="仿宋_GB2312"/>
          <w:spacing w:val="-4"/>
          <w:sz w:val="28"/>
          <w:szCs w:val="28"/>
        </w:rPr>
      </w:pPr>
      <w:r>
        <w:rPr>
          <w:rFonts w:eastAsia="仿宋_GB2312"/>
          <w:spacing w:val="-4"/>
          <w:sz w:val="28"/>
          <w:szCs w:val="28"/>
        </w:rPr>
        <w:t>东行规字</w:t>
      </w:r>
      <w:r>
        <w:rPr>
          <w:rFonts w:eastAsia="仿宋_GB2312" w:hint="eastAsia"/>
          <w:spacing w:val="-4"/>
          <w:sz w:val="28"/>
          <w:szCs w:val="28"/>
        </w:rPr>
        <w:t>〔</w:t>
      </w:r>
      <w:r>
        <w:rPr>
          <w:rFonts w:eastAsia="仿宋_GB2312"/>
          <w:spacing w:val="-4"/>
          <w:sz w:val="28"/>
          <w:szCs w:val="28"/>
        </w:rPr>
        <w:t>20</w:t>
      </w:r>
      <w:r>
        <w:rPr>
          <w:rFonts w:eastAsia="仿宋_GB2312" w:hint="eastAsia"/>
          <w:spacing w:val="-4"/>
          <w:sz w:val="28"/>
          <w:szCs w:val="28"/>
        </w:rPr>
        <w:t>18</w:t>
      </w:r>
      <w:r>
        <w:rPr>
          <w:rFonts w:eastAsia="仿宋_GB2312" w:hint="eastAsia"/>
          <w:spacing w:val="-4"/>
          <w:sz w:val="28"/>
          <w:szCs w:val="28"/>
        </w:rPr>
        <w:t>〕</w:t>
      </w:r>
      <w:r>
        <w:rPr>
          <w:rFonts w:eastAsia="仿宋_GB2312" w:hint="eastAsia"/>
          <w:spacing w:val="-4"/>
          <w:sz w:val="28"/>
          <w:szCs w:val="28"/>
        </w:rPr>
        <w:t>5</w:t>
      </w:r>
      <w:r>
        <w:rPr>
          <w:rFonts w:eastAsia="仿宋_GB2312"/>
          <w:spacing w:val="-4"/>
          <w:sz w:val="28"/>
          <w:szCs w:val="28"/>
        </w:rPr>
        <w:t>号</w:t>
      </w:r>
    </w:p>
    <w:sectPr w:rsidR="00000000">
      <w:headerReference w:type="default" r:id="rId6"/>
      <w:footerReference w:type="even" r:id="rId7"/>
      <w:footerReference w:type="default" r:id="rId8"/>
      <w:pgSz w:w="11906" w:h="16838"/>
      <w:pgMar w:top="1928" w:right="1474" w:bottom="1560" w:left="1588" w:header="851" w:footer="1474"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000" w:rsidRDefault="00072271">
      <w:r>
        <w:separator/>
      </w:r>
    </w:p>
  </w:endnote>
  <w:endnote w:type="continuationSeparator" w:id="1">
    <w:p w:rsidR="00000000" w:rsidRDefault="0007227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2271">
    <w:pPr>
      <w:pStyle w:val="a8"/>
      <w:framePr w:wrap="around" w:vAnchor="text" w:hAnchor="margin" w:xAlign="outside" w:y="1"/>
      <w:rPr>
        <w:rStyle w:val="a3"/>
      </w:rPr>
    </w:pPr>
    <w:r>
      <w:fldChar w:fldCharType="begin"/>
    </w:r>
    <w:r>
      <w:rPr>
        <w:rStyle w:val="a3"/>
      </w:rPr>
      <w:instrText xml:space="preserve">PAGE  </w:instrText>
    </w:r>
    <w:r>
      <w:fldChar w:fldCharType="end"/>
    </w:r>
  </w:p>
  <w:p w:rsidR="00000000" w:rsidRDefault="00072271">
    <w:pPr>
      <w:pStyle w:val="a8"/>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2271">
    <w:pPr>
      <w:pStyle w:val="a8"/>
      <w:framePr w:wrap="around" w:vAnchor="text" w:hAnchor="margin" w:xAlign="outside" w:y="1"/>
      <w:jc w:val="center"/>
      <w:rPr>
        <w:rStyle w:val="a3"/>
        <w:rFonts w:ascii="宋体"/>
        <w:sz w:val="28"/>
      </w:rPr>
    </w:pPr>
    <w:r>
      <w:rPr>
        <w:rStyle w:val="a3"/>
        <w:rFonts w:ascii="宋体" w:hint="eastAsia"/>
        <w:color w:val="FFFFFF"/>
        <w:kern w:val="0"/>
        <w:sz w:val="28"/>
        <w:szCs w:val="28"/>
      </w:rPr>
      <w:t>—</w:t>
    </w:r>
    <w:r>
      <w:rPr>
        <w:rStyle w:val="a3"/>
        <w:rFonts w:ascii="宋体" w:hint="eastAsia"/>
        <w:kern w:val="0"/>
        <w:sz w:val="28"/>
      </w:rPr>
      <w:t>—</w:t>
    </w:r>
    <w:r>
      <w:rPr>
        <w:rStyle w:val="a3"/>
        <w:rFonts w:ascii="宋体"/>
        <w:kern w:val="0"/>
        <w:sz w:val="28"/>
      </w:rPr>
      <w:t xml:space="preserve"> </w:t>
    </w:r>
    <w:r>
      <w:rPr>
        <w:rFonts w:ascii="宋体"/>
        <w:kern w:val="0"/>
        <w:sz w:val="28"/>
      </w:rPr>
      <w:fldChar w:fldCharType="begin"/>
    </w:r>
    <w:r>
      <w:rPr>
        <w:rStyle w:val="a3"/>
        <w:rFonts w:ascii="宋体"/>
        <w:kern w:val="0"/>
        <w:sz w:val="28"/>
      </w:rPr>
      <w:instrText xml:space="preserve"> PAGE </w:instrText>
    </w:r>
    <w:r>
      <w:rPr>
        <w:rFonts w:ascii="宋体"/>
        <w:kern w:val="0"/>
        <w:sz w:val="28"/>
      </w:rPr>
      <w:fldChar w:fldCharType="separate"/>
    </w:r>
    <w:r>
      <w:rPr>
        <w:rStyle w:val="a3"/>
        <w:rFonts w:ascii="宋体"/>
        <w:noProof/>
        <w:kern w:val="0"/>
        <w:sz w:val="28"/>
      </w:rPr>
      <w:t>1</w:t>
    </w:r>
    <w:r>
      <w:rPr>
        <w:rFonts w:ascii="宋体"/>
        <w:kern w:val="0"/>
        <w:sz w:val="28"/>
      </w:rPr>
      <w:fldChar w:fldCharType="end"/>
    </w:r>
    <w:r>
      <w:rPr>
        <w:rStyle w:val="a3"/>
        <w:rFonts w:ascii="宋体"/>
        <w:kern w:val="0"/>
        <w:sz w:val="28"/>
      </w:rPr>
      <w:t xml:space="preserve"> </w:t>
    </w:r>
    <w:r>
      <w:rPr>
        <w:rStyle w:val="a3"/>
        <w:rFonts w:ascii="宋体" w:hint="eastAsia"/>
        <w:kern w:val="0"/>
        <w:sz w:val="28"/>
      </w:rPr>
      <w:t>—</w:t>
    </w:r>
    <w:r>
      <w:rPr>
        <w:rStyle w:val="a3"/>
        <w:rFonts w:ascii="宋体" w:hint="eastAsia"/>
        <w:color w:val="FFFFFF"/>
        <w:kern w:val="0"/>
        <w:sz w:val="28"/>
        <w:szCs w:val="28"/>
      </w:rPr>
      <w:t>—</w:t>
    </w:r>
  </w:p>
  <w:p w:rsidR="00000000" w:rsidRDefault="00072271">
    <w:pPr>
      <w:pStyle w:val="a8"/>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000" w:rsidRDefault="00072271">
      <w:r>
        <w:separator/>
      </w:r>
    </w:p>
  </w:footnote>
  <w:footnote w:type="continuationSeparator" w:id="1">
    <w:p w:rsidR="00000000" w:rsidRDefault="0007227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072271">
    <w:pPr>
      <w:pStyle w:val="a7"/>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revisionView w:markup="0"/>
  <w:trackRevisions/>
  <w:doNotTrackMoves/>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4F6B"/>
    <w:rsid w:val="00034B32"/>
    <w:rsid w:val="00045B01"/>
    <w:rsid w:val="000508CF"/>
    <w:rsid w:val="000575DB"/>
    <w:rsid w:val="00072271"/>
    <w:rsid w:val="00080EBC"/>
    <w:rsid w:val="000853D3"/>
    <w:rsid w:val="00085F3E"/>
    <w:rsid w:val="000A4CD1"/>
    <w:rsid w:val="000D1893"/>
    <w:rsid w:val="00100EA2"/>
    <w:rsid w:val="00111CD1"/>
    <w:rsid w:val="00120A2B"/>
    <w:rsid w:val="00133F54"/>
    <w:rsid w:val="00135C14"/>
    <w:rsid w:val="0013692C"/>
    <w:rsid w:val="001370ED"/>
    <w:rsid w:val="0015005E"/>
    <w:rsid w:val="00180A14"/>
    <w:rsid w:val="001A3B83"/>
    <w:rsid w:val="001C26BD"/>
    <w:rsid w:val="001F628E"/>
    <w:rsid w:val="001F7B7B"/>
    <w:rsid w:val="0020010B"/>
    <w:rsid w:val="002174E0"/>
    <w:rsid w:val="00222A5C"/>
    <w:rsid w:val="00237B51"/>
    <w:rsid w:val="00272C9B"/>
    <w:rsid w:val="002864C4"/>
    <w:rsid w:val="002A2986"/>
    <w:rsid w:val="002B2FF0"/>
    <w:rsid w:val="002D2557"/>
    <w:rsid w:val="002D5CDE"/>
    <w:rsid w:val="002E26B1"/>
    <w:rsid w:val="002E5322"/>
    <w:rsid w:val="002E546D"/>
    <w:rsid w:val="002E7B6E"/>
    <w:rsid w:val="00312823"/>
    <w:rsid w:val="00323902"/>
    <w:rsid w:val="00331EE1"/>
    <w:rsid w:val="00346CB3"/>
    <w:rsid w:val="0037424D"/>
    <w:rsid w:val="0037557C"/>
    <w:rsid w:val="00376EB2"/>
    <w:rsid w:val="0038502B"/>
    <w:rsid w:val="003A3BA6"/>
    <w:rsid w:val="003B0963"/>
    <w:rsid w:val="003D5629"/>
    <w:rsid w:val="003D6D7B"/>
    <w:rsid w:val="003D7DA5"/>
    <w:rsid w:val="003E525F"/>
    <w:rsid w:val="0041661C"/>
    <w:rsid w:val="00422FD3"/>
    <w:rsid w:val="00452989"/>
    <w:rsid w:val="00462423"/>
    <w:rsid w:val="00466B33"/>
    <w:rsid w:val="0047027D"/>
    <w:rsid w:val="00473FF7"/>
    <w:rsid w:val="00482D5C"/>
    <w:rsid w:val="00485E61"/>
    <w:rsid w:val="00497297"/>
    <w:rsid w:val="004A5007"/>
    <w:rsid w:val="004E4594"/>
    <w:rsid w:val="004F05E7"/>
    <w:rsid w:val="004F4D26"/>
    <w:rsid w:val="0050141B"/>
    <w:rsid w:val="00516F61"/>
    <w:rsid w:val="0052724E"/>
    <w:rsid w:val="00527565"/>
    <w:rsid w:val="0055734D"/>
    <w:rsid w:val="00567E46"/>
    <w:rsid w:val="005A7A93"/>
    <w:rsid w:val="00615493"/>
    <w:rsid w:val="0064357E"/>
    <w:rsid w:val="00655C82"/>
    <w:rsid w:val="00676898"/>
    <w:rsid w:val="00676B7E"/>
    <w:rsid w:val="00677A25"/>
    <w:rsid w:val="00681623"/>
    <w:rsid w:val="006878AF"/>
    <w:rsid w:val="00693F78"/>
    <w:rsid w:val="006A7D32"/>
    <w:rsid w:val="006B10EE"/>
    <w:rsid w:val="006B350F"/>
    <w:rsid w:val="006D1AAF"/>
    <w:rsid w:val="006D4507"/>
    <w:rsid w:val="006D4D8C"/>
    <w:rsid w:val="006E7ED1"/>
    <w:rsid w:val="006F02DB"/>
    <w:rsid w:val="006F3894"/>
    <w:rsid w:val="007070FC"/>
    <w:rsid w:val="00712266"/>
    <w:rsid w:val="00715E93"/>
    <w:rsid w:val="0071692F"/>
    <w:rsid w:val="00723737"/>
    <w:rsid w:val="007517F5"/>
    <w:rsid w:val="00765DE4"/>
    <w:rsid w:val="007A2A15"/>
    <w:rsid w:val="007A48F7"/>
    <w:rsid w:val="007C05CD"/>
    <w:rsid w:val="007E52B8"/>
    <w:rsid w:val="007F7EBA"/>
    <w:rsid w:val="00804D08"/>
    <w:rsid w:val="0081319A"/>
    <w:rsid w:val="0082771B"/>
    <w:rsid w:val="00836A94"/>
    <w:rsid w:val="008401D8"/>
    <w:rsid w:val="00842CAD"/>
    <w:rsid w:val="00875774"/>
    <w:rsid w:val="008848C3"/>
    <w:rsid w:val="00886A61"/>
    <w:rsid w:val="008B26C0"/>
    <w:rsid w:val="008C78EE"/>
    <w:rsid w:val="008D6FBC"/>
    <w:rsid w:val="008E6C02"/>
    <w:rsid w:val="00906AC7"/>
    <w:rsid w:val="009156E4"/>
    <w:rsid w:val="009165E7"/>
    <w:rsid w:val="00920694"/>
    <w:rsid w:val="0092099A"/>
    <w:rsid w:val="00934F6B"/>
    <w:rsid w:val="00942B94"/>
    <w:rsid w:val="00954499"/>
    <w:rsid w:val="00987800"/>
    <w:rsid w:val="009A7962"/>
    <w:rsid w:val="00A378DD"/>
    <w:rsid w:val="00A37DD6"/>
    <w:rsid w:val="00A7200B"/>
    <w:rsid w:val="00A86E46"/>
    <w:rsid w:val="00A9176F"/>
    <w:rsid w:val="00AF25EE"/>
    <w:rsid w:val="00AF26BA"/>
    <w:rsid w:val="00B05167"/>
    <w:rsid w:val="00B05E27"/>
    <w:rsid w:val="00B35CEB"/>
    <w:rsid w:val="00B6285E"/>
    <w:rsid w:val="00B84A53"/>
    <w:rsid w:val="00BA6E56"/>
    <w:rsid w:val="00BC003F"/>
    <w:rsid w:val="00BD0FC0"/>
    <w:rsid w:val="00BE6B7A"/>
    <w:rsid w:val="00C22716"/>
    <w:rsid w:val="00C2325F"/>
    <w:rsid w:val="00C250F2"/>
    <w:rsid w:val="00C364BA"/>
    <w:rsid w:val="00C50479"/>
    <w:rsid w:val="00C610B8"/>
    <w:rsid w:val="00C74E0B"/>
    <w:rsid w:val="00C77F25"/>
    <w:rsid w:val="00C80DAE"/>
    <w:rsid w:val="00C824FD"/>
    <w:rsid w:val="00C83E99"/>
    <w:rsid w:val="00C92FA5"/>
    <w:rsid w:val="00CE6787"/>
    <w:rsid w:val="00CF3087"/>
    <w:rsid w:val="00D40805"/>
    <w:rsid w:val="00D478F5"/>
    <w:rsid w:val="00D70BBF"/>
    <w:rsid w:val="00D856B9"/>
    <w:rsid w:val="00DA6AD3"/>
    <w:rsid w:val="00DA6FEC"/>
    <w:rsid w:val="00DB1E06"/>
    <w:rsid w:val="00DB34F2"/>
    <w:rsid w:val="00DC6121"/>
    <w:rsid w:val="00DD5B0A"/>
    <w:rsid w:val="00DD6980"/>
    <w:rsid w:val="00E03A9F"/>
    <w:rsid w:val="00E04498"/>
    <w:rsid w:val="00E04F30"/>
    <w:rsid w:val="00E05DE0"/>
    <w:rsid w:val="00E26D7E"/>
    <w:rsid w:val="00E4555A"/>
    <w:rsid w:val="00E46C46"/>
    <w:rsid w:val="00E578FB"/>
    <w:rsid w:val="00E64BE0"/>
    <w:rsid w:val="00E931D7"/>
    <w:rsid w:val="00EA3CB0"/>
    <w:rsid w:val="00EE1290"/>
    <w:rsid w:val="00EF1D60"/>
    <w:rsid w:val="00F020FF"/>
    <w:rsid w:val="00F223F1"/>
    <w:rsid w:val="00F465D5"/>
    <w:rsid w:val="00F6031E"/>
    <w:rsid w:val="00F8107D"/>
    <w:rsid w:val="00F843B9"/>
    <w:rsid w:val="00F85462"/>
    <w:rsid w:val="00F95FAE"/>
    <w:rsid w:val="00FC0057"/>
    <w:rsid w:val="00FD6AF1"/>
    <w:rsid w:val="00FF2C85"/>
    <w:rsid w:val="00FF351E"/>
    <w:rsid w:val="0D1D43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unhideWhenUsed/>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paragraph" w:styleId="a4">
    <w:name w:val="Body Text Indent"/>
    <w:basedOn w:val="a"/>
    <w:pPr>
      <w:ind w:left="815" w:hanging="815"/>
    </w:pPr>
    <w:rPr>
      <w:rFonts w:eastAsia="仿宋_GB2312"/>
      <w:sz w:val="28"/>
      <w:szCs w:val="20"/>
    </w:rPr>
  </w:style>
  <w:style w:type="paragraph" w:styleId="a5">
    <w:name w:val="Balloon Text"/>
    <w:basedOn w:val="a"/>
    <w:semiHidden/>
    <w:rPr>
      <w:sz w:val="18"/>
      <w:szCs w:val="18"/>
    </w:rPr>
  </w:style>
  <w:style w:type="paragraph" w:styleId="a6">
    <w:name w:val="Date"/>
    <w:basedOn w:val="a"/>
    <w:next w:val="a"/>
    <w:rPr>
      <w:rFonts w:eastAsia="仿宋_GB2312"/>
      <w:sz w:val="32"/>
      <w:szCs w:val="20"/>
    </w:rPr>
  </w:style>
  <w:style w:type="paragraph" w:styleId="a7">
    <w:name w:val="header"/>
    <w:basedOn w:val="a"/>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 w:type="paragraph" w:styleId="a9">
    <w:name w:val="Normal (Web)"/>
    <w:basedOn w:val="a"/>
    <w:uiPriority w:val="99"/>
    <w:unhideWhenUsed/>
    <w:pPr>
      <w:jc w:val="left"/>
    </w:pPr>
    <w:rPr>
      <w:rFonts w:ascii="Calibri" w:hAnsi="Calibri" w:cs="黑体"/>
      <w:kern w:val="0"/>
      <w:sz w:val="24"/>
      <w:szCs w:val="22"/>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2553</Words>
  <Characters>113</Characters>
  <Application>Microsoft Office Word</Application>
  <DocSecurity>0</DocSecurity>
  <Lines>1</Lines>
  <Paragraphs>5</Paragraphs>
  <ScaleCrop>false</ScaleCrop>
  <Company>msk</Company>
  <LinksUpToDate>false</LinksUpToDate>
  <CharactersWithSpaces>2661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2</cp:revision>
  <cp:lastPrinted>2014-11-27T03:46:00Z</cp:lastPrinted>
  <dcterms:created xsi:type="dcterms:W3CDTF">2018-12-04T03:52:00Z</dcterms:created>
  <dcterms:modified xsi:type="dcterms:W3CDTF">2018-12-05T05:59:00Z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2052-11.1.0.8002</vt:lpwstr>
  </property>
</Properties>
</file>