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BA6BD38">
      <w:pPr>
        <w:spacing w:line="120" w:lineRule="exact"/>
        <w:jc w:val="center"/>
        <w:rPr>
          <w:rFonts w:ascii="方正小标宋简体" w:eastAsia="方正小标宋简体"/>
          <w:bCs/>
          <w:color w:val="FF0000"/>
          <w:spacing w:val="10"/>
          <w:w w:val="68"/>
          <w:sz w:val="104"/>
          <w:szCs w:val="104"/>
        </w:rPr>
      </w:pPr>
      <w:r>
        <w:rPr>
          <w:rFonts w:ascii="仿宋_GB2312" w:eastAsia="仿宋_GB2312"/>
          <w:sz w:val="32"/>
          <w:szCs w:val="32"/>
        </w:rPr>
        <mc:AlternateContent>
          <mc:Choice Requires="wpg">
            <w:drawing>
              <wp:anchor distT="0" distB="0" distL="114300" distR="114300" simplePos="0" relativeHeight="251660288" behindDoc="0" locked="0" layoutInCell="1" allowOverlap="1">
                <wp:simplePos x="0" y="0"/>
                <wp:positionH relativeFrom="column">
                  <wp:posOffset>-266700</wp:posOffset>
                </wp:positionH>
                <wp:positionV relativeFrom="paragraph">
                  <wp:posOffset>-370205</wp:posOffset>
                </wp:positionV>
                <wp:extent cx="6210935" cy="9072880"/>
                <wp:effectExtent l="0" t="0" r="18415" b="32385"/>
                <wp:wrapNone/>
                <wp:docPr id="5" name="组合 1"/>
                <wp:cNvGraphicFramePr/>
                <a:graphic xmlns:a="http://schemas.openxmlformats.org/drawingml/2006/main">
                  <a:graphicData uri="http://schemas.microsoft.com/office/word/2010/wordprocessingGroup">
                    <wpg:wgp>
                      <wpg:cNvGrpSpPr/>
                      <wpg:grpSpPr>
                        <a:xfrm>
                          <a:off x="0" y="0"/>
                          <a:ext cx="6210935" cy="9072880"/>
                          <a:chOff x="1168" y="1177"/>
                          <a:chExt cx="9781" cy="14288"/>
                        </a:xfrm>
                        <a:effectLst/>
                      </wpg:grpSpPr>
                      <wps:wsp>
                        <wps:cNvPr id="6" name="Text Box 3"/>
                        <wps:cNvSpPr txBox="1">
                          <a:spLocks noChangeArrowheads="1"/>
                        </wps:cNvSpPr>
                        <wps:spPr bwMode="auto">
                          <a:xfrm>
                            <a:off x="1489" y="1177"/>
                            <a:ext cx="9098" cy="1882"/>
                          </a:xfrm>
                          <a:prstGeom prst="rect">
                            <a:avLst/>
                          </a:prstGeom>
                          <a:noFill/>
                          <a:ln>
                            <a:noFill/>
                          </a:ln>
                          <a:effectLst/>
                        </wps:spPr>
                        <wps:txbx>
                          <w:txbxContent>
                            <w:p w14:paraId="770C9FDE">
                              <w:pPr>
                                <w:keepNext w:val="0"/>
                                <w:keepLines w:val="0"/>
                                <w:widowControl w:val="0"/>
                                <w:suppressLineNumbers w:val="0"/>
                                <w:spacing w:before="0" w:beforeAutospacing="0" w:after="0" w:afterAutospacing="0" w:line="1800" w:lineRule="exact"/>
                                <w:ind w:left="0" w:right="0"/>
                                <w:jc w:val="center"/>
                                <w:rPr>
                                  <w:rFonts w:hint="eastAsia" w:ascii="方正小标宋简体" w:hAnsi="方正小标宋简体" w:eastAsia="方正小标宋简体" w:cs="方正小标宋简体"/>
                                  <w:bCs/>
                                  <w:color w:val="FF0000"/>
                                  <w:spacing w:val="-10"/>
                                  <w:w w:val="69"/>
                                  <w:sz w:val="90"/>
                                  <w:szCs w:val="90"/>
                                  <w:lang w:val="en-US"/>
                                </w:rPr>
                              </w:pPr>
                              <w:r>
                                <w:rPr>
                                  <w:rFonts w:hint="eastAsia" w:ascii="方正小标宋简体" w:hAnsi="方正小标宋简体" w:eastAsia="方正小标宋简体" w:cs="方正小标宋简体"/>
                                  <w:bCs/>
                                  <w:color w:val="FF0000"/>
                                  <w:spacing w:val="-10"/>
                                  <w:w w:val="69"/>
                                  <w:kern w:val="2"/>
                                  <w:sz w:val="84"/>
                                  <w:szCs w:val="84"/>
                                  <w:lang w:val="en-US" w:eastAsia="zh-CN" w:bidi="ar"/>
                                </w:rPr>
                                <w:t>北京市东城区科学技术和信息化</w:t>
                              </w:r>
                              <w:r>
                                <w:rPr>
                                  <w:rFonts w:hint="eastAsia" w:ascii="方正小标宋简体" w:hAnsi="方正小标宋简体" w:eastAsia="方正小标宋简体" w:cs="方正小标宋简体"/>
                                  <w:bCs/>
                                  <w:color w:val="FF0000"/>
                                  <w:spacing w:val="-10"/>
                                  <w:w w:val="69"/>
                                  <w:kern w:val="2"/>
                                  <w:sz w:val="90"/>
                                  <w:szCs w:val="90"/>
                                  <w:lang w:val="en-US" w:eastAsia="zh-CN" w:bidi="ar"/>
                                </w:rPr>
                                <w:t>局</w:t>
                              </w:r>
                            </w:p>
                            <w:p w14:paraId="3838BF6A"/>
                          </w:txbxContent>
                        </wps:txbx>
                        <wps:bodyPr rot="0" vert="horz" wrap="square" lIns="91440" tIns="45720" rIns="91440" bIns="45720" anchor="t" anchorCtr="0" upright="1">
                          <a:noAutofit/>
                        </wps:bodyPr>
                      </wps:wsp>
                      <wpg:grpSp>
                        <wpg:cNvPr id="7" name="Group 4"/>
                        <wpg:cNvGrpSpPr/>
                        <wpg:grpSpPr>
                          <a:xfrm>
                            <a:off x="1168" y="2854"/>
                            <a:ext cx="9781" cy="12611"/>
                            <a:chOff x="1168" y="3070"/>
                            <a:chExt cx="9781" cy="12611"/>
                          </a:xfrm>
                          <a:effectLst/>
                        </wpg:grpSpPr>
                        <wps:wsp>
                          <wps:cNvPr id="8" name="Line 5"/>
                          <wps:cNvCnPr/>
                          <wps:spPr bwMode="auto">
                            <a:xfrm>
                              <a:off x="1328" y="3070"/>
                              <a:ext cx="9621" cy="0"/>
                            </a:xfrm>
                            <a:prstGeom prst="line">
                              <a:avLst/>
                            </a:prstGeom>
                            <a:noFill/>
                            <a:ln w="57150" cmpd="thickThin">
                              <a:solidFill>
                                <a:srgbClr val="FF0000"/>
                              </a:solidFill>
                              <a:round/>
                            </a:ln>
                            <a:effectLst/>
                          </wps:spPr>
                          <wps:bodyPr/>
                        </wps:wsp>
                        <wps:wsp>
                          <wps:cNvPr id="9" name="Line 6"/>
                          <wps:cNvCnPr/>
                          <wps:spPr bwMode="auto">
                            <a:xfrm>
                              <a:off x="1168" y="15681"/>
                              <a:ext cx="9631" cy="0"/>
                            </a:xfrm>
                            <a:prstGeom prst="line">
                              <a:avLst/>
                            </a:prstGeom>
                            <a:noFill/>
                            <a:ln w="57150" cmpd="thinThick">
                              <a:solidFill>
                                <a:srgbClr val="FF0000"/>
                              </a:solidFill>
                              <a:round/>
                            </a:ln>
                            <a:effectLst/>
                          </wps:spPr>
                          <wps:bodyPr/>
                        </wps:wsp>
                      </wpg:grpSp>
                    </wpg:wgp>
                  </a:graphicData>
                </a:graphic>
              </wp:anchor>
            </w:drawing>
          </mc:Choice>
          <mc:Fallback>
            <w:pict>
              <v:group id="组合 1" o:spid="_x0000_s1026" o:spt="203" style="position:absolute;left:0pt;margin-left:-21pt;margin-top:-29.15pt;height:714.4pt;width:489.05pt;z-index:251660288;mso-width-relative:page;mso-height-relative:page;" coordorigin="1168,1177" coordsize="9781,14288" o:gfxdata="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">
                <o:lock v:ext="edit" aspectratio="f"/>
                <v:shape id="Text Box 3" o:spid="_x0000_s1026" o:spt="202" type="#_x0000_t202" style="position:absolute;left:1489;top:1177;height:1882;width:9098;" filled="f" stroked="f" coordsize="21600,21600" o:gfxdata="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yDYXi8AAAA&#10;2gAAAA8AAAAAAAAAAQAgAAAAIgAAAGRycy9kb3ducmV2LnhtbFBLAQIUABQAAAAIAIdO4kAzLwWe&#10;OwAAADkAAAAQAAAAAAAAAAEAIAAAAAsBAABkcnMvc2hhcGV4bWwueG1sUEsFBgAAAAAGAAYAWwEA&#10;ALUDAAAAAA==&#10;">
                  <v:fill on="f" focussize="0,0"/>
                  <v:stroke on="f"/>
                  <v:imagedata o:title=""/>
                  <o:lock v:ext="edit" aspectratio="f"/>
                  <v:textbox>
                    <w:txbxContent>
                      <w:p w14:paraId="770C9FDE">
                        <w:pPr>
                          <w:keepNext w:val="0"/>
                          <w:keepLines w:val="0"/>
                          <w:widowControl w:val="0"/>
                          <w:suppressLineNumbers w:val="0"/>
                          <w:spacing w:before="0" w:beforeAutospacing="0" w:after="0" w:afterAutospacing="0" w:line="1800" w:lineRule="exact"/>
                          <w:ind w:left="0" w:right="0"/>
                          <w:jc w:val="center"/>
                          <w:rPr>
                            <w:rFonts w:hint="eastAsia" w:ascii="方正小标宋简体" w:hAnsi="方正小标宋简体" w:eastAsia="方正小标宋简体" w:cs="方正小标宋简体"/>
                            <w:bCs/>
                            <w:color w:val="FF0000"/>
                            <w:spacing w:val="-10"/>
                            <w:w w:val="69"/>
                            <w:sz w:val="90"/>
                            <w:szCs w:val="90"/>
                            <w:lang w:val="en-US"/>
                          </w:rPr>
                        </w:pPr>
                        <w:r>
                          <w:rPr>
                            <w:rFonts w:hint="eastAsia" w:ascii="方正小标宋简体" w:hAnsi="方正小标宋简体" w:eastAsia="方正小标宋简体" w:cs="方正小标宋简体"/>
                            <w:bCs/>
                            <w:color w:val="FF0000"/>
                            <w:spacing w:val="-10"/>
                            <w:w w:val="69"/>
                            <w:kern w:val="2"/>
                            <w:sz w:val="84"/>
                            <w:szCs w:val="84"/>
                            <w:lang w:val="en-US" w:eastAsia="zh-CN" w:bidi="ar"/>
                          </w:rPr>
                          <w:t>北京市东城区科学技术和信息化</w:t>
                        </w:r>
                        <w:r>
                          <w:rPr>
                            <w:rFonts w:hint="eastAsia" w:ascii="方正小标宋简体" w:hAnsi="方正小标宋简体" w:eastAsia="方正小标宋简体" w:cs="方正小标宋简体"/>
                            <w:bCs/>
                            <w:color w:val="FF0000"/>
                            <w:spacing w:val="-10"/>
                            <w:w w:val="69"/>
                            <w:kern w:val="2"/>
                            <w:sz w:val="90"/>
                            <w:szCs w:val="90"/>
                            <w:lang w:val="en-US" w:eastAsia="zh-CN" w:bidi="ar"/>
                          </w:rPr>
                          <w:t>局</w:t>
                        </w:r>
                      </w:p>
                      <w:p w14:paraId="3838BF6A"/>
                    </w:txbxContent>
                  </v:textbox>
                </v:shape>
                <v:group id="Group 4" o:spid="_x0000_s1026" o:spt="203" style="position:absolute;left:1168;top:2854;height:12611;width:9781;" coordorigin="1168,3070" coordsize="9781,12611" o:gfxdata="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Otscpe+AAAA2gAAAA8AAAAAAAAAAQAgAAAAIgAAAGRycy9kb3ducmV2Lnht&#10;bFBLAQIUABQAAAAIAIdO4kAzLwWeOwAAADkAAAAVAAAAAAAAAAEAIAAAAA0BAABkcnMvZ3JvdXBz&#10;aGFwZXhtbC54bWxQSwUGAAAAAAYABgBgAQAAygMAAAAA&#10;">
                  <o:lock v:ext="edit" aspectratio="f"/>
                  <v:line id="Line 5" o:spid="_x0000_s1026" o:spt="20" style="position:absolute;left:1328;top:3070;height:0;width:9621;" filled="f" stroked="t" coordsize="21600,21600" o:gfxdata="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CSm88i2AAAA2gAAAA8A&#10;AAAAAAAAAQAgAAAAIgAAAGRycy9kb3ducmV2LnhtbFBLAQIUABQAAAAIAIdO4kAzLwWeOwAAADkA&#10;AAAQAAAAAAAAAAEAIAAAAAUBAABkcnMvc2hhcGV4bWwueG1sUEsFBgAAAAAGAAYAWwEAAK8DAAAA&#10;AA==&#10;">
                    <v:fill on="f" focussize="0,0"/>
                    <v:stroke weight="4.5pt" color="#FF0000" linestyle="thickThin" joinstyle="round"/>
                    <v:imagedata o:title=""/>
                    <o:lock v:ext="edit" aspectratio="f"/>
                  </v:line>
                  <v:line id="Line 6" o:spid="_x0000_s1026" o:spt="20" style="position:absolute;left:1168;top:15681;height:0;width:9631;" filled="f" stroked="t" coordsize="21600,21600" o:gfxdata="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fk3NLsAAADa&#10;AAAADwAAAAAAAAABACAAAAAiAAAAZHJzL2Rvd25yZXYueG1sUEsBAhQAFAAAAAgAh07iQDMvBZ47&#10;AAAAOQAAABAAAAAAAAAAAQAgAAAACgEAAGRycy9zaGFwZXhtbC54bWxQSwUGAAAAAAYABgBbAQAA&#10;tAMAAAAA&#10;">
                    <v:fill on="f" focussize="0,0"/>
                    <v:stroke weight="4.5pt" color="#FF0000" linestyle="thinThick" joinstyle="round"/>
                    <v:imagedata o:title=""/>
                    <o:lock v:ext="edit" aspectratio="f"/>
                  </v:line>
                </v:group>
              </v:group>
            </w:pict>
          </mc:Fallback>
        </mc:AlternateContent>
      </w:r>
    </w:p>
    <w:p w14:paraId="1835CEEC">
      <w:pPr>
        <w:spacing w:line="120" w:lineRule="exact"/>
        <w:jc w:val="center"/>
        <w:rPr>
          <w:rFonts w:ascii="方正小标宋简体" w:eastAsia="方正小标宋简体"/>
          <w:bCs/>
          <w:color w:val="FF0000"/>
          <w:spacing w:val="10"/>
          <w:w w:val="68"/>
          <w:sz w:val="104"/>
          <w:szCs w:val="104"/>
        </w:rPr>
      </w:pPr>
    </w:p>
    <w:p w14:paraId="320384E0">
      <w:pPr>
        <w:spacing w:line="120" w:lineRule="exact"/>
        <w:jc w:val="center"/>
        <w:rPr>
          <w:rFonts w:ascii="方正小标宋简体" w:eastAsia="方正小标宋简体"/>
          <w:bCs/>
          <w:color w:val="FF0000"/>
          <w:spacing w:val="10"/>
          <w:w w:val="68"/>
          <w:sz w:val="104"/>
          <w:szCs w:val="104"/>
        </w:rPr>
      </w:pPr>
    </w:p>
    <w:p w14:paraId="6EEC5B2E">
      <w:pPr>
        <w:spacing w:line="120" w:lineRule="exact"/>
        <w:jc w:val="center"/>
        <w:rPr>
          <w:rFonts w:ascii="方正小标宋简体" w:eastAsia="方正小标宋简体"/>
          <w:bCs/>
          <w:color w:val="FF0000"/>
          <w:spacing w:val="10"/>
          <w:w w:val="68"/>
          <w:sz w:val="104"/>
          <w:szCs w:val="104"/>
        </w:rPr>
      </w:pPr>
    </w:p>
    <w:p w14:paraId="713E583F">
      <w:pPr>
        <w:spacing w:line="120" w:lineRule="exact"/>
        <w:jc w:val="center"/>
        <w:rPr>
          <w:rFonts w:ascii="方正小标宋简体" w:eastAsia="方正小标宋简体"/>
          <w:bCs/>
          <w:color w:val="FF0000"/>
          <w:spacing w:val="10"/>
          <w:w w:val="68"/>
          <w:sz w:val="104"/>
          <w:szCs w:val="104"/>
        </w:rPr>
      </w:pPr>
    </w:p>
    <w:p w14:paraId="26337D6C">
      <w:pPr>
        <w:spacing w:line="120" w:lineRule="exact"/>
        <w:jc w:val="center"/>
        <w:rPr>
          <w:rFonts w:ascii="方正小标宋简体" w:eastAsia="方正小标宋简体"/>
          <w:bCs/>
          <w:color w:val="FF0000"/>
          <w:spacing w:val="10"/>
          <w:w w:val="68"/>
          <w:sz w:val="104"/>
          <w:szCs w:val="104"/>
        </w:rPr>
      </w:pPr>
    </w:p>
    <w:p w14:paraId="16A9D6AA">
      <w:pPr>
        <w:spacing w:line="120" w:lineRule="exact"/>
        <w:jc w:val="center"/>
        <w:rPr>
          <w:rFonts w:ascii="方正小标宋简体" w:eastAsia="方正小标宋简体"/>
          <w:bCs/>
          <w:color w:val="FF0000"/>
          <w:spacing w:val="10"/>
          <w:w w:val="68"/>
          <w:sz w:val="104"/>
          <w:szCs w:val="104"/>
        </w:rPr>
      </w:pPr>
    </w:p>
    <w:p w14:paraId="1CF5643D">
      <w:pPr>
        <w:spacing w:line="280" w:lineRule="exact"/>
        <w:ind w:left="210" w:leftChars="100" w:right="210" w:rightChars="100"/>
        <w:rPr>
          <w:rFonts w:ascii="仿宋_GB2312" w:eastAsia="仿宋_GB2312"/>
          <w:sz w:val="32"/>
          <w:szCs w:val="32"/>
        </w:rPr>
      </w:pPr>
    </w:p>
    <w:p w14:paraId="6024C0F6">
      <w:pPr>
        <w:spacing w:line="400" w:lineRule="exact"/>
        <w:jc w:val="center"/>
        <w:rPr>
          <w:rFonts w:ascii="方正小标宋简体" w:eastAsia="方正小标宋简体"/>
          <w:b/>
          <w:sz w:val="36"/>
          <w:szCs w:val="36"/>
        </w:rPr>
      </w:pPr>
    </w:p>
    <w:p w14:paraId="28D54F40">
      <w:pPr>
        <w:spacing w:line="400" w:lineRule="exact"/>
        <w:jc w:val="center"/>
        <w:rPr>
          <w:rFonts w:ascii="方正小标宋简体" w:eastAsia="方正小标宋简体"/>
          <w:b/>
          <w:sz w:val="36"/>
          <w:szCs w:val="36"/>
        </w:rPr>
      </w:pPr>
    </w:p>
    <w:p w14:paraId="439A553B">
      <w:pPr>
        <w:spacing w:line="560" w:lineRule="exact"/>
        <w:jc w:val="center"/>
        <w:rPr>
          <w:rFonts w:ascii="方正小标宋简体" w:eastAsia="方正小标宋简体"/>
          <w:sz w:val="44"/>
          <w:szCs w:val="44"/>
        </w:rPr>
      </w:pPr>
      <w:bookmarkStart w:id="0" w:name="_GoBack"/>
      <w:bookmarkEnd w:id="0"/>
      <w:r>
        <w:rPr>
          <w:rFonts w:hint="eastAsia" w:ascii="方正小标宋简体" w:eastAsia="方正小标宋简体"/>
          <w:sz w:val="44"/>
          <w:szCs w:val="44"/>
        </w:rPr>
        <w:t>东城区关于2019年第三季度政府网站</w:t>
      </w:r>
    </w:p>
    <w:p w14:paraId="419719CD">
      <w:pPr>
        <w:spacing w:line="560" w:lineRule="exact"/>
        <w:jc w:val="center"/>
        <w:rPr>
          <w:rFonts w:ascii="方正小标宋简体" w:eastAsia="方正小标宋简体"/>
          <w:sz w:val="44"/>
          <w:szCs w:val="44"/>
        </w:rPr>
      </w:pPr>
      <w:r>
        <w:rPr>
          <w:rFonts w:hint="eastAsia" w:ascii="方正小标宋简体" w:eastAsia="方正小标宋简体"/>
          <w:sz w:val="44"/>
          <w:szCs w:val="44"/>
        </w:rPr>
        <w:t>自查及整改情况的报告</w:t>
      </w:r>
    </w:p>
    <w:p w14:paraId="02444D14">
      <w:pPr>
        <w:spacing w:line="560" w:lineRule="exact"/>
        <w:jc w:val="center"/>
        <w:rPr>
          <w:rFonts w:ascii="方正小标宋简体" w:eastAsia="方正小标宋简体"/>
          <w:b/>
          <w:sz w:val="18"/>
          <w:szCs w:val="18"/>
        </w:rPr>
      </w:pPr>
    </w:p>
    <w:p w14:paraId="7DF184B0">
      <w:pPr>
        <w:spacing w:line="590" w:lineRule="exact"/>
        <w:rPr>
          <w:rFonts w:ascii="方正小标宋简体" w:eastAsia="方正小标宋简体"/>
          <w:b/>
          <w:sz w:val="18"/>
          <w:szCs w:val="18"/>
        </w:rPr>
      </w:pPr>
      <w:r>
        <w:rPr>
          <w:rFonts w:hint="eastAsia" w:eastAsia="仿宋_GB2312"/>
          <w:spacing w:val="-4"/>
          <w:sz w:val="32"/>
          <w:szCs w:val="32"/>
        </w:rPr>
        <w:t>市政务服务管理局</w:t>
      </w:r>
      <w:r>
        <w:rPr>
          <w:rFonts w:eastAsia="仿宋_GB2312"/>
          <w:spacing w:val="-4"/>
          <w:sz w:val="32"/>
          <w:szCs w:val="32"/>
        </w:rPr>
        <w:t>：</w:t>
      </w:r>
    </w:p>
    <w:p w14:paraId="1ADC5962">
      <w:pPr>
        <w:spacing w:line="560" w:lineRule="exact"/>
        <w:ind w:firstLine="640" w:firstLineChars="200"/>
        <w:jc w:val="left"/>
        <w:rPr>
          <w:rFonts w:ascii="仿宋_GB2312" w:hAnsi="仿宋" w:eastAsia="仿宋_GB2312"/>
          <w:sz w:val="32"/>
        </w:rPr>
      </w:pPr>
      <w:r>
        <w:rPr>
          <w:rFonts w:hint="eastAsia" w:ascii="仿宋_GB2312" w:hAnsi="仿宋" w:eastAsia="仿宋_GB2312"/>
          <w:sz w:val="32"/>
        </w:rPr>
        <w:t>为贯彻落实国办、北京市政府网站发展指引精神，根据市政务服务管理局相关部署，东城区组织开展了2019年第三季度政府网站自查工作，针对发现的问题积极整改，同时认真推进网站集约整合。现将工作情况报告如下：</w:t>
      </w:r>
    </w:p>
    <w:p w14:paraId="669627D4">
      <w:pPr>
        <w:pStyle w:val="11"/>
        <w:numPr>
          <w:ilvl w:val="0"/>
          <w:numId w:val="1"/>
        </w:numPr>
        <w:spacing w:line="560" w:lineRule="exact"/>
        <w:ind w:firstLineChars="0"/>
        <w:rPr>
          <w:rFonts w:ascii="黑体" w:hAnsi="黑体" w:eastAsia="黑体"/>
          <w:sz w:val="32"/>
          <w:szCs w:val="32"/>
        </w:rPr>
      </w:pPr>
      <w:r>
        <w:rPr>
          <w:rFonts w:hint="eastAsia" w:ascii="黑体" w:hAnsi="黑体" w:eastAsia="黑体"/>
          <w:sz w:val="32"/>
          <w:szCs w:val="32"/>
        </w:rPr>
        <w:t>存在问题及整改情况</w:t>
      </w:r>
    </w:p>
    <w:p w14:paraId="257A2F6E">
      <w:pPr>
        <w:spacing w:line="560" w:lineRule="exact"/>
        <w:ind w:firstLine="640" w:firstLineChars="200"/>
        <w:jc w:val="left"/>
        <w:rPr>
          <w:rFonts w:hint="eastAsia" w:ascii="仿宋_GB2312" w:hAnsi="仿宋" w:eastAsia="仿宋_GB2312"/>
          <w:sz w:val="32"/>
        </w:rPr>
      </w:pPr>
      <w:r>
        <w:rPr>
          <w:rFonts w:hint="eastAsia" w:ascii="仿宋_GB2312" w:hAnsi="仿宋" w:eastAsia="仿宋_GB2312"/>
          <w:sz w:val="32"/>
        </w:rPr>
        <w:t>存在问题：2019年第三季度，对区政府门户网站进行检测、问题下发、督促整改等工作。检测初期发现，部分单位栏目信息更新不持续。突出表现：1、动态要闻类栏目中7个部门更新时间超过两周；2、政策法规、通知公告栏目6个部门8个栏目超过六个月未更新；3、部分网站专栏存在错链、死链达15个。</w:t>
      </w:r>
    </w:p>
    <w:p w14:paraId="7C145541">
      <w:pPr>
        <w:spacing w:line="560" w:lineRule="exact"/>
        <w:ind w:firstLine="640" w:firstLineChars="200"/>
        <w:jc w:val="left"/>
        <w:rPr>
          <w:rFonts w:hint="eastAsia" w:ascii="仿宋_GB2312" w:hAnsi="仿宋" w:eastAsia="仿宋_GB2312"/>
          <w:sz w:val="32"/>
        </w:rPr>
      </w:pPr>
      <w:r>
        <w:rPr>
          <w:rFonts w:hint="eastAsia" w:ascii="仿宋_GB2312" w:hAnsi="仿宋" w:eastAsia="仿宋_GB2312"/>
          <w:sz w:val="32"/>
        </w:rPr>
        <w:t>问题发现之后，第一时间通过全区内部办公系统下发问题工单，并短信、电话通知各单位整改、反馈。各单位相关负责人积极配合，认真整改问题，及时补发信息，修改错误。其中，部分单位网站政策法规栏目经负责单位要求作出栏目调整。最终东城区政府门户网站已全部整改完成。</w:t>
      </w:r>
    </w:p>
    <w:p w14:paraId="17E6C128">
      <w:pPr>
        <w:spacing w:line="560" w:lineRule="exact"/>
        <w:ind w:left="709"/>
        <w:rPr>
          <w:rFonts w:ascii="黑体" w:hAnsi="黑体" w:eastAsia="黑体"/>
          <w:sz w:val="32"/>
          <w:szCs w:val="32"/>
        </w:rPr>
      </w:pPr>
      <w:r>
        <w:rPr>
          <w:rFonts w:hint="eastAsia" w:ascii="黑体" w:hAnsi="黑体" w:eastAsia="黑体"/>
          <w:sz w:val="32"/>
          <w:szCs w:val="32"/>
        </w:rPr>
        <w:t>二、网站管理体制机制建设情况</w:t>
      </w:r>
    </w:p>
    <w:p w14:paraId="52CC3ABF">
      <w:pPr>
        <w:spacing w:line="560" w:lineRule="exact"/>
        <w:ind w:firstLine="640" w:firstLineChars="200"/>
        <w:jc w:val="left"/>
        <w:rPr>
          <w:rFonts w:ascii="仿宋_GB2312" w:hAnsi="仿宋" w:eastAsia="仿宋_GB2312"/>
          <w:sz w:val="32"/>
          <w:szCs w:val="32"/>
        </w:rPr>
      </w:pPr>
      <w:r>
        <w:rPr>
          <w:rFonts w:hint="eastAsia" w:ascii="仿宋_GB2312" w:hAnsi="仿宋" w:eastAsia="仿宋_GB2312"/>
          <w:sz w:val="32"/>
        </w:rPr>
        <w:t>区政府办是“数字东城”网站</w:t>
      </w:r>
      <w:r>
        <w:rPr>
          <w:rFonts w:hint="eastAsia" w:ascii="仿宋_GB2312" w:hAnsi="仿宋" w:eastAsia="仿宋_GB2312"/>
          <w:sz w:val="32"/>
          <w:szCs w:val="32"/>
        </w:rPr>
        <w:t>的主办单位，区科信局是“数字东城”网站</w:t>
      </w:r>
      <w:r>
        <w:rPr>
          <w:rFonts w:hint="eastAsia" w:ascii="仿宋_GB2312" w:hAnsi="仿宋" w:eastAsia="仿宋_GB2312"/>
          <w:sz w:val="32"/>
        </w:rPr>
        <w:t>的承办单位，负责网站</w:t>
      </w:r>
      <w:r>
        <w:rPr>
          <w:rFonts w:hint="eastAsia" w:ascii="仿宋_GB2312" w:hAnsi="仿宋" w:eastAsia="仿宋_GB2312"/>
          <w:sz w:val="32"/>
          <w:lang w:eastAsia="zh-CN"/>
        </w:rPr>
        <w:t>规划管理、</w:t>
      </w:r>
      <w:r>
        <w:rPr>
          <w:rFonts w:hint="eastAsia" w:ascii="仿宋_GB2312" w:hAnsi="仿宋" w:eastAsia="仿宋_GB2312"/>
          <w:sz w:val="32"/>
        </w:rPr>
        <w:t>技术平台建设</w:t>
      </w:r>
      <w:r>
        <w:rPr>
          <w:rFonts w:hint="eastAsia" w:ascii="仿宋_GB2312" w:hAnsi="仿宋" w:eastAsia="仿宋_GB2312"/>
          <w:sz w:val="32"/>
          <w:szCs w:val="32"/>
        </w:rPr>
        <w:t>维护、安全防护，以及</w:t>
      </w:r>
      <w:r>
        <w:rPr>
          <w:rFonts w:hint="eastAsia" w:ascii="仿宋_GB2312" w:hAnsi="仿宋" w:eastAsia="仿宋_GB2312"/>
          <w:sz w:val="32"/>
          <w:szCs w:val="32"/>
          <w:lang w:eastAsia="zh-CN"/>
        </w:rPr>
        <w:t>展现</w:t>
      </w:r>
      <w:r>
        <w:rPr>
          <w:rFonts w:hint="eastAsia" w:ascii="仿宋_GB2312" w:hAnsi="仿宋" w:eastAsia="仿宋_GB2312"/>
          <w:sz w:val="32"/>
          <w:szCs w:val="32"/>
        </w:rPr>
        <w:t>设计、内容发布、审核检查</w:t>
      </w:r>
      <w:r>
        <w:rPr>
          <w:rFonts w:hint="eastAsia" w:ascii="仿宋_GB2312" w:hAnsi="仿宋" w:eastAsia="仿宋_GB2312"/>
          <w:sz w:val="32"/>
        </w:rPr>
        <w:t>和</w:t>
      </w:r>
      <w:r>
        <w:rPr>
          <w:rFonts w:hint="eastAsia" w:ascii="仿宋_GB2312" w:hAnsi="仿宋" w:eastAsia="仿宋_GB2312"/>
          <w:sz w:val="32"/>
          <w:szCs w:val="32"/>
        </w:rPr>
        <w:t>传播推广、集约化建设等工作。副区长刘俊彩同志是分管领导。区政府高度重视政府网站建设工作，主管区领导</w:t>
      </w:r>
      <w:r>
        <w:rPr>
          <w:rFonts w:hint="eastAsia" w:ascii="仿宋_GB2312" w:hAnsi="仿宋" w:eastAsia="仿宋_GB2312"/>
          <w:sz w:val="32"/>
          <w:szCs w:val="32"/>
          <w:lang w:eastAsia="zh-CN"/>
        </w:rPr>
        <w:t>多</w:t>
      </w:r>
      <w:r>
        <w:rPr>
          <w:rFonts w:hint="eastAsia" w:ascii="仿宋_GB2312" w:hAnsi="仿宋" w:eastAsia="仿宋_GB2312"/>
          <w:sz w:val="32"/>
          <w:szCs w:val="32"/>
        </w:rPr>
        <w:t>次做出重要批示，推动工作开展。</w:t>
      </w:r>
    </w:p>
    <w:p w14:paraId="30B32E9A">
      <w:pPr>
        <w:spacing w:line="560" w:lineRule="exact"/>
        <w:ind w:left="709"/>
        <w:rPr>
          <w:rFonts w:ascii="黑体" w:hAnsi="黑体" w:eastAsia="黑体"/>
          <w:sz w:val="32"/>
          <w:szCs w:val="32"/>
        </w:rPr>
      </w:pPr>
      <w:r>
        <w:rPr>
          <w:rFonts w:hint="eastAsia" w:ascii="黑体" w:hAnsi="黑体" w:eastAsia="黑体"/>
          <w:sz w:val="32"/>
          <w:szCs w:val="32"/>
        </w:rPr>
        <w:t>三、规范网站管理情况</w:t>
      </w:r>
    </w:p>
    <w:p w14:paraId="64945EAB">
      <w:pPr>
        <w:widowControl/>
        <w:spacing w:line="560" w:lineRule="exact"/>
        <w:ind w:firstLine="640" w:firstLineChars="200"/>
        <w:jc w:val="left"/>
        <w:rPr>
          <w:rFonts w:ascii="仿宋_GB2312" w:hAnsi="仿宋" w:eastAsia="仿宋_GB2312"/>
          <w:sz w:val="32"/>
          <w:szCs w:val="32"/>
        </w:rPr>
      </w:pPr>
      <w:r>
        <w:rPr>
          <w:rFonts w:hint="eastAsia" w:ascii="仿宋_GB2312" w:hAnsi="仿宋" w:eastAsia="仿宋_GB2312"/>
          <w:sz w:val="32"/>
          <w:szCs w:val="32"/>
        </w:rPr>
        <w:t>区</w:t>
      </w:r>
      <w:r>
        <w:rPr>
          <w:rFonts w:hint="eastAsia" w:ascii="仿宋_GB2312" w:hAnsi="仿宋" w:eastAsia="仿宋_GB2312"/>
          <w:sz w:val="32"/>
          <w:szCs w:val="32"/>
          <w:lang w:eastAsia="zh-CN"/>
        </w:rPr>
        <w:t>科信局</w:t>
      </w:r>
      <w:r>
        <w:rPr>
          <w:rFonts w:hint="eastAsia" w:ascii="仿宋_GB2312" w:hAnsi="仿宋" w:eastAsia="仿宋_GB2312"/>
          <w:sz w:val="32"/>
          <w:szCs w:val="32"/>
        </w:rPr>
        <w:t>对网站规范性及功能完整性进行自查自改，如网站建设基本指标，包括基本信息栏目、政策法规栏目、政务咨询类栏目、调查征集类栏目、互动访谈类栏目、办事指南等栏目的建设情况以及网站信息完整性，包括网站标识码、网站主办单位及联系方式、ICP备案编号、公安机关备案标识等方面，没有发现问题，全部按照国办及北京市下发的网站建设管理办法进行建设。此外，区政务服务局、区科信局结合实际情况完善了《数字东城网站管理办法》中关于网站突发情况的应急处理制度，规范和加强了网站突发情况的人员行为，最大程度上避免因为人为因素导致情况复杂化。为网站的健康稳定运行提供制度保障。</w:t>
      </w:r>
    </w:p>
    <w:p w14:paraId="63F3E459">
      <w:pPr>
        <w:spacing w:line="560" w:lineRule="exact"/>
        <w:ind w:left="710"/>
        <w:rPr>
          <w:rFonts w:ascii="黑体" w:hAnsi="黑体" w:eastAsia="黑体"/>
          <w:sz w:val="32"/>
          <w:szCs w:val="32"/>
        </w:rPr>
      </w:pPr>
      <w:r>
        <w:rPr>
          <w:rFonts w:hint="eastAsia" w:ascii="黑体" w:hAnsi="黑体" w:eastAsia="黑体"/>
          <w:sz w:val="32"/>
          <w:szCs w:val="32"/>
        </w:rPr>
        <w:t>四、找错平台留言处理情况</w:t>
      </w:r>
    </w:p>
    <w:p w14:paraId="1464A234">
      <w:pPr>
        <w:widowControl/>
        <w:spacing w:line="560" w:lineRule="exact"/>
        <w:ind w:firstLine="640" w:firstLineChars="200"/>
        <w:jc w:val="left"/>
        <w:rPr>
          <w:rFonts w:ascii="仿宋_GB2312" w:hAnsi="仿宋" w:eastAsia="仿宋_GB2312"/>
          <w:color w:val="auto"/>
          <w:sz w:val="32"/>
          <w:szCs w:val="32"/>
        </w:rPr>
      </w:pPr>
      <w:r>
        <w:rPr>
          <w:rFonts w:hint="eastAsia" w:ascii="仿宋_GB2312" w:hAnsi="仿宋" w:eastAsia="仿宋_GB2312"/>
          <w:color w:val="auto"/>
          <w:sz w:val="32"/>
          <w:szCs w:val="32"/>
        </w:rPr>
        <w:t xml:space="preserve">第三季度我区在“全国政府网站信息报送系统”（网民留言纠错平台）收到网民留言纠错一条。平台负责人员对该条留言所反映的问题进行了查看。在经过仔细确认、处理完成后第一时间进行了留言回复。为保证网民留言能够得到及时完善的回复，平台安排人员每天进行留言查看处理。切实保证网民反映问题得到解决处理。 </w:t>
      </w:r>
    </w:p>
    <w:p w14:paraId="43D03075">
      <w:pPr>
        <w:spacing w:line="560" w:lineRule="exact"/>
        <w:ind w:left="710"/>
        <w:rPr>
          <w:rFonts w:ascii="黑体" w:hAnsi="黑体" w:eastAsia="黑体"/>
          <w:sz w:val="32"/>
          <w:szCs w:val="32"/>
        </w:rPr>
      </w:pPr>
      <w:r>
        <w:rPr>
          <w:rFonts w:hint="eastAsia" w:ascii="黑体" w:hAnsi="黑体" w:eastAsia="黑体"/>
          <w:sz w:val="32"/>
          <w:szCs w:val="32"/>
        </w:rPr>
        <w:t>五、加强网站功能升级</w:t>
      </w:r>
    </w:p>
    <w:p w14:paraId="29D54B1F">
      <w:pPr>
        <w:widowControl/>
        <w:spacing w:line="560" w:lineRule="exact"/>
        <w:ind w:firstLine="640" w:firstLineChars="200"/>
        <w:jc w:val="left"/>
        <w:rPr>
          <w:rFonts w:hint="eastAsia" w:ascii="仿宋_GB2312" w:hAnsi="仿宋" w:eastAsia="仿宋_GB2312"/>
          <w:color w:val="auto"/>
          <w:sz w:val="32"/>
          <w:szCs w:val="32"/>
        </w:rPr>
      </w:pPr>
      <w:r>
        <w:rPr>
          <w:rFonts w:hint="eastAsia" w:ascii="仿宋_GB2312" w:hAnsi="仿宋" w:eastAsia="仿宋_GB2312"/>
          <w:color w:val="auto"/>
          <w:sz w:val="32"/>
          <w:szCs w:val="32"/>
        </w:rPr>
        <w:t>一是根据国办及市级要求对东城区互动回应区长信箱系统进行结构优化，功能升级。具体为调整信件办理流程，重新划分信件分类，增加信件催办办理。并按照互动回应网站建设要求对网站信件回复统计页面增加信件办信回复时间和办信统计数据等内容。切实将东城区区长信箱系统打造成为民、便民的沟通渠道。二是根据</w:t>
      </w:r>
      <w:r>
        <w:rPr>
          <w:rFonts w:hint="eastAsia" w:ascii="仿宋_GB2312" w:hAnsi="仿宋" w:eastAsia="仿宋_GB2312"/>
          <w:color w:val="auto"/>
          <w:sz w:val="32"/>
          <w:szCs w:val="32"/>
          <w:lang w:eastAsia="zh-CN"/>
        </w:rPr>
        <w:t>双公示工作要求构建双公示公开专栏并建设公开联系渠道和目录清单；建设</w:t>
      </w:r>
      <w:r>
        <w:rPr>
          <w:rFonts w:hint="eastAsia" w:ascii="仿宋_GB2312" w:hAnsi="仿宋" w:eastAsia="仿宋_GB2312"/>
          <w:color w:val="auto"/>
          <w:sz w:val="32"/>
          <w:szCs w:val="32"/>
        </w:rPr>
        <w:t>2018年东城区决算公开和2019年东城区部门预决算公开专题栏目。三是针对政府网站发展建设指引对网站搜索功能的要求进行搜索优化，完善搜索结果分类，调整页面展示效果。</w:t>
      </w:r>
    </w:p>
    <w:p w14:paraId="2577A0EA">
      <w:pPr>
        <w:spacing w:line="560" w:lineRule="exact"/>
        <w:ind w:left="710"/>
        <w:rPr>
          <w:rFonts w:ascii="黑体" w:hAnsi="黑体" w:eastAsia="黑体"/>
          <w:sz w:val="32"/>
          <w:szCs w:val="32"/>
        </w:rPr>
      </w:pPr>
      <w:r>
        <w:rPr>
          <w:rFonts w:hint="eastAsia" w:ascii="黑体" w:hAnsi="黑体" w:eastAsia="黑体"/>
          <w:sz w:val="32"/>
          <w:szCs w:val="32"/>
        </w:rPr>
        <w:t>六、提升网站互动水平情况</w:t>
      </w:r>
    </w:p>
    <w:p w14:paraId="5F14206C">
      <w:pPr>
        <w:widowControl/>
        <w:spacing w:line="560" w:lineRule="exact"/>
        <w:ind w:firstLine="640" w:firstLineChars="200"/>
        <w:jc w:val="left"/>
        <w:rPr>
          <w:rFonts w:hint="eastAsia" w:ascii="仿宋_GB2312" w:hAnsi="仿宋" w:eastAsia="仿宋_GB2312"/>
          <w:color w:val="auto"/>
          <w:sz w:val="32"/>
          <w:szCs w:val="32"/>
        </w:rPr>
      </w:pPr>
      <w:r>
        <w:rPr>
          <w:rFonts w:hint="eastAsia" w:ascii="仿宋_GB2312" w:hAnsi="仿宋" w:eastAsia="仿宋_GB2312"/>
          <w:color w:val="auto"/>
          <w:sz w:val="32"/>
          <w:szCs w:val="32"/>
        </w:rPr>
        <w:t>强化互动功能优化，提高公众满意度</w:t>
      </w:r>
      <w:r>
        <w:rPr>
          <w:rFonts w:hint="eastAsia" w:ascii="仿宋_GB2312" w:hAnsi="仿宋" w:eastAsia="仿宋_GB2312"/>
          <w:color w:val="auto"/>
          <w:sz w:val="32"/>
          <w:szCs w:val="32"/>
          <w:lang w:eastAsia="zh-CN"/>
        </w:rPr>
        <w:t>。</w:t>
      </w:r>
      <w:r>
        <w:rPr>
          <w:rFonts w:hint="eastAsia" w:ascii="仿宋_GB2312" w:hAnsi="仿宋" w:eastAsia="仿宋_GB2312"/>
          <w:color w:val="auto"/>
          <w:sz w:val="32"/>
          <w:szCs w:val="32"/>
        </w:rPr>
        <w:t>根据北京市互动服务统一平台建设需求，东城区在本季度部署安排了东城区区长信箱系统同北京市互动服务平台的对接。在充分协调各部门配合的基础上，安排人员同市级负责单位沟通协调，仔细确认对接标准及要求，做到按时完成对接工作。“区长信箱”本季度共收到330封信件，已办结285封，办结率86.3%。</w:t>
      </w:r>
    </w:p>
    <w:p w14:paraId="1959F220">
      <w:pPr>
        <w:spacing w:line="560" w:lineRule="exact"/>
        <w:ind w:firstLine="640" w:firstLineChars="200"/>
        <w:rPr>
          <w:rFonts w:ascii="黑体" w:hAnsi="黑体" w:eastAsia="黑体"/>
          <w:sz w:val="32"/>
          <w:szCs w:val="32"/>
        </w:rPr>
      </w:pPr>
      <w:r>
        <w:rPr>
          <w:rFonts w:hint="eastAsia" w:ascii="黑体" w:hAnsi="黑体" w:eastAsia="黑体"/>
          <w:sz w:val="32"/>
          <w:szCs w:val="32"/>
        </w:rPr>
        <w:t>七、网站安全保障情况</w:t>
      </w:r>
    </w:p>
    <w:p w14:paraId="0441FED0">
      <w:pPr>
        <w:spacing w:line="560" w:lineRule="exact"/>
        <w:ind w:firstLine="640" w:firstLineChars="200"/>
        <w:rPr>
          <w:rFonts w:ascii="仿宋_GB2312" w:hAnsi="仿宋" w:eastAsia="仿宋_GB2312"/>
          <w:color w:val="0000FF"/>
          <w:sz w:val="32"/>
          <w:szCs w:val="32"/>
        </w:rPr>
      </w:pPr>
      <w:r>
        <w:rPr>
          <w:rFonts w:hint="eastAsia" w:ascii="仿宋_GB2312" w:hAnsi="仿宋" w:eastAsia="仿宋_GB2312"/>
          <w:color w:val="auto"/>
          <w:sz w:val="32"/>
          <w:szCs w:val="32"/>
        </w:rPr>
        <w:t>一是加强网站平台日常运维保障。进行设备日常运行维护，并对维护情况进行拍照留存；实时监测服务器资源使用情况和网址页面是否正常访问；完善数据信息管理制度，要求对重要数据进行定时备份，定时升级系统补丁和软件版本，调整相关系统安全参数；增加网站运行监测报警，防备恶意攻击导致网站运行异常。二是加强网站系统的安全加固。进行网站系统优化，修复网站存在的漏洞，增加网站审计功能记录网站全部操作行为，定期分析网站日志对可能存在的安全问题逐一进行排查确定，进行安全渗透测试；针对近期软件漏洞版本信息更新网站所使用软件的版本；三是加强网站双机热备建设。通过建设多个业务机部署网站业务，实现网站多机热备，网站出现异常可在不停服务情况下进行切换对外服务网站，增强网站防御安全。四是加强网站应急值守工作。节假日期间安排专人进行24小时应急值守，值守期间，应急人员要求每隔半小时检查一次网站，值班人员采用2轮换制值班，保证24小时运维人员在岗，保证业务系统的正常运行。值班期间，主要运维负责人员及主要责任领导24小时开机，保证通话畅通以应对突发状况。五对网站运维人员操作行为审计数据进行监测。建立基于规则的多维度的授权策略及访问控制策略，对非法连接、非法外联、发现非法监听端口、控制台登录记录、配置更改、服务更改、运行状态更改、非法权限改变、非法进程改变以及非法的控制台登录事件进行排查和分析。</w:t>
      </w:r>
    </w:p>
    <w:p w14:paraId="631C3EBA">
      <w:pPr>
        <w:numPr>
          <w:ilvl w:val="0"/>
          <w:numId w:val="2"/>
        </w:numPr>
        <w:spacing w:line="560" w:lineRule="exact"/>
        <w:ind w:left="710"/>
        <w:rPr>
          <w:rFonts w:ascii="黑体" w:hAnsi="黑体" w:eastAsia="黑体"/>
          <w:sz w:val="32"/>
          <w:szCs w:val="32"/>
        </w:rPr>
      </w:pPr>
      <w:r>
        <w:rPr>
          <w:rFonts w:hint="eastAsia" w:ascii="黑体" w:hAnsi="黑体" w:eastAsia="黑体"/>
          <w:sz w:val="32"/>
          <w:szCs w:val="32"/>
        </w:rPr>
        <w:t>网站创新发展情况</w:t>
      </w:r>
    </w:p>
    <w:p w14:paraId="47336854">
      <w:pPr>
        <w:spacing w:line="560" w:lineRule="exact"/>
        <w:ind w:firstLine="643" w:firstLineChars="200"/>
        <w:rPr>
          <w:rFonts w:ascii="仿宋_GB2312" w:hAnsi="仿宋" w:eastAsia="仿宋_GB2312"/>
          <w:b/>
          <w:bCs/>
          <w:color w:val="000000" w:themeColor="text1"/>
          <w:sz w:val="32"/>
          <w:szCs w:val="32"/>
          <w14:textFill>
            <w14:solidFill>
              <w14:schemeClr w14:val="tx1"/>
            </w14:solidFill>
          </w14:textFill>
        </w:rPr>
      </w:pPr>
      <w:r>
        <w:rPr>
          <w:rFonts w:hint="eastAsia" w:ascii="仿宋_GB2312" w:hAnsi="仿宋" w:eastAsia="仿宋_GB2312"/>
          <w:b/>
          <w:bCs/>
          <w:color w:val="000000" w:themeColor="text1"/>
          <w:sz w:val="32"/>
          <w:szCs w:val="32"/>
          <w14:textFill>
            <w14:solidFill>
              <w14:schemeClr w14:val="tx1"/>
            </w14:solidFill>
          </w14:textFill>
        </w:rPr>
        <w:t>（一）利用大数据的分析理念，构建全生命周期服务模式</w:t>
      </w:r>
    </w:p>
    <w:p w14:paraId="0F113CA5">
      <w:pPr>
        <w:spacing w:line="560" w:lineRule="exact"/>
        <w:ind w:firstLine="640" w:firstLineChars="200"/>
        <w:rPr>
          <w:rFonts w:ascii="仿宋_GB2312" w:hAnsi="仿宋" w:eastAsia="仿宋_GB2312"/>
          <w:color w:val="000000" w:themeColor="text1"/>
          <w:sz w:val="32"/>
          <w:szCs w:val="32"/>
          <w14:textFill>
            <w14:solidFill>
              <w14:schemeClr w14:val="tx1"/>
            </w14:solidFill>
          </w14:textFill>
        </w:rPr>
      </w:pPr>
      <w:r>
        <w:rPr>
          <w:rFonts w:hint="eastAsia" w:ascii="仿宋_GB2312" w:hAnsi="仿宋" w:eastAsia="仿宋_GB2312"/>
          <w:color w:val="000000" w:themeColor="text1"/>
          <w:sz w:val="32"/>
          <w:szCs w:val="32"/>
          <w14:textFill>
            <w14:solidFill>
              <w14:schemeClr w14:val="tx1"/>
            </w14:solidFill>
          </w14:textFill>
        </w:rPr>
        <w:t>“数字东城”网站整体框架设计基于大数据技术，在深入研究网民访问规律和体验需求的基础上进行。通过对网民的访问行为分析，重点梳理了网民关注热点，版面栏目布局完全按照访问者的访问热点进行编排，在兼顾美观的同时最大限度的满足网民的访问习惯和关注重点。同时，着重深化便民服务功能，结合了国内外最新社会服务创新经验，以“公民生命周期服务”为主线，将公民生老病死各阶段的服务需求，与政府各部门的职责相对应，梳理网站数据资源，按照全生命周期框架打造居民生活全方位服务体系。</w:t>
      </w:r>
    </w:p>
    <w:p w14:paraId="66187472">
      <w:pPr>
        <w:spacing w:line="560" w:lineRule="exact"/>
        <w:ind w:firstLine="560" w:firstLineChars="200"/>
        <w:jc w:val="center"/>
        <w:rPr>
          <w:rFonts w:ascii="仿宋_GB2312" w:hAnsi="仿宋" w:eastAsia="仿宋_GB2312"/>
          <w:color w:val="000000" w:themeColor="text1"/>
          <w:sz w:val="32"/>
          <w:szCs w:val="32"/>
          <w14:textFill>
            <w14:solidFill>
              <w14:schemeClr w14:val="tx1"/>
            </w14:solidFill>
          </w14:textFill>
        </w:rPr>
      </w:pPr>
      <w:r>
        <w:rPr>
          <w:color w:val="000000" w:themeColor="text1"/>
          <w:sz w:val="28"/>
          <w:szCs w:val="28"/>
          <w14:textFill>
            <w14:solidFill>
              <w14:schemeClr w14:val="tx1"/>
            </w14:solidFill>
          </w14:textFill>
        </w:rPr>
        <w:drawing>
          <wp:anchor distT="0" distB="0" distL="114935" distR="114935" simplePos="0" relativeHeight="251659264" behindDoc="0" locked="0" layoutInCell="1" allowOverlap="1">
            <wp:simplePos x="0" y="0"/>
            <wp:positionH relativeFrom="column">
              <wp:posOffset>133350</wp:posOffset>
            </wp:positionH>
            <wp:positionV relativeFrom="paragraph">
              <wp:posOffset>236855</wp:posOffset>
            </wp:positionV>
            <wp:extent cx="5610860" cy="2862580"/>
            <wp:effectExtent l="0" t="0" r="8890" b="13970"/>
            <wp:wrapTopAndBottom/>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a:stretch>
                      <a:fillRect/>
                    </a:stretch>
                  </pic:blipFill>
                  <pic:spPr>
                    <a:xfrm>
                      <a:off x="0" y="0"/>
                      <a:ext cx="5610860" cy="2862580"/>
                    </a:xfrm>
                    <a:prstGeom prst="rect">
                      <a:avLst/>
                    </a:prstGeom>
                    <a:noFill/>
                    <a:ln w="9525">
                      <a:noFill/>
                    </a:ln>
                  </pic:spPr>
                </pic:pic>
              </a:graphicData>
            </a:graphic>
          </wp:anchor>
        </w:drawing>
      </w:r>
      <w:r>
        <w:rPr>
          <w:rFonts w:hint="eastAsia" w:ascii="仿宋_GB2312" w:hAnsi="仿宋" w:eastAsia="仿宋_GB2312"/>
          <w:color w:val="000000" w:themeColor="text1"/>
          <w:sz w:val="28"/>
          <w:szCs w:val="28"/>
          <w14:textFill>
            <w14:solidFill>
              <w14:schemeClr w14:val="tx1"/>
            </w14:solidFill>
          </w14:textFill>
        </w:rPr>
        <w:t>全生命周期服务模式展现页面</w:t>
      </w:r>
    </w:p>
    <w:p w14:paraId="22AE010F">
      <w:pPr>
        <w:spacing w:line="560" w:lineRule="exact"/>
        <w:ind w:firstLine="643" w:firstLineChars="200"/>
        <w:rPr>
          <w:rFonts w:ascii="仿宋_GB2312" w:hAnsi="仿宋" w:eastAsia="仿宋_GB2312"/>
          <w:b/>
          <w:bCs/>
          <w:color w:val="000000" w:themeColor="text1"/>
          <w:sz w:val="32"/>
          <w:szCs w:val="32"/>
          <w14:textFill>
            <w14:solidFill>
              <w14:schemeClr w14:val="tx1"/>
            </w14:solidFill>
          </w14:textFill>
        </w:rPr>
      </w:pPr>
      <w:r>
        <w:rPr>
          <w:rFonts w:hint="eastAsia" w:ascii="仿宋_GB2312" w:hAnsi="仿宋" w:eastAsia="仿宋_GB2312"/>
          <w:b/>
          <w:bCs/>
          <w:color w:val="000000" w:themeColor="text1"/>
          <w:sz w:val="32"/>
          <w:szCs w:val="32"/>
          <w14:textFill>
            <w14:solidFill>
              <w14:schemeClr w14:val="tx1"/>
            </w14:solidFill>
          </w14:textFill>
        </w:rPr>
        <w:t>（二）引入无障碍专用技术，构建无障碍频道</w:t>
      </w:r>
    </w:p>
    <w:p w14:paraId="7E6530DE">
      <w:pPr>
        <w:spacing w:line="560" w:lineRule="exact"/>
        <w:ind w:firstLine="640" w:firstLineChars="200"/>
        <w:rPr>
          <w:rFonts w:ascii="仿宋_GB2312" w:hAnsi="仿宋" w:eastAsia="仿宋_GB2312"/>
          <w:color w:val="000000" w:themeColor="text1"/>
          <w:sz w:val="32"/>
          <w:szCs w:val="32"/>
          <w14:textFill>
            <w14:solidFill>
              <w14:schemeClr w14:val="tx1"/>
            </w14:solidFill>
          </w14:textFill>
        </w:rPr>
      </w:pPr>
      <w:r>
        <w:rPr>
          <w:rFonts w:hint="eastAsia" w:ascii="仿宋_GB2312" w:hAnsi="仿宋" w:eastAsia="仿宋_GB2312"/>
          <w:color w:val="000000" w:themeColor="text1"/>
          <w:sz w:val="32"/>
          <w:szCs w:val="32"/>
          <w14:textFill>
            <w14:solidFill>
              <w14:schemeClr w14:val="tx1"/>
            </w14:solidFill>
          </w14:textFill>
        </w:rPr>
        <w:t>“数字东城”无障碍频道服务对象为盲人、视力退化的老年人等有视觉障碍的人群。为了满足特殊人群获取信息的需求，网站设置了东城动态、图片新闻、残联动态、康复服务、政策法规、通知公告、国务院信息七个栏目。同时参照国际</w:t>
      </w:r>
      <w:r>
        <w:fldChar w:fldCharType="begin"/>
      </w:r>
      <w:r>
        <w:instrText xml:space="preserve"> HYPERLINK "http://www.w3.org/TR/2008/CR-WCAG20-20080430/" </w:instrText>
      </w:r>
      <w:r>
        <w:fldChar w:fldCharType="separate"/>
      </w:r>
      <w:r>
        <w:rPr>
          <w:rFonts w:hint="eastAsia" w:ascii="仿宋_GB2312" w:hAnsi="仿宋" w:eastAsia="仿宋_GB2312"/>
          <w:color w:val="000000" w:themeColor="text1"/>
          <w:sz w:val="32"/>
          <w:szCs w:val="32"/>
          <w14:textFill>
            <w14:solidFill>
              <w14:schemeClr w14:val="tx1"/>
            </w14:solidFill>
          </w14:textFill>
        </w:rPr>
        <w:t>万维网内容可存取性指南</w:t>
      </w:r>
      <w:r>
        <w:rPr>
          <w:rFonts w:ascii="仿宋_GB2312" w:hAnsi="仿宋" w:eastAsia="仿宋_GB2312"/>
          <w:color w:val="000000" w:themeColor="text1"/>
          <w:sz w:val="32"/>
          <w:szCs w:val="32"/>
          <w14:textFill>
            <w14:solidFill>
              <w14:schemeClr w14:val="tx1"/>
            </w14:solidFill>
          </w14:textFill>
        </w:rPr>
        <w:fldChar w:fldCharType="end"/>
      </w:r>
      <w:r>
        <w:rPr>
          <w:rFonts w:hint="eastAsia" w:ascii="仿宋_GB2312" w:hAnsi="仿宋" w:eastAsia="仿宋_GB2312"/>
          <w:color w:val="000000" w:themeColor="text1"/>
          <w:sz w:val="32"/>
          <w:szCs w:val="32"/>
          <w14:textFill>
            <w14:solidFill>
              <w14:schemeClr w14:val="tx1"/>
            </w14:solidFill>
          </w14:textFill>
        </w:rPr>
        <w:t>和国内《</w:t>
      </w:r>
      <w:r>
        <w:fldChar w:fldCharType="begin"/>
      </w:r>
      <w:r>
        <w:instrText xml:space="preserve"> HYPERLINK "http://www.ptsn.net.cn/standard/std_query/show-yd-2920-1.htm" \t "_parent" </w:instrText>
      </w:r>
      <w:r>
        <w:fldChar w:fldCharType="separate"/>
      </w:r>
      <w:r>
        <w:rPr>
          <w:rFonts w:hint="eastAsia" w:ascii="仿宋_GB2312" w:hAnsi="仿宋" w:eastAsia="仿宋_GB2312"/>
          <w:color w:val="000000" w:themeColor="text1"/>
          <w:sz w:val="32"/>
          <w:szCs w:val="32"/>
          <w14:textFill>
            <w14:solidFill>
              <w14:schemeClr w14:val="tx1"/>
            </w14:solidFill>
          </w14:textFill>
        </w:rPr>
        <w:t>信息无障碍-身体机能差异人群-网站设计无障碍技术要求</w:t>
      </w:r>
      <w:r>
        <w:rPr>
          <w:rFonts w:hint="eastAsia" w:ascii="仿宋_GB2312" w:hAnsi="仿宋" w:eastAsia="仿宋_GB2312"/>
          <w:color w:val="000000" w:themeColor="text1"/>
          <w:sz w:val="32"/>
          <w:szCs w:val="32"/>
          <w14:textFill>
            <w14:solidFill>
              <w14:schemeClr w14:val="tx1"/>
            </w14:solidFill>
          </w14:textFill>
        </w:rPr>
        <w:fldChar w:fldCharType="end"/>
      </w:r>
      <w:r>
        <w:rPr>
          <w:rFonts w:hint="eastAsia" w:ascii="仿宋_GB2312" w:hAnsi="仿宋" w:eastAsia="仿宋_GB2312"/>
          <w:color w:val="000000" w:themeColor="text1"/>
          <w:sz w:val="32"/>
          <w:szCs w:val="32"/>
          <w14:textFill>
            <w14:solidFill>
              <w14:schemeClr w14:val="tx1"/>
            </w14:solidFill>
          </w14:textFill>
        </w:rPr>
        <w:t>》等技术实施标准，开发出专用辅助工具，使残疾人朋友可以借助该工具，实现无障碍地获取网站信息，使残疾人及视障朋友更好的享受信息时代所带来的便捷。无障碍网站全网采用全屏读网技术，不仅提供Tab+Enter键畅游，还同步支持各类主流浏览器和辅助浏览工具等功能，以及为各类残障用户提供方便理解的网页结构，确保网页结构更符合无障碍标准和人性化需求。</w:t>
      </w:r>
    </w:p>
    <w:p w14:paraId="22CD3EA8">
      <w:pPr>
        <w:spacing w:line="360" w:lineRule="auto"/>
        <w:ind w:firstLine="210" w:firstLineChars="100"/>
        <w:jc w:val="center"/>
        <w:rPr>
          <w:rFonts w:ascii="仿宋_GB2312" w:hAnsi="宋体" w:eastAsia="仿宋_GB2312"/>
          <w:color w:val="000000" w:themeColor="text1"/>
          <w:sz w:val="30"/>
          <w:szCs w:val="30"/>
          <w14:textFill>
            <w14:solidFill>
              <w14:schemeClr w14:val="tx1"/>
            </w14:solidFill>
          </w14:textFill>
        </w:rPr>
      </w:pPr>
      <w:r>
        <w:rPr>
          <w:color w:val="000000" w:themeColor="text1"/>
          <w14:textFill>
            <w14:solidFill>
              <w14:schemeClr w14:val="tx1"/>
            </w14:solidFill>
          </w14:textFill>
        </w:rPr>
        <w:drawing>
          <wp:inline distT="0" distB="0" distL="114300" distR="114300">
            <wp:extent cx="4678680" cy="3555365"/>
            <wp:effectExtent l="0" t="0" r="7620" b="698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8"/>
                    <a:stretch>
                      <a:fillRect/>
                    </a:stretch>
                  </pic:blipFill>
                  <pic:spPr>
                    <a:xfrm>
                      <a:off x="0" y="0"/>
                      <a:ext cx="4678680" cy="3555365"/>
                    </a:xfrm>
                    <a:prstGeom prst="rect">
                      <a:avLst/>
                    </a:prstGeom>
                    <a:noFill/>
                    <a:ln w="9525">
                      <a:noFill/>
                    </a:ln>
                  </pic:spPr>
                </pic:pic>
              </a:graphicData>
            </a:graphic>
          </wp:inline>
        </w:drawing>
      </w:r>
    </w:p>
    <w:p w14:paraId="6B284C52">
      <w:pPr>
        <w:spacing w:line="560" w:lineRule="exact"/>
        <w:ind w:left="420" w:leftChars="200"/>
        <w:jc w:val="center"/>
        <w:rPr>
          <w:rFonts w:ascii="仿宋_GB2312" w:eastAsia="仿宋_GB2312"/>
          <w:color w:val="000000" w:themeColor="text1"/>
          <w:sz w:val="28"/>
          <w:szCs w:val="28"/>
          <w14:textFill>
            <w14:solidFill>
              <w14:schemeClr w14:val="tx1"/>
            </w14:solidFill>
          </w14:textFill>
        </w:rPr>
      </w:pPr>
      <w:r>
        <w:rPr>
          <w:rFonts w:hint="eastAsia" w:ascii="仿宋_GB2312" w:eastAsia="仿宋_GB2312"/>
          <w:color w:val="000000" w:themeColor="text1"/>
          <w:sz w:val="28"/>
          <w:szCs w:val="28"/>
          <w14:textFill>
            <w14:solidFill>
              <w14:schemeClr w14:val="tx1"/>
            </w14:solidFill>
          </w14:textFill>
        </w:rPr>
        <w:t>数字东城无障碍频道页面展示图</w:t>
      </w:r>
    </w:p>
    <w:p w14:paraId="4419939F">
      <w:pPr>
        <w:spacing w:line="560" w:lineRule="exact"/>
        <w:ind w:firstLine="803" w:firstLineChars="250"/>
        <w:rPr>
          <w:rFonts w:ascii="仿宋_GB2312" w:hAnsi="仿宋" w:eastAsia="仿宋_GB2312"/>
          <w:b/>
          <w:color w:val="000000" w:themeColor="text1"/>
          <w:sz w:val="32"/>
          <w:szCs w:val="32"/>
          <w14:textFill>
            <w14:solidFill>
              <w14:schemeClr w14:val="tx1"/>
            </w14:solidFill>
          </w14:textFill>
        </w:rPr>
      </w:pPr>
    </w:p>
    <w:p w14:paraId="31AA25CA">
      <w:pPr>
        <w:spacing w:line="560" w:lineRule="exact"/>
        <w:ind w:firstLine="803" w:firstLineChars="250"/>
        <w:rPr>
          <w:rFonts w:ascii="仿宋_GB2312" w:hAnsi="仿宋" w:eastAsia="仿宋_GB2312"/>
          <w:b/>
          <w:color w:val="000000" w:themeColor="text1"/>
          <w:sz w:val="32"/>
          <w:szCs w:val="32"/>
          <w14:textFill>
            <w14:solidFill>
              <w14:schemeClr w14:val="tx1"/>
            </w14:solidFill>
          </w14:textFill>
        </w:rPr>
      </w:pPr>
      <w:r>
        <w:rPr>
          <w:rFonts w:hint="eastAsia" w:ascii="仿宋_GB2312" w:hAnsi="仿宋" w:eastAsia="仿宋_GB2312"/>
          <w:b/>
          <w:color w:val="000000" w:themeColor="text1"/>
          <w:sz w:val="32"/>
          <w:szCs w:val="32"/>
          <w14:textFill>
            <w14:solidFill>
              <w14:schemeClr w14:val="tx1"/>
            </w14:solidFill>
          </w14:textFill>
        </w:rPr>
        <w:t>（三）针对网站用户访问数据进行分析，指导网站建设</w:t>
      </w:r>
    </w:p>
    <w:p w14:paraId="05323305">
      <w:pPr>
        <w:spacing w:line="560" w:lineRule="exact"/>
        <w:ind w:left="420" w:leftChars="200" w:firstLine="640" w:firstLineChars="200"/>
        <w:rPr>
          <w:rFonts w:ascii="仿宋_GB2312" w:hAnsi="仿宋" w:eastAsia="仿宋_GB2312"/>
          <w:color w:val="000000" w:themeColor="text1"/>
          <w:sz w:val="32"/>
          <w:szCs w:val="32"/>
          <w14:textFill>
            <w14:solidFill>
              <w14:schemeClr w14:val="tx1"/>
            </w14:solidFill>
          </w14:textFill>
        </w:rPr>
      </w:pPr>
      <w:r>
        <w:rPr>
          <w:rFonts w:hint="eastAsia" w:ascii="仿宋_GB2312" w:hAnsi="仿宋" w:eastAsia="仿宋_GB2312"/>
          <w:color w:val="000000" w:themeColor="text1"/>
          <w:sz w:val="32"/>
          <w:szCs w:val="32"/>
          <w14:textFill>
            <w14:solidFill>
              <w14:schemeClr w14:val="tx1"/>
            </w14:solidFill>
          </w14:textFill>
        </w:rPr>
        <w:t>基于网站内容管理平台，利用“大数据”及“互联网+”等信息技术支撑，建设网站访问数据分析平台。采取定量数据、实时动态数据、标准指导数据相结合方式，收集整理网站访问数据，并对访问数据进行直观展示，以用户为根本指导网站建设，同时支撑领导决策。</w:t>
      </w:r>
    </w:p>
    <w:p w14:paraId="6DB311EF">
      <w:pPr>
        <w:spacing w:line="560" w:lineRule="exact"/>
        <w:ind w:left="420" w:leftChars="200"/>
        <w:jc w:val="center"/>
        <w:rPr>
          <w:rFonts w:ascii="仿宋_GB2312" w:eastAsia="仿宋_GB2312"/>
          <w:color w:val="000000" w:themeColor="text1"/>
          <w:sz w:val="28"/>
          <w:szCs w:val="28"/>
          <w14:textFill>
            <w14:solidFill>
              <w14:schemeClr w14:val="tx1"/>
            </w14:solidFill>
          </w14:textFill>
        </w:rPr>
      </w:pPr>
      <w:r>
        <w:rPr>
          <w:rFonts w:hint="eastAsia" w:ascii="仿宋_GB2312" w:eastAsia="仿宋_GB2312"/>
          <w:color w:val="000000" w:themeColor="text1"/>
          <w:sz w:val="28"/>
          <w:szCs w:val="28"/>
          <w14:textFill>
            <w14:solidFill>
              <w14:schemeClr w14:val="tx1"/>
            </w14:solidFill>
          </w14:textFill>
        </w:rPr>
        <w:drawing>
          <wp:anchor distT="0" distB="0" distL="114935" distR="114935" simplePos="0" relativeHeight="251661312" behindDoc="0" locked="0" layoutInCell="1" allowOverlap="1">
            <wp:simplePos x="0" y="0"/>
            <wp:positionH relativeFrom="column">
              <wp:posOffset>133350</wp:posOffset>
            </wp:positionH>
            <wp:positionV relativeFrom="paragraph">
              <wp:posOffset>194310</wp:posOffset>
            </wp:positionV>
            <wp:extent cx="5469890" cy="3623310"/>
            <wp:effectExtent l="0" t="0" r="16510" b="15240"/>
            <wp:wrapTopAndBottom/>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9"/>
                    <a:stretch>
                      <a:fillRect/>
                    </a:stretch>
                  </pic:blipFill>
                  <pic:spPr>
                    <a:xfrm>
                      <a:off x="0" y="0"/>
                      <a:ext cx="5469890" cy="3623310"/>
                    </a:xfrm>
                    <a:prstGeom prst="rect">
                      <a:avLst/>
                    </a:prstGeom>
                    <a:noFill/>
                    <a:ln w="9525">
                      <a:noFill/>
                    </a:ln>
                  </pic:spPr>
                </pic:pic>
              </a:graphicData>
            </a:graphic>
          </wp:anchor>
        </w:drawing>
      </w:r>
      <w:r>
        <w:rPr>
          <w:rFonts w:hint="eastAsia" w:ascii="仿宋_GB2312" w:eastAsia="仿宋_GB2312"/>
          <w:color w:val="000000" w:themeColor="text1"/>
          <w:sz w:val="28"/>
          <w:szCs w:val="28"/>
          <w14:textFill>
            <w14:solidFill>
              <w14:schemeClr w14:val="tx1"/>
            </w14:solidFill>
          </w14:textFill>
        </w:rPr>
        <w:t>网站用户访问数据分析展示页面</w:t>
      </w:r>
    </w:p>
    <w:p w14:paraId="69F4D452">
      <w:pPr>
        <w:spacing w:line="560" w:lineRule="exact"/>
        <w:ind w:right="55" w:rightChars="26"/>
        <w:jc w:val="left"/>
        <w:rPr>
          <w:rFonts w:ascii="仿宋_GB2312" w:hAnsi="仿宋" w:eastAsia="仿宋_GB2312"/>
          <w:color w:val="0000FF"/>
          <w:sz w:val="32"/>
          <w:szCs w:val="32"/>
        </w:rPr>
      </w:pPr>
    </w:p>
    <w:p w14:paraId="6921F6D6">
      <w:pPr>
        <w:numPr>
          <w:ilvl w:val="0"/>
          <w:numId w:val="3"/>
        </w:numPr>
        <w:spacing w:line="560" w:lineRule="exact"/>
        <w:ind w:firstLine="803" w:firstLineChars="250"/>
        <w:rPr>
          <w:rFonts w:hint="eastAsia" w:ascii="仿宋_GB2312" w:hAnsi="仿宋" w:eastAsia="仿宋_GB2312"/>
          <w:b/>
          <w:color w:val="000000" w:themeColor="text1"/>
          <w:sz w:val="32"/>
          <w:szCs w:val="32"/>
          <w:lang w:eastAsia="zh-CN"/>
          <w14:textFill>
            <w14:solidFill>
              <w14:schemeClr w14:val="tx1"/>
            </w14:solidFill>
          </w14:textFill>
        </w:rPr>
      </w:pPr>
      <w:r>
        <w:rPr>
          <w:rFonts w:hint="eastAsia" w:ascii="仿宋_GB2312" w:hAnsi="仿宋" w:eastAsia="仿宋_GB2312"/>
          <w:b/>
          <w:color w:val="000000" w:themeColor="text1"/>
          <w:sz w:val="32"/>
          <w:szCs w:val="32"/>
          <w:lang w:eastAsia="zh-CN"/>
          <w14:textFill>
            <w14:solidFill>
              <w14:schemeClr w14:val="tx1"/>
            </w14:solidFill>
          </w14:textFill>
        </w:rPr>
        <w:t>构建手机门户网站，提升网站宣传力度和影响力</w:t>
      </w:r>
    </w:p>
    <w:p w14:paraId="7BE14305">
      <w:pPr>
        <w:numPr>
          <w:ilvl w:val="0"/>
          <w:numId w:val="0"/>
        </w:numPr>
        <w:tabs>
          <w:tab w:val="left" w:pos="1249"/>
        </w:tabs>
        <w:spacing w:line="560" w:lineRule="exact"/>
        <w:rPr>
          <w:rFonts w:hint="default" w:ascii="仿宋_GB2312" w:hAnsi="仿宋" w:eastAsia="仿宋_GB2312"/>
          <w:color w:val="000000" w:themeColor="text1"/>
          <w:sz w:val="32"/>
          <w:szCs w:val="32"/>
          <w:lang w:val="en-US" w:eastAsia="zh-CN"/>
          <w14:textFill>
            <w14:solidFill>
              <w14:schemeClr w14:val="tx1"/>
            </w14:solidFill>
          </w14:textFill>
        </w:rPr>
      </w:pPr>
      <w:r>
        <w:rPr>
          <w:rFonts w:hint="eastAsia" w:ascii="仿宋_GB2312" w:hAnsi="仿宋" w:eastAsia="仿宋_GB2312"/>
          <w:b/>
          <w:color w:val="000000" w:themeColor="text1"/>
          <w:sz w:val="32"/>
          <w:szCs w:val="32"/>
          <w:lang w:val="en-US" w:eastAsia="zh-CN"/>
          <w14:textFill>
            <w14:solidFill>
              <w14:schemeClr w14:val="tx1"/>
            </w14:solidFill>
          </w14:textFill>
        </w:rPr>
        <w:t xml:space="preserve">    </w:t>
      </w:r>
      <w:r>
        <w:rPr>
          <w:rFonts w:hint="eastAsia" w:ascii="仿宋_GB2312" w:hAnsi="仿宋" w:eastAsia="仿宋_GB2312"/>
          <w:color w:val="000000" w:themeColor="text1"/>
          <w:sz w:val="32"/>
          <w:szCs w:val="32"/>
          <w:lang w:val="en-US" w:eastAsia="zh-CN"/>
          <w14:textFill>
            <w14:solidFill>
              <w14:schemeClr w14:val="tx1"/>
            </w14:solidFill>
          </w14:textFill>
        </w:rPr>
        <w:t>“北京东城”APP全面上线。“北京东城”APP以东城区居民、驻区单位、关心东城发展的社会各界人士为服务对象，经过近三月运转，目前已初步实现“新闻+政务”“新闻+服务”“新闻+监督”功能。5月16日，“北京东城”APP在IOS系统正式上线；6月12日腾讯应用宝上线。一是加强机制建设。建立联席会制度，4月初，出台《“北京东城”APP实施方案》，组织全区各街道、相关委办局召开协调会，收集各单位报送联系人，并建立“北京东城”APP微信群，增强与各街道、单位的联系。二是加强内容建设，“北京东城”APP主界面分为首页频道、视频、服务三个部分，目前每日更新大约30条。频道版块建设方面，第一期上线频道共11个，分别为：推荐、新时代、新闻、胡同、文化、旅游、消费、读图、教育、健康、专题11个频道；视频版块建设方面，在视频部分呈现东城区各部门优质视频资源，包括外宣片、专题片、微电影、电影等，目前已有100余部视频内容。直播主要对东城区重要活动现场直播；服务版块建设方面，目前主要包括东城街道、政府热线、我要吐槽及相关信息查询等内容。其中，东城街道可链接到全区各街道官方微博。市民热线对接12345热线。“我要吐槽”接入“市民随手拍”功能，为东城居民提供反馈投诉平台，拓展交流渠道。信息查询包括教育资源、医疗机构、社区服务、社区养老、图书馆、体育馆、博物馆、出入境办理的展示矩阵。</w:t>
      </w:r>
    </w:p>
    <w:p w14:paraId="119F5E32">
      <w:pPr>
        <w:spacing w:line="560" w:lineRule="exact"/>
        <w:ind w:firstLine="624" w:firstLineChars="200"/>
        <w:rPr>
          <w:rFonts w:eastAsia="仿宋_GB2312"/>
          <w:spacing w:val="-4"/>
          <w:sz w:val="32"/>
          <w:szCs w:val="32"/>
        </w:rPr>
      </w:pPr>
    </w:p>
    <w:p w14:paraId="7AE45147">
      <w:pPr>
        <w:tabs>
          <w:tab w:val="left" w:pos="4699"/>
        </w:tabs>
        <w:spacing w:line="560" w:lineRule="exact"/>
        <w:ind w:right="622" w:rightChars="296" w:firstLine="3432" w:firstLineChars="1100"/>
        <w:jc w:val="left"/>
        <w:rPr>
          <w:rFonts w:hint="eastAsia" w:eastAsia="仿宋_GB2312"/>
          <w:spacing w:val="-4"/>
          <w:sz w:val="32"/>
          <w:szCs w:val="32"/>
          <w:lang w:val="en-US" w:eastAsia="zh-CN"/>
        </w:rPr>
      </w:pPr>
      <w:r>
        <w:rPr>
          <w:rFonts w:hint="eastAsia" w:eastAsia="仿宋_GB2312"/>
          <w:spacing w:val="-4"/>
          <w:sz w:val="32"/>
          <w:szCs w:val="32"/>
          <w:lang w:eastAsia="zh-CN"/>
        </w:rPr>
        <w:t>北京市东城区科学技术和信息化局</w:t>
      </w:r>
    </w:p>
    <w:p w14:paraId="08750C24">
      <w:pPr>
        <w:spacing w:line="560" w:lineRule="exact"/>
        <w:ind w:left="1233" w:right="1329" w:rightChars="633" w:hanging="914"/>
        <w:jc w:val="center"/>
        <w:rPr>
          <w:szCs w:val="28"/>
        </w:rPr>
      </w:pPr>
      <w:r>
        <w:rPr>
          <w:rFonts w:hint="eastAsia" w:eastAsia="仿宋_GB2312"/>
          <w:spacing w:val="-4"/>
          <w:sz w:val="32"/>
          <w:szCs w:val="32"/>
          <w:lang w:val="en-US" w:eastAsia="zh-CN"/>
        </w:rPr>
        <w:t xml:space="preserve">                       </w:t>
      </w:r>
      <w:r>
        <w:rPr>
          <w:rFonts w:eastAsia="仿宋_GB2312"/>
          <w:spacing w:val="-4"/>
          <w:sz w:val="32"/>
          <w:szCs w:val="32"/>
        </w:rPr>
        <w:t>20</w:t>
      </w:r>
      <w:r>
        <w:rPr>
          <w:rFonts w:hint="eastAsia" w:eastAsia="仿宋_GB2312"/>
          <w:spacing w:val="-4"/>
          <w:sz w:val="32"/>
          <w:szCs w:val="32"/>
        </w:rPr>
        <w:t>19</w:t>
      </w:r>
      <w:r>
        <w:rPr>
          <w:rFonts w:eastAsia="仿宋_GB2312"/>
          <w:spacing w:val="-4"/>
          <w:sz w:val="32"/>
          <w:szCs w:val="32"/>
        </w:rPr>
        <w:t>年</w:t>
      </w:r>
      <w:r>
        <w:rPr>
          <w:rFonts w:hint="eastAsia" w:eastAsia="仿宋_GB2312"/>
          <w:spacing w:val="-4"/>
          <w:sz w:val="32"/>
          <w:szCs w:val="32"/>
          <w:lang w:val="en-US" w:eastAsia="zh-CN"/>
        </w:rPr>
        <w:t>8</w:t>
      </w:r>
      <w:r>
        <w:rPr>
          <w:rFonts w:eastAsia="仿宋_GB2312"/>
          <w:spacing w:val="-4"/>
          <w:sz w:val="32"/>
          <w:szCs w:val="32"/>
        </w:rPr>
        <w:t>月</w:t>
      </w:r>
      <w:r>
        <w:rPr>
          <w:rFonts w:hint="eastAsia" w:eastAsia="仿宋_GB2312"/>
          <w:spacing w:val="-4"/>
          <w:sz w:val="32"/>
          <w:szCs w:val="32"/>
        </w:rPr>
        <w:t>13</w:t>
      </w:r>
      <w:r>
        <w:rPr>
          <w:rFonts w:eastAsia="仿宋_GB2312"/>
          <w:spacing w:val="-4"/>
          <w:sz w:val="32"/>
          <w:szCs w:val="32"/>
        </w:rPr>
        <w:t>日</w:t>
      </w:r>
    </w:p>
    <w:p w14:paraId="0D76BBC0">
      <w:pPr>
        <w:spacing w:line="560" w:lineRule="exact"/>
      </w:pPr>
    </w:p>
    <w:sectPr>
      <w:headerReference r:id="rId3" w:type="default"/>
      <w:footerReference r:id="rId4" w:type="default"/>
      <w:footerReference r:id="rId5" w:type="even"/>
      <w:pgSz w:w="11906" w:h="16838"/>
      <w:pgMar w:top="1928" w:right="1474" w:bottom="1871" w:left="1588" w:header="851" w:footer="1474" w:gutter="0"/>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方正小标宋简体">
    <w:altName w:val="方正舒体"/>
    <w:panose1 w:val="00000000000000000000"/>
    <w:charset w:val="86"/>
    <w:family w:val="auto"/>
    <w:pitch w:val="default"/>
    <w:sig w:usb0="00000000" w:usb1="00000000" w:usb2="00000010" w:usb3="00000000" w:csb0="00040000" w:csb1="00000000"/>
  </w:font>
  <w:font w:name="仿宋_GB2312">
    <w:altName w:val="仿宋"/>
    <w:panose1 w:val="00000000000000000000"/>
    <w:charset w:val="00"/>
    <w:family w:val="auto"/>
    <w:pitch w:val="default"/>
    <w:sig w:usb0="00000000" w:usb1="00000000" w:usb2="00000000" w:usb3="00000000" w:csb0="00000000" w:csb1="00000000"/>
  </w:font>
  <w:font w:name="仿宋">
    <w:panose1 w:val="02010609060101010101"/>
    <w:charset w:val="86"/>
    <w:family w:val="modern"/>
    <w:pitch w:val="default"/>
    <w:sig w:usb0="800002BF" w:usb1="38CF7CFA" w:usb2="00000016" w:usb3="00000000" w:csb0="00040001" w:csb1="00000000"/>
  </w:font>
  <w:font w:name="方正舒体">
    <w:panose1 w:val="02010601030101010101"/>
    <w:charset w:val="86"/>
    <w:family w:val="auto"/>
    <w:pitch w:val="default"/>
    <w:sig w:usb0="00000003"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D98E51">
    <w:pPr>
      <w:pStyle w:val="3"/>
      <w:framePr w:wrap="around" w:vAnchor="text" w:hAnchor="margin" w:xAlign="outside" w:y="1"/>
      <w:jc w:val="center"/>
      <w:rPr>
        <w:rStyle w:val="8"/>
        <w:rFonts w:ascii="宋体"/>
        <w:sz w:val="28"/>
      </w:rPr>
    </w:pPr>
    <w:r>
      <w:rPr>
        <w:rStyle w:val="8"/>
        <w:rFonts w:hint="eastAsia" w:ascii="宋体"/>
        <w:color w:val="FFFFFF"/>
        <w:kern w:val="0"/>
        <w:sz w:val="28"/>
        <w:szCs w:val="28"/>
      </w:rPr>
      <w:t>—</w:t>
    </w:r>
    <w:r>
      <w:rPr>
        <w:rStyle w:val="8"/>
        <w:rFonts w:hint="eastAsia" w:ascii="宋体"/>
        <w:kern w:val="0"/>
        <w:sz w:val="28"/>
      </w:rPr>
      <w:t>—</w:t>
    </w:r>
    <w:r>
      <w:rPr>
        <w:rStyle w:val="8"/>
        <w:rFonts w:ascii="宋体"/>
        <w:kern w:val="0"/>
        <w:sz w:val="28"/>
      </w:rPr>
      <w:t xml:space="preserve"> </w:t>
    </w:r>
    <w:r>
      <w:rPr>
        <w:rStyle w:val="8"/>
        <w:rFonts w:ascii="宋体"/>
        <w:kern w:val="0"/>
        <w:sz w:val="28"/>
      </w:rPr>
      <w:fldChar w:fldCharType="begin"/>
    </w:r>
    <w:r>
      <w:rPr>
        <w:rStyle w:val="8"/>
        <w:rFonts w:ascii="宋体"/>
        <w:kern w:val="0"/>
        <w:sz w:val="28"/>
      </w:rPr>
      <w:instrText xml:space="preserve"> PAGE </w:instrText>
    </w:r>
    <w:r>
      <w:rPr>
        <w:rStyle w:val="8"/>
        <w:rFonts w:ascii="宋体"/>
        <w:kern w:val="0"/>
        <w:sz w:val="28"/>
      </w:rPr>
      <w:fldChar w:fldCharType="separate"/>
    </w:r>
    <w:r>
      <w:rPr>
        <w:rStyle w:val="8"/>
        <w:rFonts w:ascii="宋体"/>
        <w:kern w:val="0"/>
        <w:sz w:val="28"/>
      </w:rPr>
      <w:t>5</w:t>
    </w:r>
    <w:r>
      <w:rPr>
        <w:rStyle w:val="8"/>
        <w:rFonts w:ascii="宋体"/>
        <w:kern w:val="0"/>
        <w:sz w:val="28"/>
      </w:rPr>
      <w:fldChar w:fldCharType="end"/>
    </w:r>
    <w:r>
      <w:rPr>
        <w:rStyle w:val="8"/>
        <w:rFonts w:ascii="宋体"/>
        <w:kern w:val="0"/>
        <w:sz w:val="28"/>
      </w:rPr>
      <w:t xml:space="preserve"> </w:t>
    </w:r>
    <w:r>
      <w:rPr>
        <w:rStyle w:val="8"/>
        <w:rFonts w:hint="eastAsia" w:ascii="宋体"/>
        <w:kern w:val="0"/>
        <w:sz w:val="28"/>
      </w:rPr>
      <w:t>—</w:t>
    </w:r>
    <w:r>
      <w:rPr>
        <w:rStyle w:val="8"/>
        <w:rFonts w:hint="eastAsia" w:ascii="宋体"/>
        <w:color w:val="FFFFFF"/>
        <w:kern w:val="0"/>
        <w:sz w:val="28"/>
        <w:szCs w:val="28"/>
      </w:rPr>
      <w:t>—</w:t>
    </w:r>
  </w:p>
  <w:p w14:paraId="169D8898">
    <w:pPr>
      <w:pStyle w:val="3"/>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89CBEC">
    <w:pPr>
      <w:pStyle w:val="3"/>
      <w:framePr w:wrap="around" w:vAnchor="text" w:hAnchor="margin" w:xAlign="outside" w:y="1"/>
      <w:rPr>
        <w:rStyle w:val="8"/>
      </w:rPr>
    </w:pPr>
    <w:r>
      <w:rPr>
        <w:rStyle w:val="8"/>
      </w:rPr>
      <w:fldChar w:fldCharType="begin"/>
    </w:r>
    <w:r>
      <w:rPr>
        <w:rStyle w:val="8"/>
      </w:rPr>
      <w:instrText xml:space="preserve">PAGE  </w:instrText>
    </w:r>
    <w:r>
      <w:rPr>
        <w:rStyle w:val="8"/>
      </w:rPr>
      <w:fldChar w:fldCharType="end"/>
    </w:r>
  </w:p>
  <w:p w14:paraId="482BD0B6">
    <w:pPr>
      <w:pStyle w:val="3"/>
      <w:ind w:right="360" w:firstLine="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752993">
    <w:pPr>
      <w:pStyle w:val="4"/>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3452420"/>
    <w:multiLevelType w:val="singleLevel"/>
    <w:tmpl w:val="F3452420"/>
    <w:lvl w:ilvl="0" w:tentative="0">
      <w:start w:val="8"/>
      <w:numFmt w:val="chineseCounting"/>
      <w:suff w:val="nothing"/>
      <w:lvlText w:val="%1、"/>
      <w:lvlJc w:val="left"/>
      <w:rPr>
        <w:rFonts w:hint="eastAsia"/>
      </w:rPr>
    </w:lvl>
  </w:abstractNum>
  <w:abstractNum w:abstractNumId="1">
    <w:nsid w:val="077EB443"/>
    <w:multiLevelType w:val="singleLevel"/>
    <w:tmpl w:val="077EB443"/>
    <w:lvl w:ilvl="0" w:tentative="0">
      <w:start w:val="4"/>
      <w:numFmt w:val="chineseCounting"/>
      <w:suff w:val="nothing"/>
      <w:lvlText w:val="（%1）"/>
      <w:lvlJc w:val="left"/>
      <w:rPr>
        <w:rFonts w:hint="eastAsia"/>
      </w:rPr>
    </w:lvl>
  </w:abstractNum>
  <w:abstractNum w:abstractNumId="2">
    <w:nsid w:val="7D114001"/>
    <w:multiLevelType w:val="multilevel"/>
    <w:tmpl w:val="7D114001"/>
    <w:lvl w:ilvl="0" w:tentative="0">
      <w:start w:val="1"/>
      <w:numFmt w:val="japaneseCounting"/>
      <w:lvlText w:val="%1、"/>
      <w:lvlJc w:val="left"/>
      <w:pPr>
        <w:ind w:left="1430" w:hanging="720"/>
      </w:pPr>
      <w:rPr>
        <w:lang w:val="en-US"/>
      </w:rPr>
    </w:lvl>
    <w:lvl w:ilvl="1" w:tentative="0">
      <w:start w:val="1"/>
      <w:numFmt w:val="lowerLetter"/>
      <w:lvlText w:val="%2)"/>
      <w:lvlJc w:val="left"/>
      <w:pPr>
        <w:ind w:left="1480" w:hanging="420"/>
      </w:pPr>
    </w:lvl>
    <w:lvl w:ilvl="2" w:tentative="0">
      <w:start w:val="1"/>
      <w:numFmt w:val="lowerRoman"/>
      <w:lvlText w:val="%3."/>
      <w:lvlJc w:val="right"/>
      <w:pPr>
        <w:ind w:left="1900" w:hanging="420"/>
      </w:pPr>
    </w:lvl>
    <w:lvl w:ilvl="3" w:tentative="0">
      <w:start w:val="1"/>
      <w:numFmt w:val="decimal"/>
      <w:lvlText w:val="%4."/>
      <w:lvlJc w:val="left"/>
      <w:pPr>
        <w:ind w:left="2320" w:hanging="420"/>
      </w:pPr>
    </w:lvl>
    <w:lvl w:ilvl="4" w:tentative="0">
      <w:start w:val="1"/>
      <w:numFmt w:val="lowerLetter"/>
      <w:lvlText w:val="%5)"/>
      <w:lvlJc w:val="left"/>
      <w:pPr>
        <w:ind w:left="2740" w:hanging="420"/>
      </w:pPr>
    </w:lvl>
    <w:lvl w:ilvl="5" w:tentative="0">
      <w:start w:val="1"/>
      <w:numFmt w:val="lowerRoman"/>
      <w:lvlText w:val="%6."/>
      <w:lvlJc w:val="right"/>
      <w:pPr>
        <w:ind w:left="3160" w:hanging="420"/>
      </w:pPr>
    </w:lvl>
    <w:lvl w:ilvl="6" w:tentative="0">
      <w:start w:val="1"/>
      <w:numFmt w:val="decimal"/>
      <w:lvlText w:val="%7."/>
      <w:lvlJc w:val="left"/>
      <w:pPr>
        <w:ind w:left="3580" w:hanging="420"/>
      </w:pPr>
    </w:lvl>
    <w:lvl w:ilvl="7" w:tentative="0">
      <w:start w:val="1"/>
      <w:numFmt w:val="lowerLetter"/>
      <w:lvlText w:val="%8)"/>
      <w:lvlJc w:val="left"/>
      <w:pPr>
        <w:ind w:left="4000" w:hanging="420"/>
      </w:pPr>
    </w:lvl>
    <w:lvl w:ilvl="8" w:tentative="0">
      <w:start w:val="1"/>
      <w:numFmt w:val="lowerRoman"/>
      <w:lvlText w:val="%9."/>
      <w:lvlJc w:val="right"/>
      <w:pPr>
        <w:ind w:left="4420" w:hanging="420"/>
      </w:p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view w:val="normal"/>
  <w:zoom w:percent="75"/>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M3ZTNmZDI1NmQ1ZTM4NTE5YjMxMjg1MTU3YmQxOWQifQ=="/>
  </w:docVars>
  <w:rsids>
    <w:rsidRoot w:val="00DB548D"/>
    <w:rsid w:val="00043975"/>
    <w:rsid w:val="00052BA0"/>
    <w:rsid w:val="000644E3"/>
    <w:rsid w:val="00070136"/>
    <w:rsid w:val="0012119D"/>
    <w:rsid w:val="00145709"/>
    <w:rsid w:val="001517DB"/>
    <w:rsid w:val="0016550B"/>
    <w:rsid w:val="001B30AB"/>
    <w:rsid w:val="001E173F"/>
    <w:rsid w:val="00201092"/>
    <w:rsid w:val="00233783"/>
    <w:rsid w:val="0024447B"/>
    <w:rsid w:val="002502FF"/>
    <w:rsid w:val="003107DD"/>
    <w:rsid w:val="0031468A"/>
    <w:rsid w:val="00337CDD"/>
    <w:rsid w:val="00376F66"/>
    <w:rsid w:val="003B204A"/>
    <w:rsid w:val="00414966"/>
    <w:rsid w:val="00425DDC"/>
    <w:rsid w:val="00453604"/>
    <w:rsid w:val="004B44EF"/>
    <w:rsid w:val="004E7918"/>
    <w:rsid w:val="005058B7"/>
    <w:rsid w:val="0052417F"/>
    <w:rsid w:val="00560AC9"/>
    <w:rsid w:val="00587DFA"/>
    <w:rsid w:val="0063725C"/>
    <w:rsid w:val="00642484"/>
    <w:rsid w:val="0064615C"/>
    <w:rsid w:val="006A4173"/>
    <w:rsid w:val="006B2D7E"/>
    <w:rsid w:val="006D70E7"/>
    <w:rsid w:val="00701B25"/>
    <w:rsid w:val="007261DF"/>
    <w:rsid w:val="00734945"/>
    <w:rsid w:val="00751AAF"/>
    <w:rsid w:val="007576DD"/>
    <w:rsid w:val="00765D10"/>
    <w:rsid w:val="00766D57"/>
    <w:rsid w:val="007C0743"/>
    <w:rsid w:val="007D567B"/>
    <w:rsid w:val="007F0FFD"/>
    <w:rsid w:val="00853817"/>
    <w:rsid w:val="008B3D9A"/>
    <w:rsid w:val="008B51EB"/>
    <w:rsid w:val="008C109A"/>
    <w:rsid w:val="008D6F27"/>
    <w:rsid w:val="00905CCA"/>
    <w:rsid w:val="0092463E"/>
    <w:rsid w:val="00936686"/>
    <w:rsid w:val="00954E57"/>
    <w:rsid w:val="009706DE"/>
    <w:rsid w:val="009B59F9"/>
    <w:rsid w:val="009D2F3E"/>
    <w:rsid w:val="00A174AD"/>
    <w:rsid w:val="00A305B4"/>
    <w:rsid w:val="00A30EB4"/>
    <w:rsid w:val="00A922AF"/>
    <w:rsid w:val="00BB3A41"/>
    <w:rsid w:val="00C94D9D"/>
    <w:rsid w:val="00CC5765"/>
    <w:rsid w:val="00D40BD9"/>
    <w:rsid w:val="00D54782"/>
    <w:rsid w:val="00D666D6"/>
    <w:rsid w:val="00D8042B"/>
    <w:rsid w:val="00D8764C"/>
    <w:rsid w:val="00DB548D"/>
    <w:rsid w:val="00E225FA"/>
    <w:rsid w:val="00E35D9F"/>
    <w:rsid w:val="00E40053"/>
    <w:rsid w:val="00E525C2"/>
    <w:rsid w:val="00E72BF3"/>
    <w:rsid w:val="00EC0245"/>
    <w:rsid w:val="00EC7035"/>
    <w:rsid w:val="00F43AEA"/>
    <w:rsid w:val="00FA1971"/>
    <w:rsid w:val="00FA31A2"/>
    <w:rsid w:val="00FA4BAD"/>
    <w:rsid w:val="00FB3C79"/>
    <w:rsid w:val="00FB7F38"/>
    <w:rsid w:val="05822518"/>
    <w:rsid w:val="062D1935"/>
    <w:rsid w:val="0C245436"/>
    <w:rsid w:val="0C4E520C"/>
    <w:rsid w:val="0E817151"/>
    <w:rsid w:val="13CC7743"/>
    <w:rsid w:val="1DA446AF"/>
    <w:rsid w:val="1F0D1F36"/>
    <w:rsid w:val="20434B05"/>
    <w:rsid w:val="20781DF2"/>
    <w:rsid w:val="22C028AA"/>
    <w:rsid w:val="25BC2290"/>
    <w:rsid w:val="2B357847"/>
    <w:rsid w:val="2FB61C78"/>
    <w:rsid w:val="367E718C"/>
    <w:rsid w:val="36CF7BC2"/>
    <w:rsid w:val="39DA2C52"/>
    <w:rsid w:val="39EB2139"/>
    <w:rsid w:val="3AE270AB"/>
    <w:rsid w:val="3C6F10E4"/>
    <w:rsid w:val="3F2C2B40"/>
    <w:rsid w:val="40EC6D22"/>
    <w:rsid w:val="4432784A"/>
    <w:rsid w:val="44E35548"/>
    <w:rsid w:val="44EE569E"/>
    <w:rsid w:val="45D42CB8"/>
    <w:rsid w:val="465C3E03"/>
    <w:rsid w:val="49225F14"/>
    <w:rsid w:val="4B7021D3"/>
    <w:rsid w:val="51DC543C"/>
    <w:rsid w:val="533B538B"/>
    <w:rsid w:val="5EF74F78"/>
    <w:rsid w:val="5FAB0B6A"/>
    <w:rsid w:val="64774AA1"/>
    <w:rsid w:val="6B440748"/>
    <w:rsid w:val="6F8C0861"/>
    <w:rsid w:val="70D978F0"/>
    <w:rsid w:val="710F0B01"/>
    <w:rsid w:val="72135EA5"/>
    <w:rsid w:val="73B92AC7"/>
    <w:rsid w:val="76C042EC"/>
    <w:rsid w:val="77037605"/>
    <w:rsid w:val="7C96519A"/>
    <w:rsid w:val="7F6308B3"/>
    <w:rsid w:val="7F9C1C55"/>
    <w:rsid w:val="7FA12E1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0" w:semiHidden="0"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7">
    <w:name w:val="Default Paragraph Font"/>
    <w:semiHidden/>
    <w:unhideWhenUsed/>
    <w:qFormat/>
    <w:uiPriority w:val="1"/>
  </w:style>
  <w:style w:type="table" w:default="1" w:styleId="6">
    <w:name w:val="Normal Table"/>
    <w:semiHidden/>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2">
    <w:name w:val="Balloon Text"/>
    <w:basedOn w:val="1"/>
    <w:link w:val="13"/>
    <w:semiHidden/>
    <w:unhideWhenUsed/>
    <w:qFormat/>
    <w:uiPriority w:val="99"/>
    <w:rPr>
      <w:sz w:val="18"/>
      <w:szCs w:val="18"/>
    </w:rPr>
  </w:style>
  <w:style w:type="paragraph" w:styleId="3">
    <w:name w:val="footer"/>
    <w:basedOn w:val="1"/>
    <w:link w:val="10"/>
    <w:qFormat/>
    <w:uiPriority w:val="0"/>
    <w:pPr>
      <w:tabs>
        <w:tab w:val="center" w:pos="4153"/>
        <w:tab w:val="right" w:pos="8306"/>
      </w:tabs>
      <w:snapToGrid w:val="0"/>
      <w:jc w:val="left"/>
    </w:pPr>
    <w:rPr>
      <w:sz w:val="18"/>
      <w:szCs w:val="18"/>
    </w:rPr>
  </w:style>
  <w:style w:type="paragraph" w:styleId="4">
    <w:name w:val="header"/>
    <w:basedOn w:val="1"/>
    <w:link w:val="9"/>
    <w:qFormat/>
    <w:uiPriority w:val="0"/>
    <w:pPr>
      <w:pBdr>
        <w:bottom w:val="single" w:color="auto" w:sz="6" w:space="1"/>
      </w:pBdr>
      <w:tabs>
        <w:tab w:val="center" w:pos="4153"/>
        <w:tab w:val="right" w:pos="8306"/>
      </w:tabs>
      <w:snapToGrid w:val="0"/>
      <w:jc w:val="center"/>
    </w:pPr>
    <w:rPr>
      <w:sz w:val="18"/>
      <w:szCs w:val="18"/>
    </w:rPr>
  </w:style>
  <w:style w:type="paragraph" w:styleId="5">
    <w:name w:val="Normal (Web)"/>
    <w:basedOn w:val="1"/>
    <w:unhideWhenUsed/>
    <w:qFormat/>
    <w:uiPriority w:val="99"/>
    <w:pPr>
      <w:widowControl/>
      <w:spacing w:before="100" w:beforeAutospacing="1" w:after="100" w:afterAutospacing="1"/>
      <w:jc w:val="left"/>
    </w:pPr>
    <w:rPr>
      <w:rFonts w:ascii="宋体" w:hAnsi="宋体" w:cs="宋体"/>
      <w:kern w:val="0"/>
      <w:sz w:val="24"/>
    </w:rPr>
  </w:style>
  <w:style w:type="character" w:styleId="8">
    <w:name w:val="page number"/>
    <w:basedOn w:val="7"/>
    <w:qFormat/>
    <w:uiPriority w:val="0"/>
  </w:style>
  <w:style w:type="character" w:customStyle="1" w:styleId="9">
    <w:name w:val="页眉 字符"/>
    <w:basedOn w:val="7"/>
    <w:link w:val="4"/>
    <w:qFormat/>
    <w:uiPriority w:val="0"/>
    <w:rPr>
      <w:rFonts w:ascii="Times New Roman" w:hAnsi="Times New Roman" w:eastAsia="宋体" w:cs="Times New Roman"/>
      <w:sz w:val="18"/>
      <w:szCs w:val="18"/>
    </w:rPr>
  </w:style>
  <w:style w:type="character" w:customStyle="1" w:styleId="10">
    <w:name w:val="页脚 字符"/>
    <w:basedOn w:val="7"/>
    <w:link w:val="3"/>
    <w:qFormat/>
    <w:uiPriority w:val="0"/>
    <w:rPr>
      <w:rFonts w:ascii="Times New Roman" w:hAnsi="Times New Roman" w:eastAsia="宋体" w:cs="Times New Roman"/>
      <w:sz w:val="18"/>
      <w:szCs w:val="18"/>
    </w:rPr>
  </w:style>
  <w:style w:type="paragraph" w:styleId="11">
    <w:name w:val="List Paragraph"/>
    <w:basedOn w:val="1"/>
    <w:qFormat/>
    <w:uiPriority w:val="34"/>
    <w:pPr>
      <w:ind w:firstLine="420" w:firstLineChars="200"/>
    </w:pPr>
    <w:rPr>
      <w:rFonts w:ascii="Calibri" w:hAnsi="Calibri"/>
      <w:szCs w:val="22"/>
    </w:rPr>
  </w:style>
  <w:style w:type="paragraph" w:customStyle="1" w:styleId="12">
    <w:name w:val="my正文"/>
    <w:basedOn w:val="1"/>
    <w:qFormat/>
    <w:uiPriority w:val="0"/>
    <w:pPr>
      <w:spacing w:line="360" w:lineRule="auto"/>
      <w:ind w:firstLine="480" w:firstLineChars="200"/>
    </w:pPr>
    <w:rPr>
      <w:sz w:val="24"/>
    </w:rPr>
  </w:style>
  <w:style w:type="character" w:customStyle="1" w:styleId="13">
    <w:name w:val="批注框文本 字符"/>
    <w:basedOn w:val="7"/>
    <w:link w:val="2"/>
    <w:semiHidden/>
    <w:qFormat/>
    <w:uiPriority w:val="99"/>
    <w:rPr>
      <w:rFonts w:eastAsia="宋体"/>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2.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E1A5165-8CF3-4E63-9651-558DC1938079}">
  <ds:schemaRefs/>
</ds:datastoreItem>
</file>

<file path=docProps/app.xml><?xml version="1.0" encoding="utf-8"?>
<Properties xmlns="http://schemas.openxmlformats.org/officeDocument/2006/extended-properties" xmlns:vt="http://schemas.openxmlformats.org/officeDocument/2006/docPropsVTypes">
  <Template>Normal.dotm</Template>
  <Company>Lenovo</Company>
  <Pages>8</Pages>
  <Words>3383</Words>
  <Characters>3449</Characters>
  <Lines>30</Lines>
  <Paragraphs>8</Paragraphs>
  <TotalTime>84</TotalTime>
  <ScaleCrop>false</ScaleCrop>
  <LinksUpToDate>false</LinksUpToDate>
  <CharactersWithSpaces>3477</CharactersWithSpaces>
  <Application>WPS Office_12.1.0.18608_F1E327BC-269C-435d-A152-05C5408002CA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2018-08-13T01:41:00Z</dcterms:created>
  <dc:creator>李曼</dc:creator>
  <cp:lastModifiedBy>名字不重要</cp:lastModifiedBy>
  <cp:lastPrinted>2018-08-13T01:53:00Z</cp:lastPrinted>
  <dcterms:modified xsi:type="dcterms:W3CDTF">2024-12-16T02:03:52Z</dcterms:modified>
  <cp:revision>63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ICV">
    <vt:lpwstr>94F23922F8024825B2B0B273BBE80DBC_12</vt:lpwstr>
  </property>
</Properties>
</file>