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5479">
      <w:pPr>
        <w:pStyle w:val="15"/>
        <w:spacing w:after="0" w:line="240" w:lineRule="auto"/>
        <w:ind w:firstLine="0" w:firstLineChars="0"/>
        <w:rPr>
          <w:rFonts w:hint="eastAsia" w:ascii="华文中宋" w:hAnsi="华文中宋" w:eastAsia="华文中宋"/>
          <w:sz w:val="44"/>
          <w:szCs w:val="44"/>
          <w:highlight w:val="none"/>
        </w:rPr>
      </w:pPr>
    </w:p>
    <w:p w14:paraId="31D1A0F6">
      <w:pPr>
        <w:pStyle w:val="15"/>
        <w:spacing w:after="0" w:line="240" w:lineRule="auto"/>
        <w:ind w:firstLine="840"/>
        <w:rPr>
          <w:rFonts w:hint="eastAsia" w:ascii="华文中宋" w:hAnsi="华文中宋" w:eastAsia="华文中宋"/>
          <w:sz w:val="44"/>
          <w:szCs w:val="44"/>
          <w:highlight w:val="none"/>
        </w:rPr>
      </w:pPr>
    </w:p>
    <w:p w14:paraId="7C01315F">
      <w:pPr>
        <w:pStyle w:val="15"/>
        <w:spacing w:after="0" w:line="240" w:lineRule="auto"/>
        <w:ind w:firstLine="840"/>
        <w:rPr>
          <w:rFonts w:hint="eastAsia" w:ascii="华文中宋" w:hAnsi="华文中宋" w:eastAsia="华文中宋"/>
          <w:sz w:val="44"/>
          <w:szCs w:val="44"/>
          <w:highlight w:val="none"/>
        </w:rPr>
      </w:pPr>
    </w:p>
    <w:p w14:paraId="55A4899A">
      <w:pPr>
        <w:pStyle w:val="15"/>
        <w:spacing w:after="0" w:line="240" w:lineRule="auto"/>
        <w:ind w:firstLine="840"/>
        <w:rPr>
          <w:rFonts w:hint="eastAsia" w:ascii="华文中宋" w:hAnsi="华文中宋" w:eastAsia="华文中宋"/>
          <w:sz w:val="44"/>
          <w:szCs w:val="44"/>
          <w:highlight w:val="none"/>
        </w:rPr>
      </w:pPr>
    </w:p>
    <w:p w14:paraId="747D1467">
      <w:pPr>
        <w:pStyle w:val="15"/>
        <w:spacing w:after="0" w:line="240" w:lineRule="auto"/>
        <w:ind w:firstLine="0" w:firstLineChars="0"/>
        <w:rPr>
          <w:rFonts w:hint="eastAsia" w:ascii="华文中宋" w:hAnsi="华文中宋" w:eastAsia="华文中宋"/>
          <w:b/>
          <w:bCs/>
          <w:sz w:val="44"/>
          <w:szCs w:val="44"/>
          <w:highlight w:val="none"/>
        </w:rPr>
      </w:pPr>
      <w:r>
        <w:rPr>
          <w:rFonts w:hint="eastAsia" w:ascii="华文中宋" w:hAnsi="华文中宋" w:eastAsia="华文中宋"/>
          <w:b/>
          <w:bCs/>
          <w:sz w:val="44"/>
          <w:szCs w:val="44"/>
          <w:highlight w:val="none"/>
        </w:rPr>
        <w:t>东城区磁器口东街区综合性城市更新项目</w:t>
      </w:r>
    </w:p>
    <w:p w14:paraId="2025320E">
      <w:pPr>
        <w:pStyle w:val="15"/>
        <w:spacing w:after="0" w:line="240" w:lineRule="auto"/>
        <w:ind w:firstLine="0" w:firstLineChars="0"/>
        <w:rPr>
          <w:rFonts w:hint="eastAsia" w:ascii="华文中宋" w:hAnsi="华文中宋" w:eastAsia="华文中宋"/>
          <w:b/>
          <w:bCs/>
          <w:sz w:val="44"/>
          <w:szCs w:val="44"/>
          <w:highlight w:val="none"/>
        </w:rPr>
      </w:pPr>
      <w:r>
        <w:rPr>
          <w:rFonts w:hint="eastAsia" w:ascii="华文中宋" w:hAnsi="华文中宋" w:eastAsia="华文中宋"/>
          <w:b/>
          <w:bCs/>
          <w:sz w:val="44"/>
          <w:szCs w:val="44"/>
          <w:highlight w:val="none"/>
        </w:rPr>
        <w:t>城市更新实施方案</w:t>
      </w:r>
    </w:p>
    <w:p w14:paraId="73D4D0CF">
      <w:pPr>
        <w:pStyle w:val="15"/>
        <w:spacing w:after="0" w:line="240" w:lineRule="auto"/>
        <w:ind w:firstLine="0" w:firstLineChars="0"/>
        <w:rPr>
          <w:rFonts w:hint="eastAsia" w:ascii="仿宋" w:hAnsi="仿宋" w:eastAsia="仿宋" w:cstheme="minorBidi"/>
          <w:spacing w:val="0"/>
          <w:kern w:val="2"/>
          <w:sz w:val="28"/>
          <w:szCs w:val="28"/>
          <w:highlight w:val="none"/>
        </w:rPr>
      </w:pPr>
    </w:p>
    <w:p w14:paraId="39DFAB87">
      <w:pPr>
        <w:spacing w:line="240" w:lineRule="auto"/>
        <w:ind w:firstLine="0" w:firstLineChars="0"/>
        <w:rPr>
          <w:rFonts w:hint="eastAsia"/>
          <w:highlight w:val="none"/>
        </w:rPr>
      </w:pPr>
    </w:p>
    <w:p w14:paraId="4F509C02">
      <w:pPr>
        <w:spacing w:line="240" w:lineRule="auto"/>
        <w:ind w:firstLine="0" w:firstLineChars="0"/>
        <w:rPr>
          <w:rFonts w:hint="eastAsia"/>
          <w:highlight w:val="none"/>
        </w:rPr>
      </w:pPr>
    </w:p>
    <w:p w14:paraId="213C69EA">
      <w:pPr>
        <w:spacing w:line="240" w:lineRule="auto"/>
        <w:ind w:firstLine="0" w:firstLineChars="0"/>
        <w:rPr>
          <w:rFonts w:hint="eastAsia"/>
          <w:highlight w:val="none"/>
        </w:rPr>
      </w:pPr>
    </w:p>
    <w:p w14:paraId="27D09DE1">
      <w:pPr>
        <w:spacing w:line="240" w:lineRule="auto"/>
        <w:ind w:firstLine="0" w:firstLineChars="0"/>
        <w:rPr>
          <w:rFonts w:hint="eastAsia"/>
          <w:highlight w:val="none"/>
        </w:rPr>
      </w:pPr>
    </w:p>
    <w:p w14:paraId="2180A628">
      <w:pPr>
        <w:spacing w:line="240" w:lineRule="auto"/>
        <w:ind w:firstLine="0" w:firstLineChars="0"/>
        <w:rPr>
          <w:rFonts w:hint="eastAsia"/>
          <w:highlight w:val="none"/>
        </w:rPr>
      </w:pPr>
    </w:p>
    <w:p w14:paraId="41239A33">
      <w:pPr>
        <w:spacing w:line="240" w:lineRule="auto"/>
        <w:ind w:firstLine="0" w:firstLineChars="0"/>
        <w:rPr>
          <w:rFonts w:hint="eastAsia"/>
          <w:highlight w:val="none"/>
        </w:rPr>
      </w:pPr>
    </w:p>
    <w:p w14:paraId="6D4DC688">
      <w:pPr>
        <w:spacing w:line="240" w:lineRule="auto"/>
        <w:ind w:firstLine="0" w:firstLineChars="0"/>
        <w:rPr>
          <w:rFonts w:hint="eastAsia"/>
          <w:highlight w:val="none"/>
        </w:rPr>
      </w:pPr>
    </w:p>
    <w:p w14:paraId="3D3FD641">
      <w:pPr>
        <w:spacing w:line="240" w:lineRule="auto"/>
        <w:ind w:firstLine="0" w:firstLineChars="0"/>
        <w:jc w:val="center"/>
        <w:rPr>
          <w:rFonts w:hint="eastAsia"/>
          <w:highlight w:val="none"/>
        </w:rPr>
      </w:pPr>
    </w:p>
    <w:p w14:paraId="0FE699E3">
      <w:pPr>
        <w:spacing w:line="240" w:lineRule="auto"/>
        <w:ind w:firstLine="0" w:firstLineChars="0"/>
        <w:jc w:val="center"/>
        <w:rPr>
          <w:rFonts w:hint="eastAsia"/>
          <w:highlight w:val="none"/>
        </w:rPr>
      </w:pPr>
      <w:r>
        <w:rPr>
          <w:rFonts w:hint="eastAsia"/>
          <w:highlight w:val="none"/>
        </w:rPr>
        <w:t>北京首开磁东新晖城市更新置业发展有限公司</w:t>
      </w:r>
    </w:p>
    <w:p w14:paraId="7F8453CA">
      <w:pPr>
        <w:spacing w:line="240" w:lineRule="auto"/>
        <w:ind w:firstLine="0" w:firstLineChars="0"/>
        <w:jc w:val="center"/>
        <w:rPr>
          <w:rFonts w:hint="eastAsia"/>
          <w:highlight w:val="none"/>
        </w:rPr>
      </w:pPr>
      <w:r>
        <w:rPr>
          <w:rFonts w:hint="eastAsia"/>
          <w:highlight w:val="none"/>
        </w:rPr>
        <w:t>2026年</w:t>
      </w:r>
      <w:r>
        <w:rPr>
          <w:rFonts w:hint="eastAsia"/>
          <w:highlight w:val="none"/>
          <w:lang w:val="en-US" w:eastAsia="zh-CN"/>
        </w:rPr>
        <w:t>5</w:t>
      </w:r>
      <w:r>
        <w:rPr>
          <w:rFonts w:hint="eastAsia"/>
          <w:highlight w:val="none"/>
        </w:rPr>
        <w:t>月</w:t>
      </w:r>
    </w:p>
    <w:p w14:paraId="56A94EE4">
      <w:pPr>
        <w:ind w:firstLine="560"/>
        <w:rPr>
          <w:rFonts w:hint="eastAsia"/>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F4C00A3">
      <w:pPr>
        <w:pStyle w:val="2"/>
        <w:spacing w:before="0" w:beforeLines="0"/>
        <w:ind w:firstLine="643"/>
        <w:rPr>
          <w:rFonts w:hint="eastAsia"/>
          <w:highlight w:val="none"/>
        </w:rPr>
      </w:pPr>
      <w:r>
        <w:rPr>
          <w:rFonts w:hint="eastAsia"/>
          <w:highlight w:val="none"/>
        </w:rPr>
        <w:t>一、项目基本信息</w:t>
      </w:r>
    </w:p>
    <w:p w14:paraId="356398A4">
      <w:pPr>
        <w:pStyle w:val="3"/>
        <w:rPr>
          <w:rFonts w:hint="eastAsia"/>
          <w:highlight w:val="none"/>
        </w:rPr>
      </w:pPr>
      <w:r>
        <w:rPr>
          <w:rFonts w:hint="eastAsia"/>
          <w:highlight w:val="none"/>
        </w:rPr>
        <w:t>项目名称、区位及实施范围</w:t>
      </w:r>
    </w:p>
    <w:p w14:paraId="60DAA886">
      <w:pPr>
        <w:ind w:firstLine="560"/>
        <w:rPr>
          <w:rFonts w:hint="eastAsia"/>
          <w:highlight w:val="none"/>
        </w:rPr>
      </w:pPr>
      <w:r>
        <w:rPr>
          <w:highlight w:val="none"/>
        </w:rPr>
        <w:t>磁器口东街区</w:t>
      </w:r>
      <w:r>
        <w:rPr>
          <w:rFonts w:hint="eastAsia"/>
          <w:highlight w:val="none"/>
        </w:rPr>
        <w:t>综合性城市更新项目（以下简称本项目）</w:t>
      </w:r>
      <w:r>
        <w:rPr>
          <w:highlight w:val="none"/>
        </w:rPr>
        <w:t>位于东城区体育馆路街道。本</w:t>
      </w:r>
      <w:r>
        <w:rPr>
          <w:rFonts w:hint="eastAsia"/>
          <w:highlight w:val="none"/>
        </w:rPr>
        <w:t>项目实施</w:t>
      </w:r>
      <w:r>
        <w:rPr>
          <w:highlight w:val="none"/>
        </w:rPr>
        <w:t>范围北至广渠门内大街，西至崇文门外大街，南至法华寺街，东至幸福大街</w:t>
      </w:r>
      <w:r>
        <w:rPr>
          <w:rFonts w:hint="eastAsia"/>
          <w:highlight w:val="none"/>
        </w:rPr>
        <w:t>（</w:t>
      </w:r>
      <w:r>
        <w:rPr>
          <w:highlight w:val="none"/>
        </w:rPr>
        <w:t>不含拟实施的崇外六号地危改区西北角商业金融项目、新裕家园现状</w:t>
      </w:r>
      <w:r>
        <w:rPr>
          <w:rFonts w:hint="eastAsia"/>
          <w:highlight w:val="none"/>
        </w:rPr>
        <w:t>），总面积约47.6公顷。</w:t>
      </w:r>
    </w:p>
    <w:p w14:paraId="767B5B58">
      <w:pPr>
        <w:pStyle w:val="3"/>
        <w:rPr>
          <w:rFonts w:hint="eastAsia"/>
          <w:highlight w:val="none"/>
        </w:rPr>
      </w:pPr>
      <w:r>
        <w:rPr>
          <w:rFonts w:hint="eastAsia"/>
          <w:highlight w:val="none"/>
        </w:rPr>
        <w:t>实施主体</w:t>
      </w:r>
    </w:p>
    <w:p w14:paraId="33856402">
      <w:pPr>
        <w:ind w:firstLine="560"/>
        <w:rPr>
          <w:rFonts w:hint="eastAsia"/>
          <w:highlight w:val="none"/>
        </w:rPr>
      </w:pPr>
      <w:r>
        <w:rPr>
          <w:rFonts w:hint="eastAsia"/>
          <w:highlight w:val="none"/>
        </w:rPr>
        <w:t>磁器口东街区综合性城市更新项目实施主体招标的中标人为北京首都开发控股（集团）有限公司。本项目由</w:t>
      </w:r>
      <w:r>
        <w:rPr>
          <w:highlight w:val="none"/>
        </w:rPr>
        <w:t>北京首都开发控股（集团）有限公司</w:t>
      </w:r>
      <w:r>
        <w:rPr>
          <w:rFonts w:hint="eastAsia"/>
          <w:highlight w:val="none"/>
        </w:rPr>
        <w:t>依据实施需要成立的全资子公司——北京首开磁东新晖城市更新置业发展有限公司，推进后续实施工作。</w:t>
      </w:r>
    </w:p>
    <w:p w14:paraId="6EF64631">
      <w:pPr>
        <w:pStyle w:val="3"/>
        <w:rPr>
          <w:rFonts w:hint="eastAsia"/>
          <w:highlight w:val="none"/>
        </w:rPr>
      </w:pPr>
      <w:r>
        <w:rPr>
          <w:rFonts w:hint="eastAsia"/>
          <w:highlight w:val="none"/>
        </w:rPr>
        <w:t>改造方式</w:t>
      </w:r>
    </w:p>
    <w:p w14:paraId="50F88775">
      <w:pPr>
        <w:ind w:firstLine="560"/>
        <w:rPr>
          <w:rFonts w:hint="eastAsia"/>
          <w:highlight w:val="none"/>
        </w:rPr>
      </w:pPr>
      <w:r>
        <w:rPr>
          <w:rFonts w:hint="eastAsia"/>
          <w:highlight w:val="none"/>
        </w:rPr>
        <w:t>根据核心区控规和北京市关于平房院落保护更新的相关要求，本项目主要采用保护性修缮、恢复性修建、整体更新改造3类改造方式。</w:t>
      </w:r>
    </w:p>
    <w:p w14:paraId="08E8B76D">
      <w:pPr>
        <w:ind w:firstLine="560"/>
        <w:rPr>
          <w:rFonts w:hint="eastAsia"/>
          <w:highlight w:val="none"/>
        </w:rPr>
      </w:pPr>
      <w:r>
        <w:rPr>
          <w:rFonts w:hint="eastAsia"/>
          <w:highlight w:val="none"/>
        </w:rPr>
        <w:t>不可移动文物、历史建筑和传统风貌保存较为完整的院落，主要采用保护性修缮的改造方式。加强传统风貌建筑修缮和胡同风貌整治，保护院落历史格局，改善院落基础设施条件，结合腾退院落的复合利用，丰富居住文化体验形式。</w:t>
      </w:r>
    </w:p>
    <w:p w14:paraId="0DDEAAC3">
      <w:pPr>
        <w:ind w:firstLine="560"/>
        <w:rPr>
          <w:rFonts w:hint="eastAsia"/>
          <w:highlight w:val="none"/>
        </w:rPr>
      </w:pPr>
      <w:r>
        <w:rPr>
          <w:rFonts w:hint="eastAsia"/>
          <w:highlight w:val="none"/>
        </w:rPr>
        <w:t>局部建筑保存传统风貌特征或无传统风貌特征的一般院落，主要采用恢复性修建的改造方式。在保护和保留有价值的房屋建筑或院落格局的基础上，以整治、改造为主，结合传统风貌要求和现代生活需要，延续传统院落特征，合理调整院落边界，加强地下空间利用，在保持传统风貌的基础上，实现现代化改造。</w:t>
      </w:r>
    </w:p>
    <w:p w14:paraId="64F3B6A1">
      <w:pPr>
        <w:ind w:firstLine="560"/>
        <w:rPr>
          <w:rFonts w:hint="eastAsia" w:cs="仿宋"/>
          <w:highlight w:val="none"/>
          <w:lang w:eastAsia="zh-Hans"/>
        </w:rPr>
      </w:pPr>
      <w:r>
        <w:rPr>
          <w:rFonts w:hint="eastAsia"/>
          <w:highlight w:val="none"/>
        </w:rPr>
        <w:t>简易楼等非院落形态的房屋建筑和空地，主要采用整体更新改造的改造方式。在保护和保留局部有价值房屋、院落的基础上，以整体改造等方式，提高地下空间利用效率，系统提升基础设施服务保障能力和公共空间品质</w:t>
      </w:r>
      <w:r>
        <w:rPr>
          <w:rFonts w:hint="eastAsia" w:cs="仿宋"/>
          <w:highlight w:val="none"/>
          <w:lang w:eastAsia="zh-Hans"/>
        </w:rPr>
        <w:t>。</w:t>
      </w:r>
      <w:r>
        <w:rPr>
          <w:rFonts w:cs="仿宋"/>
          <w:highlight w:val="none"/>
          <w:lang w:eastAsia="zh-Hans"/>
        </w:rPr>
        <w:t>成套楼按照北京市老旧小区更新改造的相关政策执行</w:t>
      </w:r>
      <w:r>
        <w:rPr>
          <w:rFonts w:hint="eastAsia" w:cs="仿宋"/>
          <w:highlight w:val="none"/>
          <w:lang w:eastAsia="zh-Hans"/>
        </w:rPr>
        <w:t>。</w:t>
      </w:r>
    </w:p>
    <w:p w14:paraId="1DF6077D">
      <w:pPr>
        <w:pStyle w:val="3"/>
        <w:rPr>
          <w:rFonts w:hint="eastAsia"/>
          <w:highlight w:val="none"/>
        </w:rPr>
      </w:pPr>
      <w:r>
        <w:rPr>
          <w:rFonts w:hint="eastAsia"/>
          <w:highlight w:val="none"/>
        </w:rPr>
        <w:t>更新必要性</w:t>
      </w:r>
    </w:p>
    <w:p w14:paraId="08B7089C">
      <w:pPr>
        <w:ind w:firstLine="560"/>
        <w:rPr>
          <w:rFonts w:hint="eastAsia"/>
          <w:highlight w:val="none"/>
        </w:rPr>
      </w:pPr>
      <w:r>
        <w:rPr>
          <w:rFonts w:hint="eastAsia"/>
          <w:highlight w:val="none"/>
        </w:rPr>
        <w:t>本项目内所在区域因多年拆迁滞留，部分房屋安全隐患突出，街巷狭窄、应急疏散通道不畅，存在较大安全隐患。现状市政基础设施承载能力低，设施老化问题严重，绿地等公共活动空间欠缺，公共服务设施品质和服务能力有待提升。通过前期调研、座谈，了解到地区居民对居住环境改善的心情极其迫切，部分居民还通过12345市民热线等多种渠道反映更新诉求。地区实施综合性城市更新既落实首都功能定位，更是回应人民群众急难愁盼的重要举措，符合核心区街区保护更新和高质量发展的现实需要。</w:t>
      </w:r>
    </w:p>
    <w:p w14:paraId="36083694">
      <w:pPr>
        <w:pStyle w:val="3"/>
        <w:rPr>
          <w:rFonts w:hint="eastAsia"/>
          <w:highlight w:val="none"/>
        </w:rPr>
      </w:pPr>
      <w:r>
        <w:rPr>
          <w:rFonts w:hint="eastAsia"/>
          <w:highlight w:val="none"/>
        </w:rPr>
        <w:t>更新依据</w:t>
      </w:r>
    </w:p>
    <w:p w14:paraId="1B94505B">
      <w:pPr>
        <w:pStyle w:val="32"/>
        <w:numPr>
          <w:ilvl w:val="0"/>
          <w:numId w:val="2"/>
        </w:numPr>
        <w:tabs>
          <w:tab w:val="left" w:pos="851"/>
        </w:tabs>
        <w:ind w:left="0" w:firstLine="560"/>
        <w:rPr>
          <w:rFonts w:hint="eastAsia"/>
          <w:highlight w:val="none"/>
        </w:rPr>
      </w:pPr>
      <w:r>
        <w:rPr>
          <w:highlight w:val="none"/>
        </w:rPr>
        <w:t>《中华人民共和国文物保护法》</w:t>
      </w:r>
    </w:p>
    <w:p w14:paraId="5ADB0FB1">
      <w:pPr>
        <w:pStyle w:val="32"/>
        <w:numPr>
          <w:ilvl w:val="0"/>
          <w:numId w:val="2"/>
        </w:numPr>
        <w:tabs>
          <w:tab w:val="left" w:pos="851"/>
        </w:tabs>
        <w:ind w:left="0" w:firstLine="560"/>
        <w:rPr>
          <w:rFonts w:hint="eastAsia"/>
          <w:highlight w:val="none"/>
        </w:rPr>
      </w:pPr>
      <w:r>
        <w:rPr>
          <w:rFonts w:hint="eastAsia"/>
          <w:highlight w:val="none"/>
        </w:rPr>
        <w:t>《北京市城乡规划条例》（202</w:t>
      </w:r>
      <w:r>
        <w:rPr>
          <w:highlight w:val="none"/>
        </w:rPr>
        <w:t>1</w:t>
      </w:r>
      <w:r>
        <w:rPr>
          <w:rFonts w:hint="eastAsia"/>
          <w:highlight w:val="none"/>
        </w:rPr>
        <w:t>年）</w:t>
      </w:r>
    </w:p>
    <w:p w14:paraId="161A97BE">
      <w:pPr>
        <w:pStyle w:val="32"/>
        <w:numPr>
          <w:ilvl w:val="0"/>
          <w:numId w:val="2"/>
        </w:numPr>
        <w:tabs>
          <w:tab w:val="left" w:pos="851"/>
        </w:tabs>
        <w:ind w:left="0" w:firstLine="560"/>
        <w:rPr>
          <w:rFonts w:hint="eastAsia"/>
          <w:highlight w:val="none"/>
        </w:rPr>
      </w:pPr>
      <w:r>
        <w:rPr>
          <w:rFonts w:hint="eastAsia"/>
          <w:highlight w:val="none"/>
        </w:rPr>
        <w:t>《北京历史文化名城保护条例》（2021年）</w:t>
      </w:r>
    </w:p>
    <w:p w14:paraId="53C65A16">
      <w:pPr>
        <w:pStyle w:val="32"/>
        <w:numPr>
          <w:ilvl w:val="0"/>
          <w:numId w:val="2"/>
        </w:numPr>
        <w:tabs>
          <w:tab w:val="left" w:pos="851"/>
        </w:tabs>
        <w:ind w:left="0" w:firstLine="560"/>
        <w:rPr>
          <w:rFonts w:hint="eastAsia"/>
          <w:highlight w:val="none"/>
        </w:rPr>
      </w:pPr>
      <w:r>
        <w:rPr>
          <w:rFonts w:hint="eastAsia"/>
          <w:highlight w:val="none"/>
        </w:rPr>
        <w:t>《北京市城市更新条例》（2022年）</w:t>
      </w:r>
    </w:p>
    <w:p w14:paraId="3F00335B">
      <w:pPr>
        <w:pStyle w:val="32"/>
        <w:numPr>
          <w:ilvl w:val="0"/>
          <w:numId w:val="2"/>
        </w:numPr>
        <w:tabs>
          <w:tab w:val="left" w:pos="851"/>
        </w:tabs>
        <w:ind w:left="0" w:firstLine="560"/>
        <w:rPr>
          <w:rFonts w:hint="eastAsia"/>
          <w:highlight w:val="none"/>
        </w:rPr>
      </w:pPr>
      <w:r>
        <w:rPr>
          <w:rFonts w:hint="eastAsia"/>
          <w:highlight w:val="none"/>
        </w:rPr>
        <w:t>《北京中轴线世界文化遗产保护条例》（2025年）</w:t>
      </w:r>
    </w:p>
    <w:p w14:paraId="1B4F1EC2">
      <w:pPr>
        <w:pStyle w:val="32"/>
        <w:numPr>
          <w:ilvl w:val="0"/>
          <w:numId w:val="2"/>
        </w:numPr>
        <w:tabs>
          <w:tab w:val="left" w:pos="851"/>
        </w:tabs>
        <w:ind w:left="0" w:firstLine="560"/>
        <w:rPr>
          <w:rFonts w:hint="eastAsia"/>
          <w:highlight w:val="none"/>
        </w:rPr>
      </w:pPr>
      <w:r>
        <w:rPr>
          <w:rFonts w:hint="eastAsia"/>
          <w:highlight w:val="none"/>
        </w:rPr>
        <w:t>《北京城市总体规划（2016年—2035年）》</w:t>
      </w:r>
    </w:p>
    <w:p w14:paraId="1EFD9B62">
      <w:pPr>
        <w:pStyle w:val="32"/>
        <w:numPr>
          <w:ilvl w:val="0"/>
          <w:numId w:val="2"/>
        </w:numPr>
        <w:tabs>
          <w:tab w:val="left" w:pos="851"/>
        </w:tabs>
        <w:ind w:left="0" w:firstLine="560"/>
        <w:rPr>
          <w:rFonts w:hint="eastAsia"/>
          <w:highlight w:val="none"/>
        </w:rPr>
      </w:pPr>
      <w:r>
        <w:rPr>
          <w:rFonts w:hint="eastAsia"/>
          <w:highlight w:val="none"/>
        </w:rPr>
        <w:t>《首都功能核心区控制性详细规划（街区层面）（2018年—2035年）》（以下简称核心区控规）</w:t>
      </w:r>
    </w:p>
    <w:p w14:paraId="3CE00CF7">
      <w:pPr>
        <w:pStyle w:val="32"/>
        <w:numPr>
          <w:ilvl w:val="0"/>
          <w:numId w:val="2"/>
        </w:numPr>
        <w:tabs>
          <w:tab w:val="left" w:pos="851"/>
        </w:tabs>
        <w:ind w:left="0" w:firstLine="560"/>
        <w:rPr>
          <w:rFonts w:hint="eastAsia"/>
          <w:highlight w:val="none"/>
        </w:rPr>
      </w:pPr>
      <w:r>
        <w:rPr>
          <w:rFonts w:hint="eastAsia"/>
          <w:highlight w:val="none"/>
        </w:rPr>
        <w:t>《北京中轴线保护管理规划(2022 年-2035年)》</w:t>
      </w:r>
    </w:p>
    <w:p w14:paraId="413BEB86">
      <w:pPr>
        <w:pStyle w:val="2"/>
        <w:spacing w:before="312"/>
        <w:ind w:firstLine="643"/>
        <w:rPr>
          <w:rFonts w:hint="eastAsia"/>
          <w:highlight w:val="none"/>
        </w:rPr>
      </w:pPr>
      <w:r>
        <w:rPr>
          <w:rFonts w:hint="eastAsia"/>
          <w:highlight w:val="none"/>
        </w:rPr>
        <w:t>二、现状基本情况</w:t>
      </w:r>
    </w:p>
    <w:p w14:paraId="12A7FC77">
      <w:pPr>
        <w:pStyle w:val="3"/>
        <w:numPr>
          <w:ilvl w:val="0"/>
          <w:numId w:val="3"/>
        </w:numPr>
        <w:rPr>
          <w:highlight w:val="none"/>
        </w:rPr>
      </w:pPr>
      <w:r>
        <w:rPr>
          <w:rFonts w:hint="eastAsia"/>
          <w:highlight w:val="none"/>
        </w:rPr>
        <w:t>历史沿革</w:t>
      </w:r>
    </w:p>
    <w:p w14:paraId="0511291C">
      <w:pPr>
        <w:ind w:firstLine="560"/>
        <w:rPr>
          <w:rFonts w:hint="eastAsia"/>
          <w:highlight w:val="none"/>
        </w:rPr>
      </w:pPr>
      <w:r>
        <w:rPr>
          <w:highlight w:val="none"/>
        </w:rPr>
        <w:t>地区始建于明代，明清时期作为从左安门进京至崇文门税关的必经之地，在今东、西唐街以北形成市民聚居区，建有法华寺、广慧寺等众多寺庙。民国时期，随老城外城的近现代改造，地区建设了北京电车修造厂、南岗子天主教堂等重要建筑，地区商业也发展至鼎盛阶段，主要集中于东、西唐街、三转桥胡同一带，东、西唐街以南的胡同肌理也在这一时期快速形成。建国初期，在加速首都工业化的背景下，地区内整合、新建了北京新建玻璃厂、三露厂、六零八厂等制造业工厂，生产了大宝系列护肤品和存放毛主席遗体的水晶棺等代表性产品。21世纪初至今，崇文门外大街、幸福大街、广渠门内大街、法华寺街完成拓宽建设，同时，街区内各工厂伴随北京市产业转型升级，生产功能陆续迁出，原址更新改造为文创园区。</w:t>
      </w:r>
    </w:p>
    <w:p w14:paraId="09319D4F">
      <w:pPr>
        <w:pStyle w:val="3"/>
        <w:numPr>
          <w:ilvl w:val="0"/>
          <w:numId w:val="3"/>
        </w:numPr>
        <w:rPr>
          <w:highlight w:val="none"/>
        </w:rPr>
      </w:pPr>
      <w:r>
        <w:rPr>
          <w:rFonts w:hint="eastAsia"/>
          <w:highlight w:val="none"/>
        </w:rPr>
        <w:t>现状情况</w:t>
      </w:r>
    </w:p>
    <w:p w14:paraId="32C74068">
      <w:pPr>
        <w:ind w:firstLine="560"/>
        <w:rPr>
          <w:highlight w:val="none"/>
        </w:rPr>
      </w:pPr>
      <w:r>
        <w:rPr>
          <w:rFonts w:hint="eastAsia"/>
          <w:highlight w:val="none"/>
        </w:rPr>
        <w:t>本项目范围内的用地现状均为国有土地。现状地上物包括住宅和非住宅，现状总建筑规模约41.7万平方米。经估算，区域现有住宅房屋产籍6000余户，总建筑面积约12.42万平方米（具体数据以后期实际入户为准）。</w:t>
      </w:r>
    </w:p>
    <w:p w14:paraId="0E6B8D0C">
      <w:pPr>
        <w:pStyle w:val="3"/>
        <w:rPr>
          <w:highlight w:val="none"/>
        </w:rPr>
      </w:pPr>
      <w:r>
        <w:rPr>
          <w:rFonts w:hint="eastAsia"/>
          <w:highlight w:val="none"/>
        </w:rPr>
        <w:t>历史文化资源调查</w:t>
      </w:r>
    </w:p>
    <w:p w14:paraId="2698DFB3">
      <w:pPr>
        <w:ind w:firstLine="560"/>
        <w:rPr>
          <w:rFonts w:hint="eastAsia" w:cs="Times New Roman"/>
          <w:highlight w:val="none"/>
          <w:lang w:eastAsia="zh-Hans"/>
        </w:rPr>
      </w:pPr>
      <w:r>
        <w:rPr>
          <w:rFonts w:hint="eastAsia"/>
          <w:highlight w:val="none"/>
        </w:rPr>
        <w:t>本项目范围内的历史文化保护对象涉及</w:t>
      </w:r>
      <w:r>
        <w:rPr>
          <w:rFonts w:hint="eastAsia"/>
          <w:highlight w:val="none"/>
          <w:lang w:eastAsia="zh-Hans"/>
        </w:rPr>
        <w:t>不可移动文物、历史建筑、传统风貌胡同、传统地名、古树名木5</w:t>
      </w:r>
      <w:r>
        <w:rPr>
          <w:rFonts w:hint="eastAsia"/>
          <w:highlight w:val="none"/>
        </w:rPr>
        <w:t>类</w:t>
      </w:r>
      <w:r>
        <w:rPr>
          <w:rFonts w:hint="eastAsia"/>
          <w:highlight w:val="none"/>
          <w:lang w:eastAsia="zh-Hans"/>
        </w:rPr>
        <w:t>。其中：</w:t>
      </w:r>
    </w:p>
    <w:p w14:paraId="51CA902C">
      <w:pPr>
        <w:ind w:firstLine="560"/>
        <w:rPr>
          <w:rFonts w:hint="eastAsia"/>
          <w:highlight w:val="none"/>
        </w:rPr>
      </w:pPr>
      <w:r>
        <w:rPr>
          <w:rFonts w:hint="eastAsia"/>
          <w:highlight w:val="none"/>
          <w:lang w:eastAsia="zh-Hans"/>
        </w:rPr>
        <w:t>不可移动文物及新发现文物线索</w:t>
      </w:r>
      <w:r>
        <w:rPr>
          <w:rFonts w:hint="eastAsia"/>
          <w:highlight w:val="none"/>
        </w:rPr>
        <w:t>7处，其中：</w:t>
      </w:r>
      <w:r>
        <w:rPr>
          <w:rFonts w:hint="eastAsia"/>
          <w:highlight w:val="none"/>
          <w:lang w:eastAsia="zh-Hans"/>
        </w:rPr>
        <w:t>不可移动文物</w:t>
      </w:r>
      <w:r>
        <w:rPr>
          <w:highlight w:val="none"/>
          <w:lang w:eastAsia="zh-Hans"/>
        </w:rPr>
        <w:t>4</w:t>
      </w:r>
      <w:r>
        <w:rPr>
          <w:rFonts w:hint="eastAsia"/>
          <w:highlight w:val="none"/>
          <w:lang w:eastAsia="zh-Hans"/>
        </w:rPr>
        <w:t>处，包括东城区文物保护单位</w:t>
      </w:r>
      <w:r>
        <w:rPr>
          <w:highlight w:val="none"/>
          <w:lang w:eastAsia="zh-Hans"/>
        </w:rPr>
        <w:t>2</w:t>
      </w:r>
      <w:r>
        <w:rPr>
          <w:rFonts w:hint="eastAsia"/>
          <w:highlight w:val="none"/>
          <w:lang w:eastAsia="zh-Hans"/>
        </w:rPr>
        <w:t>处、尚未核定公布为文物保护单位的不可移动文物（以下简称普查登记在册文物）</w:t>
      </w:r>
      <w:r>
        <w:rPr>
          <w:highlight w:val="none"/>
          <w:lang w:eastAsia="zh-Hans"/>
        </w:rPr>
        <w:t>2</w:t>
      </w:r>
      <w:r>
        <w:rPr>
          <w:rFonts w:hint="eastAsia"/>
          <w:highlight w:val="none"/>
          <w:lang w:eastAsia="zh-Hans"/>
        </w:rPr>
        <w:t>处；新发现文物线索</w:t>
      </w:r>
      <w:r>
        <w:rPr>
          <w:rFonts w:hint="eastAsia"/>
          <w:highlight w:val="none"/>
        </w:rPr>
        <w:t>3</w:t>
      </w:r>
      <w:r>
        <w:rPr>
          <w:rFonts w:hint="eastAsia"/>
          <w:highlight w:val="none"/>
          <w:lang w:eastAsia="zh-Hans"/>
        </w:rPr>
        <w:t>处，</w:t>
      </w:r>
      <w:r>
        <w:rPr>
          <w:highlight w:val="none"/>
          <w:lang w:eastAsia="zh-Hans"/>
        </w:rPr>
        <w:t>不可移动文物数量以第四次全国文物普查工作最终认定数量为准。</w:t>
      </w:r>
    </w:p>
    <w:p w14:paraId="1B000134">
      <w:pPr>
        <w:ind w:firstLine="560"/>
        <w:rPr>
          <w:rFonts w:hint="eastAsia"/>
          <w:highlight w:val="none"/>
        </w:rPr>
      </w:pPr>
      <w:r>
        <w:rPr>
          <w:rFonts w:hint="eastAsia"/>
          <w:highlight w:val="none"/>
          <w:lang w:eastAsia="zh-Hans"/>
        </w:rPr>
        <w:t>历史建筑</w:t>
      </w:r>
      <w:r>
        <w:rPr>
          <w:highlight w:val="none"/>
          <w:lang w:eastAsia="zh-Hans"/>
        </w:rPr>
        <w:t>2</w:t>
      </w:r>
      <w:r>
        <w:rPr>
          <w:rFonts w:hint="eastAsia"/>
          <w:highlight w:val="none"/>
          <w:lang w:eastAsia="zh-Hans"/>
        </w:rPr>
        <w:t>座（栋），</w:t>
      </w:r>
      <w:r>
        <w:rPr>
          <w:rFonts w:hint="eastAsia"/>
          <w:highlight w:val="none"/>
        </w:rPr>
        <w:t>均为北京市</w:t>
      </w:r>
      <w:r>
        <w:rPr>
          <w:rFonts w:hint="eastAsia"/>
          <w:highlight w:val="none"/>
          <w:lang w:eastAsia="zh-Hans"/>
        </w:rPr>
        <w:t>第二批历史建筑。传统胡同</w:t>
      </w:r>
      <w:r>
        <w:rPr>
          <w:highlight w:val="none"/>
          <w:lang w:eastAsia="zh-Hans"/>
        </w:rPr>
        <w:t>33</w:t>
      </w:r>
      <w:r>
        <w:rPr>
          <w:rFonts w:hint="eastAsia"/>
          <w:highlight w:val="none"/>
          <w:lang w:eastAsia="zh-Hans"/>
        </w:rPr>
        <w:t>条。传统地名</w:t>
      </w:r>
      <w:r>
        <w:rPr>
          <w:highlight w:val="none"/>
          <w:lang w:eastAsia="zh-Hans"/>
        </w:rPr>
        <w:t>23</w:t>
      </w:r>
      <w:r>
        <w:rPr>
          <w:rFonts w:hint="eastAsia"/>
          <w:highlight w:val="none"/>
          <w:lang w:eastAsia="zh-Hans"/>
        </w:rPr>
        <w:t>个，其中首都功能核心区传统地名保护名录第一批、第二批公布的街巷胡同2</w:t>
      </w:r>
      <w:r>
        <w:rPr>
          <w:highlight w:val="none"/>
          <w:lang w:eastAsia="zh-Hans"/>
        </w:rPr>
        <w:t>2</w:t>
      </w:r>
      <w:r>
        <w:rPr>
          <w:rFonts w:hint="eastAsia"/>
          <w:highlight w:val="none"/>
          <w:lang w:eastAsia="zh-Hans"/>
        </w:rPr>
        <w:t>个</w:t>
      </w:r>
      <w:r>
        <w:rPr>
          <w:highlight w:val="none"/>
          <w:lang w:eastAsia="zh-Hans"/>
        </w:rPr>
        <w:t>，</w:t>
      </w:r>
      <w:r>
        <w:rPr>
          <w:rFonts w:hint="eastAsia"/>
          <w:highlight w:val="none"/>
          <w:lang w:eastAsia="zh-Hans"/>
        </w:rPr>
        <w:t>第一批公布的片状地名1个。古树名木1株，为二级古树。</w:t>
      </w:r>
    </w:p>
    <w:p w14:paraId="5A7A5130">
      <w:pPr>
        <w:pStyle w:val="2"/>
        <w:spacing w:before="0" w:beforeLines="0"/>
        <w:ind w:firstLine="643"/>
        <w:rPr>
          <w:rFonts w:hint="eastAsia"/>
          <w:highlight w:val="none"/>
        </w:rPr>
      </w:pPr>
      <w:r>
        <w:rPr>
          <w:rFonts w:hint="eastAsia"/>
          <w:highlight w:val="none"/>
        </w:rPr>
        <w:t>三、更新目标与政策</w:t>
      </w:r>
    </w:p>
    <w:p w14:paraId="12D60598">
      <w:pPr>
        <w:pStyle w:val="3"/>
        <w:numPr>
          <w:ilvl w:val="0"/>
          <w:numId w:val="4"/>
        </w:numPr>
        <w:rPr>
          <w:rFonts w:hint="eastAsia"/>
          <w:highlight w:val="none"/>
        </w:rPr>
      </w:pPr>
      <w:r>
        <w:rPr>
          <w:rFonts w:hint="eastAsia"/>
          <w:highlight w:val="none"/>
        </w:rPr>
        <w:t>更新目标</w:t>
      </w:r>
    </w:p>
    <w:p w14:paraId="2D3DA65C">
      <w:pPr>
        <w:ind w:firstLine="560"/>
        <w:rPr>
          <w:rFonts w:hint="eastAsia"/>
          <w:highlight w:val="none"/>
        </w:rPr>
      </w:pPr>
      <w:r>
        <w:rPr>
          <w:rFonts w:hint="eastAsia"/>
          <w:highlight w:val="none"/>
        </w:rPr>
        <w:t>磁器口东街区是北京老城南部街区保护更新重要空间节点之一，街区的综合性更新对带动老城南部地区活力复兴具有重要意义。本项目</w:t>
      </w:r>
      <w:r>
        <w:rPr>
          <w:rFonts w:hint="eastAsia" w:ascii="仿宋_GB2312" w:hAnsi="仿宋_GB2312" w:cs="仿宋_GB2312"/>
          <w:highlight w:val="none"/>
        </w:rPr>
        <w:t>坚持以人民为中心的发展思想，通过</w:t>
      </w:r>
      <w:r>
        <w:rPr>
          <w:rFonts w:ascii="仿宋_GB2312" w:hAnsi="仿宋_GB2312" w:cs="仿宋_GB2312"/>
          <w:highlight w:val="none"/>
        </w:rPr>
        <w:t>片区综合性城市更新</w:t>
      </w:r>
      <w:r>
        <w:rPr>
          <w:rFonts w:hint="eastAsia" w:ascii="仿宋_GB2312" w:hAnsi="仿宋_GB2312" w:cs="仿宋_GB2312"/>
          <w:highlight w:val="none"/>
        </w:rPr>
        <w:t>的</w:t>
      </w:r>
      <w:r>
        <w:rPr>
          <w:rFonts w:ascii="仿宋_GB2312" w:hAnsi="仿宋_GB2312" w:cs="仿宋_GB2312"/>
          <w:highlight w:val="none"/>
        </w:rPr>
        <w:t>方式，传承</w:t>
      </w:r>
      <w:r>
        <w:rPr>
          <w:rFonts w:hint="eastAsia" w:ascii="仿宋_GB2312" w:hAnsi="仿宋_GB2312" w:cs="仿宋_GB2312"/>
          <w:highlight w:val="none"/>
        </w:rPr>
        <w:t>地区文脉和</w:t>
      </w:r>
      <w:r>
        <w:rPr>
          <w:rFonts w:ascii="仿宋_GB2312" w:hAnsi="仿宋_GB2312" w:cs="仿宋_GB2312"/>
          <w:highlight w:val="none"/>
        </w:rPr>
        <w:t>优秀历史文化</w:t>
      </w:r>
      <w:r>
        <w:rPr>
          <w:rFonts w:hint="eastAsia" w:ascii="仿宋_GB2312" w:hAnsi="仿宋_GB2312" w:cs="仿宋_GB2312"/>
          <w:highlight w:val="none"/>
        </w:rPr>
        <w:t>，</w:t>
      </w:r>
      <w:r>
        <w:rPr>
          <w:rFonts w:hint="eastAsia"/>
          <w:highlight w:val="none"/>
        </w:rPr>
        <w:t>改善人居环境和基础设施，</w:t>
      </w:r>
      <w:r>
        <w:rPr>
          <w:rFonts w:hint="eastAsia" w:ascii="仿宋_GB2312" w:hAnsi="仿宋_GB2312" w:cs="仿宋_GB2312"/>
          <w:highlight w:val="none"/>
        </w:rPr>
        <w:t>提升</w:t>
      </w:r>
      <w:r>
        <w:rPr>
          <w:rFonts w:ascii="仿宋_GB2312" w:hAnsi="仿宋_GB2312" w:cs="仿宋_GB2312"/>
          <w:highlight w:val="none"/>
        </w:rPr>
        <w:t>地区发展活力</w:t>
      </w:r>
      <w:r>
        <w:rPr>
          <w:rFonts w:hint="eastAsia" w:ascii="仿宋_GB2312" w:hAnsi="仿宋_GB2312" w:cs="仿宋_GB2312"/>
          <w:highlight w:val="none"/>
        </w:rPr>
        <w:t>和发展质量</w:t>
      </w:r>
      <w:r>
        <w:rPr>
          <w:rFonts w:ascii="仿宋_GB2312" w:hAnsi="仿宋_GB2312" w:cs="仿宋_GB2312"/>
          <w:highlight w:val="none"/>
        </w:rPr>
        <w:t>，</w:t>
      </w:r>
      <w:r>
        <w:rPr>
          <w:rFonts w:hint="eastAsia"/>
          <w:highlight w:val="none"/>
        </w:rPr>
        <w:t>将街区建设为文、商、旅、居融合发展的特色活力街区</w:t>
      </w:r>
      <w:r>
        <w:rPr>
          <w:rFonts w:ascii="仿宋_GB2312" w:hAnsi="仿宋_GB2312" w:cs="仿宋_GB2312"/>
          <w:highlight w:val="none"/>
        </w:rPr>
        <w:t>，</w:t>
      </w:r>
      <w:r>
        <w:rPr>
          <w:rFonts w:hint="eastAsia" w:ascii="仿宋_GB2312" w:hAnsi="仿宋_GB2312" w:cs="仿宋_GB2312"/>
          <w:highlight w:val="none"/>
        </w:rPr>
        <w:t>让</w:t>
      </w:r>
      <w:r>
        <w:rPr>
          <w:rFonts w:ascii="仿宋_GB2312" w:hAnsi="仿宋_GB2312" w:cs="仿宋_GB2312"/>
          <w:highlight w:val="none"/>
        </w:rPr>
        <w:t>历史文化和现代生活融为一体。</w:t>
      </w:r>
    </w:p>
    <w:p w14:paraId="0493AB4D">
      <w:pPr>
        <w:pStyle w:val="3"/>
        <w:rPr>
          <w:rFonts w:hint="eastAsia"/>
          <w:highlight w:val="none"/>
        </w:rPr>
      </w:pPr>
      <w:r>
        <w:rPr>
          <w:rFonts w:hint="eastAsia"/>
          <w:highlight w:val="none"/>
        </w:rPr>
        <w:t>更新内容</w:t>
      </w:r>
    </w:p>
    <w:p w14:paraId="2D02ADFE">
      <w:pPr>
        <w:ind w:firstLine="560"/>
        <w:rPr>
          <w:rFonts w:hint="eastAsia"/>
          <w:highlight w:val="none"/>
        </w:rPr>
      </w:pPr>
      <w:r>
        <w:rPr>
          <w:rFonts w:hint="eastAsia"/>
          <w:highlight w:val="none"/>
        </w:rPr>
        <w:t>本项目更新实施内容包括公共空间营造；道路胡同整治及基础设施提升；公共服务、市政</w:t>
      </w:r>
      <w:r>
        <w:rPr>
          <w:highlight w:val="none"/>
        </w:rPr>
        <w:t>基础设施</w:t>
      </w:r>
      <w:r>
        <w:rPr>
          <w:rFonts w:hint="eastAsia"/>
          <w:highlight w:val="none"/>
        </w:rPr>
        <w:t>和城市安全设施建设；院落腾退及保护更新等，不包括文物腾退利用、需要征收的公共服务设施建设、产权单位或用地主体实施的更新内容，具体建设内容根据居民参与更新情况确定。</w:t>
      </w:r>
    </w:p>
    <w:p w14:paraId="44C6ECB3">
      <w:pPr>
        <w:pStyle w:val="3"/>
        <w:rPr>
          <w:rFonts w:hint="eastAsia"/>
          <w:highlight w:val="none"/>
        </w:rPr>
      </w:pPr>
      <w:r>
        <w:rPr>
          <w:rFonts w:hint="eastAsia"/>
          <w:highlight w:val="none"/>
        </w:rPr>
        <w:t>更新方式</w:t>
      </w:r>
    </w:p>
    <w:p w14:paraId="33527993">
      <w:pPr>
        <w:ind w:firstLine="560"/>
        <w:rPr>
          <w:rFonts w:hint="eastAsia"/>
          <w:highlight w:val="none"/>
        </w:rPr>
      </w:pPr>
      <w:r>
        <w:rPr>
          <w:rFonts w:hint="eastAsia"/>
          <w:highlight w:val="none"/>
        </w:rPr>
        <w:t>本项目按照“自愿申请、整院实施”的原则，直管公房居民可选择货币补偿、平移置换、租赁置换</w:t>
      </w:r>
      <w:r>
        <w:rPr>
          <w:highlight w:val="none"/>
        </w:rPr>
        <w:t>、公房就地改善</w:t>
      </w:r>
      <w:r>
        <w:rPr>
          <w:rFonts w:hint="eastAsia"/>
          <w:highlight w:val="none"/>
        </w:rPr>
        <w:t>等更新方式之一；私房、单位产权房居民可自愿申请，在同意本方案的基础上与实施主体平等协商确定更新方式。具体项目补偿、置换等政策实施细则由实施主体另行协商制定并公布。</w:t>
      </w:r>
    </w:p>
    <w:p w14:paraId="1D46905C">
      <w:pPr>
        <w:tabs>
          <w:tab w:val="left" w:pos="1418"/>
        </w:tabs>
        <w:ind w:firstLine="560"/>
        <w:rPr>
          <w:rFonts w:hint="eastAsia"/>
          <w:highlight w:val="none"/>
        </w:rPr>
      </w:pPr>
      <w:r>
        <w:rPr>
          <w:rFonts w:hint="eastAsia"/>
          <w:highlight w:val="none"/>
        </w:rPr>
        <w:t>依据《北京市城市更新条例》第二十七条第二款规定，“项目范围内直管公房承租人签订安置补偿协议比例达到实施方案规定要求，承租人拒不配合腾退房屋的，产权单位可以申请调解；调解不成的，区城市更新主管部门可以依申请做出更新决定。”</w:t>
      </w:r>
    </w:p>
    <w:p w14:paraId="45B97F78">
      <w:pPr>
        <w:tabs>
          <w:tab w:val="left" w:pos="1418"/>
        </w:tabs>
        <w:ind w:firstLine="560"/>
        <w:rPr>
          <w:rFonts w:hint="eastAsia"/>
          <w:highlight w:val="none"/>
        </w:rPr>
      </w:pPr>
      <w:r>
        <w:rPr>
          <w:rFonts w:hint="eastAsia"/>
          <w:highlight w:val="none"/>
        </w:rPr>
        <w:t>拟定本项目规定比例为：项目范围内整院</w:t>
      </w:r>
      <w:r>
        <w:rPr>
          <w:highlight w:val="none"/>
        </w:rPr>
        <w:t>中非直管公房均已完成签约，</w:t>
      </w:r>
      <w:r>
        <w:rPr>
          <w:rFonts w:hint="eastAsia"/>
          <w:highlight w:val="none"/>
        </w:rPr>
        <w:t>直管公房承租人签订补偿协议户数比例达到80%</w:t>
      </w:r>
      <w:r>
        <w:rPr>
          <w:highlight w:val="none"/>
        </w:rPr>
        <w:t>且整院内仅剩余两户及以下未签约直管公房的</w:t>
      </w:r>
      <w:r>
        <w:rPr>
          <w:rFonts w:hint="eastAsia"/>
          <w:highlight w:val="none"/>
        </w:rPr>
        <w:t>。承租人拒不配合腾退房屋的，产权单位可以申请调解；调解不成的，东城区住建委可以依申请作出更新决定。</w:t>
      </w:r>
    </w:p>
    <w:p w14:paraId="678A957B">
      <w:pPr>
        <w:pStyle w:val="2"/>
        <w:spacing w:before="0" w:beforeLines="0"/>
        <w:ind w:firstLine="643"/>
        <w:rPr>
          <w:rFonts w:hint="eastAsia"/>
          <w:highlight w:val="none"/>
        </w:rPr>
      </w:pPr>
      <w:r>
        <w:rPr>
          <w:rFonts w:hint="eastAsia"/>
          <w:highlight w:val="none"/>
        </w:rPr>
        <w:t>四、规划方案</w:t>
      </w:r>
    </w:p>
    <w:p w14:paraId="39A879C1">
      <w:pPr>
        <w:pStyle w:val="3"/>
        <w:numPr>
          <w:ilvl w:val="0"/>
          <w:numId w:val="5"/>
        </w:numPr>
        <w:rPr>
          <w:rFonts w:hint="eastAsia"/>
          <w:highlight w:val="none"/>
        </w:rPr>
      </w:pPr>
      <w:r>
        <w:rPr>
          <w:rFonts w:hint="eastAsia"/>
          <w:highlight w:val="none"/>
        </w:rPr>
        <w:t>历史文化保护</w:t>
      </w:r>
    </w:p>
    <w:p w14:paraId="7E7A0F58">
      <w:pPr>
        <w:ind w:firstLine="560"/>
        <w:rPr>
          <w:highlight w:val="none"/>
        </w:rPr>
      </w:pPr>
      <w:r>
        <w:rPr>
          <w:rFonts w:hint="eastAsia" w:cs="仿宋"/>
          <w:highlight w:val="none"/>
          <w:lang w:eastAsia="zh-Hans"/>
        </w:rPr>
        <w:t>磁器口东街区</w:t>
      </w:r>
      <w:r>
        <w:rPr>
          <w:rFonts w:hint="eastAsia"/>
          <w:highlight w:val="none"/>
        </w:rPr>
        <w:t>位于北京中轴线世界遗产缓冲区，全国重点文物保护单位天坛建设控制地带，金中都、明、清北京城地下文物重点监测区范围内。</w:t>
      </w:r>
    </w:p>
    <w:p w14:paraId="655B0F21">
      <w:pPr>
        <w:ind w:firstLine="560"/>
        <w:rPr>
          <w:highlight w:val="none"/>
        </w:rPr>
      </w:pPr>
      <w:r>
        <w:rPr>
          <w:rFonts w:hint="eastAsia"/>
          <w:highlight w:val="none"/>
        </w:rPr>
        <w:t>项目严格落实历史文化保护要求，加强历史文化遗产的保护利用，结合历史价值和传统风貌保存情况或建筑特色，分类开展平房院落保护更新。</w:t>
      </w:r>
    </w:p>
    <w:p w14:paraId="3B73B58E">
      <w:pPr>
        <w:ind w:firstLine="560"/>
        <w:rPr>
          <w:rFonts w:hint="eastAsia"/>
          <w:highlight w:val="none"/>
        </w:rPr>
      </w:pPr>
      <w:r>
        <w:rPr>
          <w:rFonts w:hint="eastAsia"/>
          <w:highlight w:val="none"/>
        </w:rPr>
        <w:t>针对不可移动文物院落和历史建筑院落，严格按照有关文物及历史建筑保护的法律、法规、规范等进行修缮维护。针对传统风貌保存较为完整的院落，在不改变院落格局、延续原有形式的基础上，通过整治或拆除现状不协调建筑，恢复院落格局与建筑风貌。针对局部建筑保存传统风貌特征或建筑有近现代风貌特色的院落，保护修缮院落内有价值建筑或传统构件，注重文化信息的展示与传播，采取因地制宜、多元化的改造手段。针对无传统风貌特征的一般院落、简易楼及已腾退公共建筑，结合所在片区的高度、风貌分区具体管控要求，在与地区传统风貌协调的前提下，分类采用恢复性修建或整体更新改造的方式进行更新。</w:t>
      </w:r>
    </w:p>
    <w:p w14:paraId="363342C7">
      <w:pPr>
        <w:pStyle w:val="3"/>
        <w:rPr>
          <w:rFonts w:hint="eastAsia"/>
          <w:highlight w:val="none"/>
        </w:rPr>
      </w:pPr>
      <w:r>
        <w:rPr>
          <w:rFonts w:hint="eastAsia"/>
          <w:highlight w:val="none"/>
        </w:rPr>
        <w:t>用地功能</w:t>
      </w:r>
    </w:p>
    <w:p w14:paraId="45D326F1">
      <w:pPr>
        <w:ind w:firstLine="560"/>
        <w:rPr>
          <w:rFonts w:hint="eastAsia"/>
          <w:highlight w:val="none"/>
        </w:rPr>
      </w:pPr>
      <w:r>
        <w:rPr>
          <w:rFonts w:hint="eastAsia"/>
          <w:highlight w:val="none"/>
        </w:rPr>
        <w:t>本项目规划以保护区用地为主，包括公共管理用地、公共服务设施及公共事务用地、居住用地、产业用地、多功能用地、绿地，广场及室外公共体育用地和道路用地。</w:t>
      </w:r>
    </w:p>
    <w:p w14:paraId="55CDF499">
      <w:pPr>
        <w:pStyle w:val="3"/>
        <w:rPr>
          <w:rFonts w:hint="eastAsia"/>
          <w:highlight w:val="none"/>
        </w:rPr>
      </w:pPr>
      <w:r>
        <w:rPr>
          <w:rFonts w:hint="eastAsia"/>
          <w:highlight w:val="none"/>
        </w:rPr>
        <w:t>建筑规模</w:t>
      </w:r>
    </w:p>
    <w:p w14:paraId="3ACB7164">
      <w:pPr>
        <w:ind w:firstLine="560"/>
        <w:rPr>
          <w:rFonts w:hint="eastAsia"/>
          <w:highlight w:val="none"/>
        </w:rPr>
      </w:pPr>
      <w:r>
        <w:rPr>
          <w:rFonts w:hint="eastAsia"/>
          <w:highlight w:val="none"/>
        </w:rPr>
        <w:t>本项目落实核心区控规减量发展要求，规划地上建筑总规模不超过39.4万平方米（包含保留、更新、新建的地上总建筑规模，具体规模以区政府</w:t>
      </w:r>
      <w:r>
        <w:rPr>
          <w:highlight w:val="none"/>
        </w:rPr>
        <w:t>审定通过的规划综合实施方案</w:t>
      </w:r>
      <w:r>
        <w:rPr>
          <w:rFonts w:hint="eastAsia"/>
          <w:highlight w:val="none"/>
        </w:rPr>
        <w:t>为准）。</w:t>
      </w:r>
    </w:p>
    <w:p w14:paraId="482FFF7E">
      <w:pPr>
        <w:pStyle w:val="3"/>
        <w:rPr>
          <w:rFonts w:hint="eastAsia"/>
          <w:highlight w:val="none"/>
        </w:rPr>
      </w:pPr>
      <w:r>
        <w:rPr>
          <w:rFonts w:hint="eastAsia"/>
          <w:highlight w:val="none"/>
        </w:rPr>
        <w:t>建筑高度</w:t>
      </w:r>
    </w:p>
    <w:p w14:paraId="3B639807">
      <w:pPr>
        <w:ind w:firstLine="560"/>
        <w:rPr>
          <w:rFonts w:hint="eastAsia"/>
          <w:highlight w:val="none"/>
        </w:rPr>
      </w:pPr>
      <w:r>
        <w:rPr>
          <w:rFonts w:hint="eastAsia"/>
          <w:highlight w:val="none"/>
        </w:rPr>
        <w:t>本项目落实文物保护单位建设控制地带和核心区控规古都风貌保护区、古都风貌协调区的基准高度控制要求，整体高度以平房为主，平房建筑基底面积不低于古都风貌保护区范围内建筑总基底面积的70%，局部区域按低层、不超过3层进行控制。</w:t>
      </w:r>
    </w:p>
    <w:p w14:paraId="01B0612D">
      <w:pPr>
        <w:pStyle w:val="3"/>
        <w:rPr>
          <w:rFonts w:hint="eastAsia"/>
          <w:highlight w:val="none"/>
        </w:rPr>
      </w:pPr>
      <w:r>
        <w:rPr>
          <w:rFonts w:hint="eastAsia"/>
          <w:highlight w:val="none"/>
        </w:rPr>
        <w:t>建筑风貌</w:t>
      </w:r>
    </w:p>
    <w:p w14:paraId="602D3AC1">
      <w:pPr>
        <w:ind w:firstLine="560"/>
        <w:rPr>
          <w:rFonts w:hint="eastAsia"/>
          <w:highlight w:val="none"/>
        </w:rPr>
      </w:pPr>
      <w:r>
        <w:rPr>
          <w:rFonts w:hint="eastAsia"/>
          <w:highlight w:val="none"/>
        </w:rPr>
        <w:t>本项目整体建筑色彩基调以灰色调为主，重点加强屋面色彩和效果的管控。建筑设计应彰显对传统文化元素的创造性转化和创新性发展。在整体符合“低层”“坡屋顶”“合院格局”“青灰色调”传统风貌基本特征和传统街巷胡同格局的基础上，通过材料、工艺、风格等多维度的设计创新，展现新时代的设计追求。</w:t>
      </w:r>
    </w:p>
    <w:p w14:paraId="7EC6D1CC">
      <w:pPr>
        <w:pStyle w:val="3"/>
        <w:rPr>
          <w:rFonts w:hint="eastAsia"/>
          <w:highlight w:val="none"/>
        </w:rPr>
      </w:pPr>
      <w:r>
        <w:rPr>
          <w:rFonts w:hint="eastAsia"/>
          <w:highlight w:val="none"/>
        </w:rPr>
        <w:t>公共服务与交通市政</w:t>
      </w:r>
    </w:p>
    <w:p w14:paraId="54EFEBEE">
      <w:pPr>
        <w:ind w:firstLine="560"/>
        <w:rPr>
          <w:rFonts w:hint="eastAsia"/>
          <w:highlight w:val="none"/>
        </w:rPr>
      </w:pPr>
      <w:r>
        <w:rPr>
          <w:rFonts w:hint="eastAsia"/>
          <w:highlight w:val="none"/>
        </w:rPr>
        <w:t>本项目落实核心区控规</w:t>
      </w:r>
      <w:r>
        <w:rPr>
          <w:highlight w:val="none"/>
        </w:rPr>
        <w:t>公共服务设施规划要求，并充分考虑基层社区治理创新需求和服务品质提升需要。鼓励建设社区公共服务综合体，</w:t>
      </w:r>
      <w:r>
        <w:rPr>
          <w:rFonts w:hint="eastAsia"/>
          <w:highlight w:val="none"/>
        </w:rPr>
        <w:t>通过设施复合利用、共建共享，</w:t>
      </w:r>
      <w:r>
        <w:rPr>
          <w:highlight w:val="none"/>
        </w:rPr>
        <w:t>建设多元化、高品质便民服务设施，</w:t>
      </w:r>
      <w:r>
        <w:rPr>
          <w:rFonts w:hint="eastAsia"/>
          <w:highlight w:val="none"/>
        </w:rPr>
        <w:t>满足地区居民日常生活需求和高品质服务需要。交通发展模式以绿色交通出行为主，保障部分胡同机动车通行条件，打造步行街区与交通安宁街区。构建安全、低碳、风貌协调的市政基础设施体系，加强安全保障，提升服务水平。</w:t>
      </w:r>
    </w:p>
    <w:p w14:paraId="2847A164">
      <w:pPr>
        <w:pStyle w:val="3"/>
        <w:rPr>
          <w:rFonts w:hint="eastAsia"/>
          <w:highlight w:val="none"/>
        </w:rPr>
      </w:pPr>
      <w:r>
        <w:rPr>
          <w:rFonts w:hint="eastAsia"/>
          <w:highlight w:val="none"/>
        </w:rPr>
        <w:t>地下空间</w:t>
      </w:r>
    </w:p>
    <w:p w14:paraId="7A1B4BF7">
      <w:pPr>
        <w:ind w:firstLine="560"/>
        <w:rPr>
          <w:rFonts w:hint="eastAsia"/>
          <w:highlight w:val="none"/>
        </w:rPr>
      </w:pPr>
      <w:r>
        <w:rPr>
          <w:rFonts w:hint="eastAsia"/>
          <w:highlight w:val="none"/>
        </w:rPr>
        <w:t>本项目统筹利用地下空间，在满足实土绿化和海绵城市建设要求的基础上合理确定地下空间开发范围，地下建设深度以</w:t>
      </w:r>
      <w:r>
        <w:rPr>
          <w:highlight w:val="none"/>
        </w:rPr>
        <w:t>-2层为主，因地下空间连通或三大设施建设需要（包括服务周边的共享地下停车设施）</w:t>
      </w:r>
      <w:r>
        <w:rPr>
          <w:rFonts w:hint="eastAsia"/>
          <w:highlight w:val="none"/>
        </w:rPr>
        <w:t>的</w:t>
      </w:r>
      <w:r>
        <w:rPr>
          <w:rFonts w:hint="eastAsia" w:cs="仿宋"/>
          <w:highlight w:val="none"/>
        </w:rPr>
        <w:t>结合项目实际情况确定。分散建设或自主更新的独立院落，原则上地下</w:t>
      </w:r>
      <w:r>
        <w:rPr>
          <w:rFonts w:cs="仿宋"/>
          <w:highlight w:val="none"/>
        </w:rPr>
        <w:t>建设深度</w:t>
      </w:r>
      <w:r>
        <w:rPr>
          <w:rFonts w:hint="eastAsia" w:cs="仿宋"/>
          <w:highlight w:val="none"/>
        </w:rPr>
        <w:t>以</w:t>
      </w:r>
      <w:r>
        <w:rPr>
          <w:highlight w:val="none"/>
        </w:rPr>
        <w:t>-1层为主。</w:t>
      </w:r>
    </w:p>
    <w:p w14:paraId="69DE2255">
      <w:pPr>
        <w:pStyle w:val="2"/>
        <w:spacing w:before="0" w:beforeLines="0"/>
        <w:ind w:firstLine="643"/>
        <w:rPr>
          <w:rFonts w:hint="eastAsia"/>
          <w:highlight w:val="none"/>
        </w:rPr>
      </w:pPr>
      <w:r>
        <w:rPr>
          <w:rFonts w:hint="eastAsia"/>
          <w:highlight w:val="none"/>
        </w:rPr>
        <w:t>五、实施安排</w:t>
      </w:r>
    </w:p>
    <w:p w14:paraId="24917FFD">
      <w:pPr>
        <w:pStyle w:val="3"/>
        <w:numPr>
          <w:ilvl w:val="0"/>
          <w:numId w:val="6"/>
        </w:numPr>
        <w:rPr>
          <w:rFonts w:hint="eastAsia"/>
          <w:highlight w:val="none"/>
        </w:rPr>
      </w:pPr>
      <w:r>
        <w:rPr>
          <w:rFonts w:hint="eastAsia"/>
          <w:highlight w:val="none"/>
        </w:rPr>
        <w:t>实施程序</w:t>
      </w:r>
    </w:p>
    <w:p w14:paraId="144DA391">
      <w:pPr>
        <w:ind w:firstLine="560"/>
        <w:rPr>
          <w:rFonts w:hint="eastAsia"/>
          <w:highlight w:val="none"/>
        </w:rPr>
      </w:pPr>
      <w:r>
        <w:rPr>
          <w:rFonts w:hint="eastAsia"/>
          <w:highlight w:val="none"/>
        </w:rPr>
        <w:t>本项目城市更新实施方案根据公示意见修改后，报东城区政府组织相关部门进行联合审查。审查通过后由实施主体申请办理立项手续，开展房屋申请式更新。实施主体搭建集群设计平台，逐地块编制设计方案、</w:t>
      </w:r>
      <w:r>
        <w:rPr>
          <w:highlight w:val="none"/>
        </w:rPr>
        <w:t>市政基础设施方案和留住居民改善方案等</w:t>
      </w:r>
      <w:r>
        <w:rPr>
          <w:rFonts w:hint="eastAsia"/>
          <w:highlight w:val="none"/>
        </w:rPr>
        <w:t>。地块设计方案审定后，实施主体申报规划建设手续，实现开工建设。</w:t>
      </w:r>
    </w:p>
    <w:p w14:paraId="2DEB819B">
      <w:pPr>
        <w:pStyle w:val="3"/>
        <w:rPr>
          <w:rFonts w:hint="eastAsia"/>
          <w:highlight w:val="none"/>
        </w:rPr>
      </w:pPr>
      <w:r>
        <w:rPr>
          <w:rFonts w:hint="eastAsia"/>
          <w:highlight w:val="none"/>
        </w:rPr>
        <w:t>实施计划</w:t>
      </w:r>
    </w:p>
    <w:p w14:paraId="1B932927">
      <w:pPr>
        <w:ind w:firstLine="560"/>
        <w:rPr>
          <w:rFonts w:hint="eastAsia"/>
          <w:highlight w:val="none"/>
        </w:rPr>
      </w:pPr>
      <w:r>
        <w:rPr>
          <w:rFonts w:hint="eastAsia"/>
          <w:highlight w:val="none"/>
        </w:rPr>
        <w:t>本项目计划于2026年启动申请式腾退工作，并推进规划综合实施方案报审工作。具备实施条件后开展保护性修缮、恢复性修建等建设工作，并结合市、区配套资金情况，同步有序推进街区基础设施建设，实现综合性城市更新的分区亮相。</w:t>
      </w:r>
    </w:p>
    <w:p w14:paraId="4E311448">
      <w:pPr>
        <w:pStyle w:val="3"/>
        <w:rPr>
          <w:rFonts w:hint="eastAsia"/>
          <w:highlight w:val="none"/>
        </w:rPr>
      </w:pPr>
      <w:r>
        <w:rPr>
          <w:rFonts w:hint="eastAsia"/>
          <w:highlight w:val="none"/>
        </w:rPr>
        <w:t>资金平衡</w:t>
      </w:r>
    </w:p>
    <w:p w14:paraId="14192345">
      <w:pPr>
        <w:ind w:firstLine="560"/>
        <w:rPr>
          <w:rFonts w:hint="eastAsia"/>
          <w:highlight w:val="none"/>
        </w:rPr>
      </w:pPr>
      <w:r>
        <w:rPr>
          <w:rFonts w:hint="eastAsia"/>
          <w:highlight w:val="none"/>
        </w:rPr>
        <w:t>本项目通过自持运营及房屋销售的方式实现资金平衡，自持运营、房屋销售的具体规模需结合项目实施居民腾退后空间情况，经区政府审议后另行确定。</w:t>
      </w:r>
      <w:bookmarkStart w:id="0" w:name="_GoBack"/>
      <w:bookmarkEnd w:id="0"/>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6260">
    <w:pPr>
      <w:pStyle w:val="12"/>
      <w:ind w:firstLine="480"/>
      <w:jc w:val="center"/>
      <w:rPr>
        <w:rFonts w:hint="eastAsi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38E7">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ABF2">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4"/>
        <w:szCs w:val="24"/>
      </w:rPr>
    </w:sdtEndPr>
    <w:sdtContent>
      <w:p w14:paraId="76F9D250">
        <w:pPr>
          <w:pStyle w:val="12"/>
          <w:ind w:firstLine="360"/>
          <w:jc w:val="center"/>
          <w:rPr>
            <w:rFonts w:hint="eastAsia"/>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8F07">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B3E4">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0A22">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355EC"/>
    <w:multiLevelType w:val="multilevel"/>
    <w:tmpl w:val="373355EC"/>
    <w:lvl w:ilvl="0" w:tentative="0">
      <w:start w:val="1"/>
      <w:numFmt w:val="chineseCountingThousand"/>
      <w:pStyle w:val="3"/>
      <w:lvlText w:val="(%1)"/>
      <w:lvlJc w:val="left"/>
      <w:pPr>
        <w:ind w:left="1040" w:hanging="440"/>
      </w:p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1">
    <w:nsid w:val="5DB9565D"/>
    <w:multiLevelType w:val="multilevel"/>
    <w:tmpl w:val="5DB9565D"/>
    <w:lvl w:ilvl="0" w:tentative="0">
      <w:start w:val="1"/>
      <w:numFmt w:val="decimal"/>
      <w:lvlText w:val="%1."/>
      <w:lvlJc w:val="left"/>
      <w:pPr>
        <w:ind w:left="3701" w:hanging="440"/>
      </w:pPr>
    </w:lvl>
    <w:lvl w:ilvl="1" w:tentative="0">
      <w:start w:val="1"/>
      <w:numFmt w:val="lowerLetter"/>
      <w:lvlText w:val="%2)"/>
      <w:lvlJc w:val="left"/>
      <w:pPr>
        <w:ind w:left="4141" w:hanging="440"/>
      </w:pPr>
    </w:lvl>
    <w:lvl w:ilvl="2" w:tentative="0">
      <w:start w:val="1"/>
      <w:numFmt w:val="lowerRoman"/>
      <w:lvlText w:val="%3."/>
      <w:lvlJc w:val="right"/>
      <w:pPr>
        <w:ind w:left="4581" w:hanging="440"/>
      </w:pPr>
    </w:lvl>
    <w:lvl w:ilvl="3" w:tentative="0">
      <w:start w:val="1"/>
      <w:numFmt w:val="decimal"/>
      <w:lvlText w:val="%4."/>
      <w:lvlJc w:val="left"/>
      <w:pPr>
        <w:ind w:left="5021" w:hanging="440"/>
      </w:pPr>
    </w:lvl>
    <w:lvl w:ilvl="4" w:tentative="0">
      <w:start w:val="1"/>
      <w:numFmt w:val="lowerLetter"/>
      <w:lvlText w:val="%5)"/>
      <w:lvlJc w:val="left"/>
      <w:pPr>
        <w:ind w:left="5461" w:hanging="440"/>
      </w:pPr>
    </w:lvl>
    <w:lvl w:ilvl="5" w:tentative="0">
      <w:start w:val="1"/>
      <w:numFmt w:val="lowerRoman"/>
      <w:lvlText w:val="%6."/>
      <w:lvlJc w:val="right"/>
      <w:pPr>
        <w:ind w:left="5901" w:hanging="440"/>
      </w:pPr>
    </w:lvl>
    <w:lvl w:ilvl="6" w:tentative="0">
      <w:start w:val="1"/>
      <w:numFmt w:val="decimal"/>
      <w:lvlText w:val="%7."/>
      <w:lvlJc w:val="left"/>
      <w:pPr>
        <w:ind w:left="6341" w:hanging="440"/>
      </w:pPr>
    </w:lvl>
    <w:lvl w:ilvl="7" w:tentative="0">
      <w:start w:val="1"/>
      <w:numFmt w:val="lowerLetter"/>
      <w:lvlText w:val="%8)"/>
      <w:lvlJc w:val="left"/>
      <w:pPr>
        <w:ind w:left="6781" w:hanging="440"/>
      </w:pPr>
    </w:lvl>
    <w:lvl w:ilvl="8" w:tentative="0">
      <w:start w:val="1"/>
      <w:numFmt w:val="lowerRoman"/>
      <w:lvlText w:val="%9."/>
      <w:lvlJc w:val="right"/>
      <w:pPr>
        <w:ind w:left="7221" w:hanging="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77"/>
    <w:rsid w:val="00001E2C"/>
    <w:rsid w:val="00004F22"/>
    <w:rsid w:val="000305C3"/>
    <w:rsid w:val="000424A1"/>
    <w:rsid w:val="000823C9"/>
    <w:rsid w:val="00091DC0"/>
    <w:rsid w:val="000B546F"/>
    <w:rsid w:val="000F2616"/>
    <w:rsid w:val="00210A0E"/>
    <w:rsid w:val="00253F1D"/>
    <w:rsid w:val="00276800"/>
    <w:rsid w:val="00285BDF"/>
    <w:rsid w:val="002A5BBF"/>
    <w:rsid w:val="002A71C9"/>
    <w:rsid w:val="002C68D2"/>
    <w:rsid w:val="002C79D2"/>
    <w:rsid w:val="00343522"/>
    <w:rsid w:val="00371782"/>
    <w:rsid w:val="0037226D"/>
    <w:rsid w:val="003975F6"/>
    <w:rsid w:val="003A3346"/>
    <w:rsid w:val="003A672A"/>
    <w:rsid w:val="003B7E34"/>
    <w:rsid w:val="003E4711"/>
    <w:rsid w:val="00434F43"/>
    <w:rsid w:val="004D3515"/>
    <w:rsid w:val="00506C9A"/>
    <w:rsid w:val="00510325"/>
    <w:rsid w:val="00547054"/>
    <w:rsid w:val="005632FA"/>
    <w:rsid w:val="005C4D2E"/>
    <w:rsid w:val="0062194A"/>
    <w:rsid w:val="0067356C"/>
    <w:rsid w:val="00675C03"/>
    <w:rsid w:val="006919E9"/>
    <w:rsid w:val="00727994"/>
    <w:rsid w:val="00754351"/>
    <w:rsid w:val="00806C7F"/>
    <w:rsid w:val="00815209"/>
    <w:rsid w:val="00852DEC"/>
    <w:rsid w:val="0086735F"/>
    <w:rsid w:val="00890350"/>
    <w:rsid w:val="008A4E6A"/>
    <w:rsid w:val="00937117"/>
    <w:rsid w:val="009604C6"/>
    <w:rsid w:val="009734AA"/>
    <w:rsid w:val="00980F37"/>
    <w:rsid w:val="009B0488"/>
    <w:rsid w:val="009E1289"/>
    <w:rsid w:val="009F38F9"/>
    <w:rsid w:val="00A019EF"/>
    <w:rsid w:val="00A1242B"/>
    <w:rsid w:val="00A17E29"/>
    <w:rsid w:val="00A36903"/>
    <w:rsid w:val="00A42F05"/>
    <w:rsid w:val="00A9604F"/>
    <w:rsid w:val="00AB468F"/>
    <w:rsid w:val="00AB7E32"/>
    <w:rsid w:val="00B366B1"/>
    <w:rsid w:val="00B37CFA"/>
    <w:rsid w:val="00B5647B"/>
    <w:rsid w:val="00B60D36"/>
    <w:rsid w:val="00B673F5"/>
    <w:rsid w:val="00B77EB3"/>
    <w:rsid w:val="00BC375F"/>
    <w:rsid w:val="00BD2103"/>
    <w:rsid w:val="00C14953"/>
    <w:rsid w:val="00C436A4"/>
    <w:rsid w:val="00C52F3D"/>
    <w:rsid w:val="00C64C3B"/>
    <w:rsid w:val="00C80743"/>
    <w:rsid w:val="00C8118A"/>
    <w:rsid w:val="00CA3CEE"/>
    <w:rsid w:val="00CF1D29"/>
    <w:rsid w:val="00D616D7"/>
    <w:rsid w:val="00D6419B"/>
    <w:rsid w:val="00D82B64"/>
    <w:rsid w:val="00D84A68"/>
    <w:rsid w:val="00D9691C"/>
    <w:rsid w:val="00DB3CFB"/>
    <w:rsid w:val="00DB7D7F"/>
    <w:rsid w:val="00DE4960"/>
    <w:rsid w:val="00DE6177"/>
    <w:rsid w:val="00E660FE"/>
    <w:rsid w:val="00EC662F"/>
    <w:rsid w:val="00ED2A85"/>
    <w:rsid w:val="00EE5421"/>
    <w:rsid w:val="00F1248E"/>
    <w:rsid w:val="00F347A2"/>
    <w:rsid w:val="00F47D7E"/>
    <w:rsid w:val="00F8619B"/>
    <w:rsid w:val="00F873FF"/>
    <w:rsid w:val="00FD0AC4"/>
    <w:rsid w:val="00FF23FF"/>
    <w:rsid w:val="00FF312F"/>
    <w:rsid w:val="053E1307"/>
    <w:rsid w:val="056A0154"/>
    <w:rsid w:val="1ADA6B24"/>
    <w:rsid w:val="2CFC7AB2"/>
    <w:rsid w:val="52A90E2E"/>
    <w:rsid w:val="6BE5CA6E"/>
    <w:rsid w:val="7204769D"/>
    <w:rsid w:val="7FEF9038"/>
    <w:rsid w:val="BC46D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 w:hAnsi="仿宋" w:eastAsia="仿宋" w:cstheme="minorBidi"/>
      <w:kern w:val="2"/>
      <w:sz w:val="28"/>
      <w:szCs w:val="28"/>
      <w:lang w:val="en-US" w:eastAsia="zh-CN" w:bidi="ar-SA"/>
      <w14:ligatures w14:val="standardContextual"/>
    </w:rPr>
  </w:style>
  <w:style w:type="paragraph" w:styleId="2">
    <w:name w:val="heading 1"/>
    <w:basedOn w:val="1"/>
    <w:next w:val="1"/>
    <w:link w:val="19"/>
    <w:qFormat/>
    <w:uiPriority w:val="9"/>
    <w:pPr>
      <w:spacing w:before="100" w:beforeLines="100"/>
      <w:outlineLvl w:val="0"/>
    </w:pPr>
    <w:rPr>
      <w:rFonts w:ascii="黑体" w:hAnsi="黑体" w:eastAsia="黑体"/>
      <w:b/>
      <w:bCs/>
      <w:sz w:val="32"/>
      <w:szCs w:val="32"/>
    </w:rPr>
  </w:style>
  <w:style w:type="paragraph" w:styleId="3">
    <w:name w:val="heading 2"/>
    <w:basedOn w:val="1"/>
    <w:next w:val="1"/>
    <w:link w:val="20"/>
    <w:unhideWhenUsed/>
    <w:qFormat/>
    <w:uiPriority w:val="9"/>
    <w:pPr>
      <w:keepNext/>
      <w:numPr>
        <w:ilvl w:val="0"/>
        <w:numId w:val="1"/>
      </w:numPr>
      <w:tabs>
        <w:tab w:val="left" w:pos="1418"/>
      </w:tabs>
      <w:ind w:left="1043" w:hanging="442" w:firstLineChars="0"/>
      <w:outlineLvl w:val="1"/>
    </w:pPr>
    <w:rPr>
      <w:rFonts w:ascii="黑体" w:hAnsi="黑体" w:eastAsia="黑体"/>
      <w:sz w:val="30"/>
      <w:szCs w:val="3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黑体" w:hAnsi="黑体" w:eastAsia="黑体"/>
      <w:b/>
      <w:bCs/>
      <w:sz w:val="32"/>
      <w:szCs w:val="32"/>
    </w:rPr>
  </w:style>
  <w:style w:type="character" w:customStyle="1" w:styleId="20">
    <w:name w:val="标题 2 字符"/>
    <w:basedOn w:val="17"/>
    <w:link w:val="3"/>
    <w:qFormat/>
    <w:uiPriority w:val="9"/>
    <w:rPr>
      <w:rFonts w:ascii="黑体" w:hAnsi="黑体" w:eastAsia="黑体"/>
      <w:sz w:val="30"/>
      <w:szCs w:val="3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rFonts w:ascii="仿宋" w:hAnsi="仿宋" w:eastAsia="仿宋"/>
      <w:sz w:val="18"/>
      <w:szCs w:val="18"/>
    </w:rPr>
  </w:style>
  <w:style w:type="character" w:customStyle="1" w:styleId="38">
    <w:name w:val="页脚 字符"/>
    <w:basedOn w:val="17"/>
    <w:link w:val="12"/>
    <w:qFormat/>
    <w:uiPriority w:val="99"/>
    <w:rPr>
      <w:rFonts w:ascii="仿宋" w:hAnsi="仿宋" w:eastAsia="仿宋"/>
      <w:sz w:val="18"/>
      <w:szCs w:val="18"/>
    </w:rPr>
  </w:style>
  <w:style w:type="paragraph" w:customStyle="1" w:styleId="39">
    <w:name w:val="修订1"/>
    <w:hidden/>
    <w:semiHidden/>
    <w:qFormat/>
    <w:uiPriority w:val="99"/>
    <w:rPr>
      <w:rFonts w:ascii="仿宋" w:hAnsi="仿宋" w:eastAsia="仿宋" w:cstheme="minorBidi"/>
      <w:kern w:val="2"/>
      <w:sz w:val="28"/>
      <w:szCs w:val="28"/>
      <w:lang w:val="en-US" w:eastAsia="zh-CN" w:bidi="ar-SA"/>
      <w14:ligatures w14:val="standardContextual"/>
    </w:rPr>
  </w:style>
  <w:style w:type="paragraph" w:customStyle="1" w:styleId="40">
    <w:name w:val="Revision"/>
    <w:hidden/>
    <w:unhideWhenUsed/>
    <w:qFormat/>
    <w:uiPriority w:val="99"/>
    <w:rPr>
      <w:rFonts w:ascii="仿宋" w:hAnsi="仿宋" w:eastAsia="仿宋" w:cstheme="minorBidi"/>
      <w:kern w:val="2"/>
      <w:sz w:val="28"/>
      <w:szCs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C20E1579-95CC-4DD9-B0B5-9E47FDA5281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3979</Words>
  <Characters>4047</Characters>
  <Lines>29</Lines>
  <Paragraphs>8</Paragraphs>
  <TotalTime>22</TotalTime>
  <ScaleCrop>false</ScaleCrop>
  <LinksUpToDate>false</LinksUpToDate>
  <CharactersWithSpaces>4048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2026-04-29T03:33:00Z</dcterms:created>
  <dc:creator>Wen Shi</dc:creator>
  <cp:lastModifiedBy>yh</cp:lastModifiedBy>
  <dcterms:modified xsi:type="dcterms:W3CDTF">2026-05-09T11:33:00Z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9279FDB1E68E401B844602CF1232C6FF_13</vt:lpwstr>
  </property>
  <property fmtid="{D5CDD505-2E9C-101B-9397-08002B2CF9AE}" pid="4" name="KSOTemplateDocerSaveRecord">
    <vt:lpwstr>eyJoZGlkIjoiNTE0ZTA1OWZmZGFlMzJiNDYxZGM0MjE3NjhmM2I2ZDMiLCJ1c2VySWQiOiIyOTM2ODY4NzYifQ==</vt:lpwstr>
  </property>
</Properties>
</file>