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44"/>
          <w:szCs w:val="44"/>
        </w:rPr>
      </w:pPr>
    </w:p>
    <w:p>
      <w:pPr>
        <w:spacing w:line="360" w:lineRule="auto"/>
        <w:jc w:val="center"/>
        <w:rPr>
          <w:rFonts w:hint="eastAsia" w:eastAsia="黑体"/>
          <w:b/>
          <w:color w:val="auto"/>
          <w:kern w:val="0"/>
          <w:sz w:val="36"/>
          <w:szCs w:val="36"/>
          <w:highlight w:val="none"/>
        </w:rPr>
      </w:pPr>
      <w:r>
        <w:rPr>
          <w:rFonts w:hint="eastAsia" w:eastAsia="黑体"/>
          <w:b/>
          <w:color w:val="auto"/>
          <w:kern w:val="0"/>
          <w:sz w:val="36"/>
          <w:szCs w:val="36"/>
          <w:highlight w:val="none"/>
        </w:rPr>
        <w:t>北京中轴线遗产保护中心正阳门城楼和箭</w:t>
      </w:r>
    </w:p>
    <w:p>
      <w:pPr>
        <w:spacing w:line="360" w:lineRule="auto"/>
        <w:jc w:val="center"/>
        <w:rPr>
          <w:rFonts w:hint="eastAsia" w:ascii="宋体" w:hAnsi="宋体" w:eastAsia="宋体" w:cs="宋体"/>
          <w:sz w:val="28"/>
          <w:szCs w:val="28"/>
        </w:rPr>
      </w:pPr>
      <w:r>
        <w:rPr>
          <w:rFonts w:hint="eastAsia" w:eastAsia="黑体"/>
          <w:b/>
          <w:color w:val="auto"/>
          <w:kern w:val="0"/>
          <w:sz w:val="36"/>
          <w:szCs w:val="36"/>
          <w:highlight w:val="none"/>
        </w:rPr>
        <w:t>楼门票定价成本调查报告</w:t>
      </w:r>
    </w:p>
    <w:p>
      <w:pPr>
        <w:spacing w:line="360" w:lineRule="auto"/>
        <w:jc w:val="right"/>
        <w:rPr>
          <w:rFonts w:hint="eastAsia" w:ascii="仿宋" w:hAnsi="仿宋" w:eastAsia="仿宋" w:cs="仿宋"/>
          <w:color w:val="000000"/>
          <w:kern w:val="0"/>
          <w:sz w:val="28"/>
          <w:szCs w:val="28"/>
        </w:rPr>
      </w:pPr>
    </w:p>
    <w:p>
      <w:pPr>
        <w:spacing w:line="360" w:lineRule="auto"/>
        <w:jc w:val="right"/>
        <w:rPr>
          <w:rFonts w:hint="eastAsia" w:ascii="仿宋" w:hAnsi="仿宋" w:eastAsia="仿宋" w:cs="仿宋"/>
          <w:b w:val="0"/>
          <w:bCs w:val="0"/>
          <w:color w:val="000000"/>
          <w:kern w:val="0"/>
          <w:sz w:val="28"/>
          <w:szCs w:val="28"/>
        </w:rPr>
      </w:pPr>
      <w:r>
        <w:rPr>
          <w:rFonts w:hint="eastAsia" w:ascii="仿宋" w:hAnsi="仿宋" w:eastAsia="仿宋" w:cs="仿宋"/>
          <w:color w:val="000000"/>
          <w:kern w:val="0"/>
          <w:sz w:val="28"/>
          <w:szCs w:val="28"/>
        </w:rPr>
        <w:t>润会审字</w:t>
      </w:r>
      <w:r>
        <w:rPr>
          <w:rFonts w:hint="eastAsia" w:ascii="仿宋" w:hAnsi="仿宋" w:eastAsia="仿宋" w:cs="仿宋"/>
          <w:color w:val="000000"/>
          <w:kern w:val="0"/>
          <w:sz w:val="28"/>
          <w:szCs w:val="28"/>
          <w:lang w:val="en-US" w:eastAsia="zh-CN"/>
        </w:rPr>
        <w:t>2025-1-349</w:t>
      </w:r>
      <w:r>
        <w:rPr>
          <w:rFonts w:hint="eastAsia" w:ascii="仿宋" w:hAnsi="仿宋" w:eastAsia="仿宋" w:cs="仿宋"/>
          <w:color w:val="000000"/>
          <w:kern w:val="0"/>
          <w:sz w:val="28"/>
          <w:szCs w:val="28"/>
        </w:rPr>
        <w:t>号</w:t>
      </w:r>
    </w:p>
    <w:p>
      <w:pPr>
        <w:pStyle w:val="17"/>
        <w:widowControl w:val="0"/>
        <w:spacing w:before="160" w:beforeLines="50" w:beforeAutospacing="0" w:after="160" w:afterLines="50" w:afterAutospacing="0" w:line="360" w:lineRule="auto"/>
        <w:jc w:val="both"/>
        <w:rPr>
          <w:rFonts w:hint="eastAsia" w:ascii="Times New Roman" w:hAnsi="Times New Roman" w:eastAsia="仿宋" w:cs="Times New Roman"/>
          <w:b/>
          <w:color w:val="auto"/>
          <w:sz w:val="32"/>
          <w:szCs w:val="32"/>
          <w:highlight w:val="none"/>
          <w:lang w:eastAsia="zh-CN"/>
        </w:rPr>
      </w:pPr>
      <w:r>
        <w:rPr>
          <w:rFonts w:hint="eastAsia" w:ascii="Times New Roman" w:hAnsi="Times New Roman" w:eastAsia="仿宋" w:cs="Times New Roman"/>
          <w:b/>
          <w:color w:val="auto"/>
          <w:sz w:val="32"/>
          <w:szCs w:val="32"/>
          <w:highlight w:val="none"/>
        </w:rPr>
        <w:t>北京市东城区发展和改革委员会：</w:t>
      </w:r>
    </w:p>
    <w:p>
      <w:pPr>
        <w:pStyle w:val="17"/>
        <w:widowControl w:val="0"/>
        <w:spacing w:before="157" w:beforeLines="50" w:beforeAutospacing="0" w:after="160" w:afterLines="50" w:afterAutospacing="0" w:line="480" w:lineRule="exact"/>
        <w:ind w:firstLine="600" w:firstLineChars="200"/>
        <w:jc w:val="both"/>
        <w:rPr>
          <w:rFonts w:hint="eastAsia" w:ascii="Times New Roman" w:hAnsi="Times New Roman" w:eastAsia="仿宋" w:cs="Times New Roman"/>
          <w:b w:val="0"/>
          <w:bCs w:val="0"/>
          <w:color w:val="auto"/>
          <w:sz w:val="30"/>
          <w:szCs w:val="30"/>
          <w:highlight w:val="none"/>
        </w:rPr>
      </w:pPr>
      <w:r>
        <w:rPr>
          <w:rFonts w:hint="eastAsia" w:ascii="Times New Roman" w:hAnsi="Times New Roman" w:eastAsia="仿宋" w:cs="Times New Roman"/>
          <w:b w:val="0"/>
          <w:bCs w:val="0"/>
          <w:color w:val="auto"/>
          <w:sz w:val="30"/>
          <w:szCs w:val="30"/>
          <w:highlight w:val="none"/>
        </w:rPr>
        <w:t>我们接受委托，于2025年9月8日至9月18日对北京中轴线遗产保护中心负责运营的2025年1-8月正阳门城楼和箭楼成本进行了审核，对2026、2027、2028年成本进行了推算。</w:t>
      </w:r>
    </w:p>
    <w:p>
      <w:pPr>
        <w:pStyle w:val="17"/>
        <w:widowControl w:val="0"/>
        <w:spacing w:before="157" w:beforeLines="50" w:beforeAutospacing="0" w:after="160" w:afterLines="50" w:afterAutospacing="0" w:line="480" w:lineRule="exact"/>
        <w:ind w:firstLine="600" w:firstLineChars="200"/>
        <w:jc w:val="both"/>
        <w:rPr>
          <w:rFonts w:hint="eastAsia" w:ascii="Times New Roman" w:hAnsi="Times New Roman" w:eastAsia="仿宋" w:cs="Times New Roman"/>
          <w:b w:val="0"/>
          <w:bCs w:val="0"/>
          <w:color w:val="auto"/>
          <w:sz w:val="30"/>
          <w:szCs w:val="30"/>
          <w:highlight w:val="none"/>
        </w:rPr>
      </w:pPr>
      <w:r>
        <w:rPr>
          <w:rFonts w:hint="eastAsia" w:ascii="Times New Roman" w:hAnsi="Times New Roman" w:eastAsia="仿宋" w:cs="Times New Roman"/>
          <w:b w:val="0"/>
          <w:bCs w:val="0"/>
          <w:color w:val="auto"/>
          <w:sz w:val="30"/>
          <w:szCs w:val="30"/>
          <w:highlight w:val="none"/>
        </w:rPr>
        <w:t>北京中轴线遗产保护中心对提供的会计资料和其他资料的真实性、合法性、完整性负责。我们的责任是按照要求确定调查目的，如实反映调查结果，出具门票成本调查报告，并对2026、2027、2028年成本进行合理推算。结合该项目的特点和景区实际情况，我们采用了与其相匹配的审核方法，以及我们认为必要的其他审核程序。</w:t>
      </w:r>
    </w:p>
    <w:p>
      <w:pPr>
        <w:pStyle w:val="17"/>
        <w:widowControl w:val="0"/>
        <w:spacing w:before="157" w:beforeLines="50" w:beforeAutospacing="0" w:after="160" w:afterLines="50" w:afterAutospacing="0" w:line="480" w:lineRule="exact"/>
        <w:ind w:firstLine="600" w:firstLineChars="200"/>
        <w:jc w:val="both"/>
        <w:rPr>
          <w:rFonts w:hint="eastAsia" w:ascii="Times New Roman" w:hAnsi="Times New Roman" w:eastAsia="仿宋" w:cs="Times New Roman"/>
          <w:b w:val="0"/>
          <w:bCs w:val="0"/>
          <w:color w:val="auto"/>
          <w:sz w:val="30"/>
          <w:szCs w:val="30"/>
          <w:highlight w:val="none"/>
        </w:rPr>
      </w:pPr>
      <w:r>
        <w:rPr>
          <w:rFonts w:hint="eastAsia" w:ascii="Times New Roman" w:hAnsi="Times New Roman" w:eastAsia="仿宋" w:cs="Times New Roman"/>
          <w:b w:val="0"/>
          <w:bCs w:val="0"/>
          <w:color w:val="auto"/>
          <w:sz w:val="30"/>
          <w:szCs w:val="30"/>
          <w:highlight w:val="none"/>
        </w:rPr>
        <w:t>经调查监审，2025年1-8月正阳门城楼和箭楼门票成本调查审核结论如下：</w:t>
      </w:r>
    </w:p>
    <w:p>
      <w:pPr>
        <w:pStyle w:val="3"/>
        <w:keepNext/>
        <w:keepLines/>
        <w:widowControl w:val="0"/>
        <w:spacing w:before="313" w:beforeLines="100" w:after="157" w:line="360" w:lineRule="auto"/>
        <w:ind w:firstLine="602"/>
        <w:rPr>
          <w:rFonts w:hint="eastAsia" w:ascii="黑体" w:hAnsi="黑体" w:eastAsia="黑体" w:cs="黑体"/>
          <w:b/>
          <w:bCs/>
          <w:sz w:val="30"/>
          <w:szCs w:val="30"/>
        </w:rPr>
      </w:pPr>
      <w:r>
        <w:rPr>
          <w:rFonts w:hint="eastAsia" w:ascii="黑体" w:hAnsi="黑体" w:eastAsia="黑体" w:cs="黑体"/>
          <w:b/>
          <w:bCs/>
          <w:sz w:val="30"/>
          <w:szCs w:val="30"/>
          <w:lang w:val="en-US" w:eastAsia="zh-CN"/>
        </w:rPr>
        <w:t>一、</w:t>
      </w:r>
      <w:r>
        <w:rPr>
          <w:rFonts w:hint="eastAsia" w:ascii="黑体" w:hAnsi="黑体" w:eastAsia="黑体" w:cs="黑体"/>
          <w:b/>
          <w:bCs/>
          <w:sz w:val="30"/>
          <w:szCs w:val="30"/>
        </w:rPr>
        <w:t>正阳门</w:t>
      </w:r>
      <w:r>
        <w:rPr>
          <w:rFonts w:hint="eastAsia" w:ascii="黑体" w:hAnsi="黑体" w:eastAsia="黑体" w:cs="黑体"/>
          <w:b/>
          <w:bCs/>
          <w:sz w:val="30"/>
          <w:szCs w:val="30"/>
          <w:lang w:val="en-US" w:eastAsia="zh-CN"/>
        </w:rPr>
        <w:t>箭楼</w:t>
      </w:r>
      <w:r>
        <w:rPr>
          <w:rFonts w:hint="eastAsia" w:ascii="黑体" w:hAnsi="黑体" w:eastAsia="黑体" w:cs="黑体"/>
          <w:b/>
          <w:bCs/>
          <w:sz w:val="30"/>
          <w:szCs w:val="30"/>
        </w:rPr>
        <w:t>楼门票成本</w:t>
      </w:r>
    </w:p>
    <w:p>
      <w:pPr>
        <w:pStyle w:val="17"/>
        <w:widowControl w:val="0"/>
        <w:spacing w:before="157" w:beforeLines="50" w:beforeAutospacing="0" w:after="160" w:afterLines="50" w:afterAutospacing="0" w:line="480" w:lineRule="exact"/>
        <w:ind w:firstLine="600" w:firstLineChars="200"/>
        <w:jc w:val="both"/>
        <w:rPr>
          <w:rFonts w:hint="eastAsia" w:ascii="Times New Roman" w:hAnsi="Times New Roman" w:eastAsia="仿宋" w:cs="Times New Roman"/>
          <w:b w:val="0"/>
          <w:bCs w:val="0"/>
          <w:color w:val="auto"/>
          <w:sz w:val="30"/>
          <w:szCs w:val="30"/>
          <w:highlight w:val="none"/>
        </w:rPr>
      </w:pPr>
      <w:r>
        <w:rPr>
          <w:rFonts w:hint="eastAsia" w:ascii="Times New Roman" w:hAnsi="Times New Roman" w:eastAsia="仿宋" w:cs="Times New Roman"/>
          <w:b w:val="0"/>
          <w:bCs w:val="0"/>
          <w:color w:val="auto"/>
          <w:sz w:val="30"/>
          <w:szCs w:val="30"/>
          <w:highlight w:val="none"/>
        </w:rPr>
        <w:t>2025年1-8月年正阳门箭楼运营总成本为3,290,429.35元，门票外经营总收入为45,289.50元，门票总成本为3,245,139.85元，实际接待标准游客数62,122.00人次（其中：全票游客数量61,472.00人次，优惠票游客数量1,300.00人次，折合标准游客数62,122.00人次）。</w:t>
      </w:r>
    </w:p>
    <w:p>
      <w:pPr>
        <w:pStyle w:val="17"/>
        <w:widowControl w:val="0"/>
        <w:spacing w:before="157" w:beforeLines="50" w:beforeAutospacing="0" w:after="160" w:afterLines="50" w:afterAutospacing="0" w:line="480" w:lineRule="exact"/>
        <w:ind w:firstLine="600" w:firstLineChars="200"/>
        <w:jc w:val="both"/>
        <w:rPr>
          <w:rFonts w:hint="eastAsia" w:ascii="Times New Roman" w:hAnsi="Times New Roman" w:eastAsia="仿宋" w:cs="Times New Roman"/>
          <w:b w:val="0"/>
          <w:bCs w:val="0"/>
          <w:color w:val="auto"/>
          <w:sz w:val="30"/>
          <w:szCs w:val="30"/>
          <w:highlight w:val="none"/>
        </w:rPr>
      </w:pPr>
      <w:r>
        <w:rPr>
          <w:rFonts w:hint="eastAsia" w:ascii="Times New Roman" w:hAnsi="Times New Roman" w:eastAsia="仿宋" w:cs="Times New Roman"/>
          <w:b w:val="0"/>
          <w:bCs w:val="0"/>
          <w:color w:val="auto"/>
          <w:sz w:val="30"/>
          <w:szCs w:val="30"/>
          <w:highlight w:val="none"/>
          <w:lang w:val="en-US" w:eastAsia="zh-CN"/>
        </w:rPr>
        <w:t>结合2025年1-8月实际运营成本，</w:t>
      </w:r>
      <w:r>
        <w:rPr>
          <w:rFonts w:hint="eastAsia" w:ascii="Times New Roman" w:hAnsi="Times New Roman" w:eastAsia="仿宋" w:cs="Times New Roman"/>
          <w:b w:val="0"/>
          <w:bCs w:val="0"/>
          <w:color w:val="auto"/>
          <w:sz w:val="30"/>
          <w:szCs w:val="30"/>
          <w:highlight w:val="none"/>
        </w:rPr>
        <w:t>综合分析推算2026、2027、2028年</w:t>
      </w:r>
      <w:r>
        <w:rPr>
          <w:rFonts w:hint="eastAsia" w:ascii="Times New Roman" w:hAnsi="Times New Roman" w:eastAsia="仿宋" w:cs="Times New Roman"/>
          <w:b w:val="0"/>
          <w:bCs w:val="0"/>
          <w:color w:val="auto"/>
          <w:sz w:val="30"/>
          <w:szCs w:val="30"/>
          <w:highlight w:val="none"/>
          <w:lang w:val="en-US" w:eastAsia="zh-CN"/>
        </w:rPr>
        <w:t>成本，</w:t>
      </w:r>
      <w:r>
        <w:rPr>
          <w:rFonts w:hint="eastAsia" w:ascii="Times New Roman" w:hAnsi="Times New Roman" w:eastAsia="仿宋" w:cs="Times New Roman"/>
          <w:b w:val="0"/>
          <w:bCs w:val="0"/>
          <w:color w:val="auto"/>
          <w:sz w:val="30"/>
          <w:szCs w:val="30"/>
          <w:highlight w:val="none"/>
        </w:rPr>
        <w:t>正阳门箭楼运营总成本预计为20,335,987.00元，门票外经营总收入预计为316,347.16元，门票总成本预计为 20,019,639.84元，预计接待标准游客数370,555.00人次（其中：全票游客数量366,677.00人次，优惠票游客数量7,755.00人次，折合标准游客数370,555.00人次）。北京中轴线遗产保护中心作为文物保护单位管理机构经营正阳门箭楼，第一道门票收入免征增值税，经</w:t>
      </w:r>
      <w:r>
        <w:rPr>
          <w:rFonts w:hint="eastAsia" w:ascii="Times New Roman" w:hAnsi="Times New Roman" w:eastAsia="仿宋" w:cs="Times New Roman"/>
          <w:b w:val="0"/>
          <w:bCs w:val="0"/>
          <w:color w:val="auto"/>
          <w:sz w:val="30"/>
          <w:szCs w:val="30"/>
          <w:highlight w:val="none"/>
          <w:lang w:val="en-US" w:eastAsia="zh-CN"/>
        </w:rPr>
        <w:t>测</w:t>
      </w:r>
      <w:r>
        <w:rPr>
          <w:rFonts w:hint="eastAsia" w:ascii="Times New Roman" w:hAnsi="Times New Roman" w:eastAsia="仿宋" w:cs="Times New Roman"/>
          <w:b w:val="0"/>
          <w:bCs w:val="0"/>
          <w:color w:val="auto"/>
          <w:sz w:val="30"/>
          <w:szCs w:val="30"/>
          <w:highlight w:val="none"/>
        </w:rPr>
        <w:t>算，正阳门箭楼单位门票定价成本为54.</w:t>
      </w:r>
      <w:r>
        <w:rPr>
          <w:rFonts w:hint="eastAsia" w:ascii="Times New Roman" w:hAnsi="Times New Roman" w:eastAsia="仿宋" w:cs="Times New Roman"/>
          <w:b w:val="0"/>
          <w:bCs w:val="0"/>
          <w:color w:val="auto"/>
          <w:sz w:val="30"/>
          <w:szCs w:val="30"/>
          <w:highlight w:val="none"/>
          <w:lang w:val="en-US" w:eastAsia="zh-CN"/>
        </w:rPr>
        <w:t>03</w:t>
      </w:r>
      <w:r>
        <w:rPr>
          <w:rFonts w:hint="eastAsia" w:ascii="Times New Roman" w:hAnsi="Times New Roman" w:eastAsia="仿宋" w:cs="Times New Roman"/>
          <w:b w:val="0"/>
          <w:bCs w:val="0"/>
          <w:color w:val="auto"/>
          <w:sz w:val="30"/>
          <w:szCs w:val="30"/>
          <w:highlight w:val="none"/>
        </w:rPr>
        <w:t>元/人次。</w:t>
      </w:r>
    </w:p>
    <w:p>
      <w:pPr>
        <w:pStyle w:val="3"/>
        <w:keepNext/>
        <w:keepLines/>
        <w:widowControl w:val="0"/>
        <w:spacing w:before="313" w:beforeLines="100" w:after="157" w:line="360" w:lineRule="auto"/>
        <w:ind w:firstLine="602"/>
        <w:rPr>
          <w:rFonts w:hint="eastAsia" w:ascii="黑体" w:hAnsi="黑体" w:eastAsia="黑体" w:cs="黑体"/>
          <w:b/>
          <w:bCs/>
          <w:sz w:val="30"/>
          <w:szCs w:val="30"/>
        </w:rPr>
      </w:pPr>
      <w:r>
        <w:rPr>
          <w:rFonts w:hint="eastAsia" w:ascii="黑体" w:hAnsi="黑体" w:eastAsia="黑体" w:cs="黑体"/>
          <w:b/>
          <w:bCs/>
          <w:sz w:val="30"/>
          <w:szCs w:val="30"/>
          <w:lang w:val="en-US" w:eastAsia="zh-CN"/>
        </w:rPr>
        <w:t>二、</w:t>
      </w:r>
      <w:r>
        <w:rPr>
          <w:rFonts w:hint="eastAsia" w:ascii="黑体" w:hAnsi="黑体" w:eastAsia="黑体" w:cs="黑体"/>
          <w:b/>
          <w:bCs/>
          <w:sz w:val="30"/>
          <w:szCs w:val="30"/>
        </w:rPr>
        <w:t>正阳门</w:t>
      </w:r>
      <w:r>
        <w:rPr>
          <w:rFonts w:hint="eastAsia" w:ascii="黑体" w:hAnsi="黑体" w:eastAsia="黑体" w:cs="黑体"/>
          <w:b/>
          <w:bCs/>
          <w:sz w:val="30"/>
          <w:szCs w:val="30"/>
          <w:lang w:val="en-US" w:eastAsia="zh-CN"/>
        </w:rPr>
        <w:t>城</w:t>
      </w:r>
      <w:r>
        <w:rPr>
          <w:rFonts w:hint="eastAsia" w:ascii="黑体" w:hAnsi="黑体" w:eastAsia="黑体" w:cs="黑体"/>
          <w:b/>
          <w:bCs/>
          <w:sz w:val="30"/>
          <w:szCs w:val="30"/>
        </w:rPr>
        <w:t>楼门票成本</w:t>
      </w:r>
    </w:p>
    <w:p>
      <w:pPr>
        <w:pStyle w:val="17"/>
        <w:widowControl w:val="0"/>
        <w:spacing w:before="157" w:beforeLines="50" w:beforeAutospacing="0" w:after="160" w:afterLines="50" w:afterAutospacing="0" w:line="480" w:lineRule="exact"/>
        <w:ind w:firstLine="600" w:firstLineChars="200"/>
        <w:jc w:val="both"/>
        <w:rPr>
          <w:rFonts w:hint="eastAsia" w:ascii="Times New Roman" w:hAnsi="Times New Roman" w:eastAsia="仿宋" w:cs="Times New Roman"/>
          <w:b w:val="0"/>
          <w:bCs w:val="0"/>
          <w:color w:val="auto"/>
          <w:sz w:val="30"/>
          <w:szCs w:val="30"/>
          <w:highlight w:val="none"/>
        </w:rPr>
      </w:pPr>
      <w:r>
        <w:rPr>
          <w:rFonts w:hint="eastAsia" w:ascii="Times New Roman" w:hAnsi="Times New Roman" w:eastAsia="仿宋" w:cs="Times New Roman"/>
          <w:b w:val="0"/>
          <w:bCs w:val="0"/>
          <w:color w:val="auto"/>
          <w:sz w:val="30"/>
          <w:szCs w:val="30"/>
          <w:highlight w:val="none"/>
        </w:rPr>
        <w:t>2025年1-8月年正阳门城楼运营总成本为3,222,112.60元，门票外经营总收入为0.00元，门票总成本为3,222,112.60元，正阳门城楼未进行开放运营，参照正阳门箭楼数据进行推算，接待标准游客数62,122.00人次（其中：全票游客数量61,472.00人次，优惠票游客数量1,300.00人次，折合标准游客数62,122.00人次）。</w:t>
      </w:r>
    </w:p>
    <w:p>
      <w:pPr>
        <w:pStyle w:val="17"/>
        <w:widowControl w:val="0"/>
        <w:spacing w:before="157" w:beforeLines="50" w:beforeAutospacing="0" w:after="160" w:afterLines="50" w:afterAutospacing="0" w:line="480" w:lineRule="exact"/>
        <w:ind w:firstLine="600" w:firstLineChars="200"/>
        <w:jc w:val="both"/>
        <w:rPr>
          <w:rFonts w:hint="eastAsia" w:ascii="Times New Roman" w:hAnsi="Times New Roman" w:eastAsia="仿宋" w:cs="Times New Roman"/>
          <w:b w:val="0"/>
          <w:bCs w:val="0"/>
          <w:color w:val="auto"/>
          <w:sz w:val="30"/>
          <w:szCs w:val="30"/>
          <w:highlight w:val="none"/>
        </w:rPr>
      </w:pPr>
      <w:r>
        <w:rPr>
          <w:rFonts w:hint="eastAsia" w:ascii="Times New Roman" w:hAnsi="Times New Roman" w:eastAsia="仿宋" w:cs="Times New Roman"/>
          <w:b w:val="0"/>
          <w:bCs w:val="0"/>
          <w:color w:val="auto"/>
          <w:sz w:val="30"/>
          <w:szCs w:val="30"/>
          <w:highlight w:val="none"/>
          <w:lang w:val="en-US" w:eastAsia="zh-CN"/>
        </w:rPr>
        <w:t>结合2025年1-8月实际运营成本，</w:t>
      </w:r>
      <w:r>
        <w:rPr>
          <w:rFonts w:hint="eastAsia" w:ascii="Times New Roman" w:hAnsi="Times New Roman" w:eastAsia="仿宋" w:cs="Times New Roman"/>
          <w:b w:val="0"/>
          <w:bCs w:val="0"/>
          <w:color w:val="auto"/>
          <w:sz w:val="30"/>
          <w:szCs w:val="30"/>
          <w:highlight w:val="none"/>
        </w:rPr>
        <w:t>综合分析推算2026、2027、2028年</w:t>
      </w:r>
      <w:r>
        <w:rPr>
          <w:rFonts w:hint="eastAsia" w:ascii="Times New Roman" w:hAnsi="Times New Roman" w:eastAsia="仿宋" w:cs="Times New Roman"/>
          <w:b w:val="0"/>
          <w:bCs w:val="0"/>
          <w:color w:val="auto"/>
          <w:sz w:val="30"/>
          <w:szCs w:val="30"/>
          <w:highlight w:val="none"/>
          <w:lang w:val="en-US" w:eastAsia="zh-CN"/>
        </w:rPr>
        <w:t>成本，</w:t>
      </w:r>
      <w:r>
        <w:rPr>
          <w:rFonts w:hint="eastAsia" w:ascii="Times New Roman" w:hAnsi="Times New Roman" w:eastAsia="仿宋" w:cs="Times New Roman"/>
          <w:b w:val="0"/>
          <w:bCs w:val="0"/>
          <w:color w:val="auto"/>
          <w:sz w:val="30"/>
          <w:szCs w:val="30"/>
          <w:highlight w:val="none"/>
        </w:rPr>
        <w:t>正阳门城楼运营总成本预计为20,071,321.06元，门票外经营总收入预计为271,057.66元，门票总成本预计为 19,800,263.40元，预计接待标准游客数</w:t>
      </w:r>
      <w:bookmarkStart w:id="0" w:name="OLE_LINK3"/>
      <w:r>
        <w:rPr>
          <w:rFonts w:hint="eastAsia" w:ascii="Times New Roman" w:hAnsi="Times New Roman" w:eastAsia="仿宋" w:cs="Times New Roman"/>
          <w:b w:val="0"/>
          <w:bCs w:val="0"/>
          <w:color w:val="auto"/>
          <w:sz w:val="30"/>
          <w:szCs w:val="30"/>
          <w:highlight w:val="none"/>
        </w:rPr>
        <w:t>370,555.00</w:t>
      </w:r>
      <w:bookmarkEnd w:id="0"/>
      <w:r>
        <w:rPr>
          <w:rFonts w:hint="eastAsia" w:ascii="Times New Roman" w:hAnsi="Times New Roman" w:eastAsia="仿宋" w:cs="Times New Roman"/>
          <w:b w:val="0"/>
          <w:bCs w:val="0"/>
          <w:color w:val="auto"/>
          <w:sz w:val="30"/>
          <w:szCs w:val="30"/>
          <w:highlight w:val="none"/>
        </w:rPr>
        <w:t>人次（其中：全票游客数量366,677.00人次，优惠票游客数量7,755.00人次，折合标准游客数370,555.00人次）。北京中轴线遗产保护中心作为文物保护单位管理机构经营正阳门箭楼，第一道门票收入免征增值税，经</w:t>
      </w:r>
      <w:r>
        <w:rPr>
          <w:rFonts w:hint="eastAsia" w:ascii="Times New Roman" w:hAnsi="Times New Roman" w:eastAsia="仿宋" w:cs="Times New Roman"/>
          <w:b w:val="0"/>
          <w:bCs w:val="0"/>
          <w:color w:val="auto"/>
          <w:sz w:val="30"/>
          <w:szCs w:val="30"/>
          <w:highlight w:val="none"/>
          <w:lang w:val="en-US" w:eastAsia="zh-CN"/>
        </w:rPr>
        <w:t>测</w:t>
      </w:r>
      <w:r>
        <w:rPr>
          <w:rFonts w:hint="eastAsia" w:ascii="Times New Roman" w:hAnsi="Times New Roman" w:eastAsia="仿宋" w:cs="Times New Roman"/>
          <w:b w:val="0"/>
          <w:bCs w:val="0"/>
          <w:color w:val="auto"/>
          <w:sz w:val="30"/>
          <w:szCs w:val="30"/>
          <w:highlight w:val="none"/>
        </w:rPr>
        <w:t>算，正阳门城楼单位门票定价成本为53.</w:t>
      </w:r>
      <w:r>
        <w:rPr>
          <w:rFonts w:hint="eastAsia" w:ascii="Times New Roman" w:hAnsi="Times New Roman" w:eastAsia="仿宋" w:cs="Times New Roman"/>
          <w:b w:val="0"/>
          <w:bCs w:val="0"/>
          <w:color w:val="auto"/>
          <w:sz w:val="30"/>
          <w:szCs w:val="30"/>
          <w:highlight w:val="none"/>
          <w:lang w:val="en-US" w:eastAsia="zh-CN"/>
        </w:rPr>
        <w:t>43</w:t>
      </w:r>
      <w:r>
        <w:rPr>
          <w:rFonts w:hint="eastAsia" w:ascii="Times New Roman" w:hAnsi="Times New Roman" w:eastAsia="仿宋" w:cs="Times New Roman"/>
          <w:b w:val="0"/>
          <w:bCs w:val="0"/>
          <w:color w:val="auto"/>
          <w:sz w:val="30"/>
          <w:szCs w:val="30"/>
          <w:highlight w:val="none"/>
        </w:rPr>
        <w:t>元/人次。</w:t>
      </w:r>
    </w:p>
    <w:p>
      <w:pPr>
        <w:pStyle w:val="17"/>
        <w:widowControl w:val="0"/>
        <w:spacing w:before="157" w:beforeLines="50" w:beforeAutospacing="0" w:after="160" w:afterLines="50" w:afterAutospacing="0" w:line="480" w:lineRule="exact"/>
        <w:ind w:firstLine="600" w:firstLineChars="200"/>
        <w:jc w:val="both"/>
        <w:rPr>
          <w:rFonts w:hint="eastAsia" w:ascii="Times New Roman" w:hAnsi="Times New Roman" w:eastAsia="仿宋" w:cs="Times New Roman"/>
          <w:color w:val="auto"/>
          <w:kern w:val="0"/>
          <w:sz w:val="30"/>
          <w:szCs w:val="30"/>
          <w:highlight w:val="none"/>
          <w:lang w:val="en-US" w:eastAsia="zh-CN"/>
        </w:rPr>
      </w:pPr>
      <w:r>
        <w:rPr>
          <w:rFonts w:hint="eastAsia" w:ascii="Times New Roman" w:hAnsi="Times New Roman" w:eastAsia="仿宋" w:cs="Times New Roman"/>
          <w:b w:val="0"/>
          <w:bCs w:val="0"/>
          <w:color w:val="auto"/>
          <w:sz w:val="30"/>
          <w:szCs w:val="30"/>
          <w:highlight w:val="none"/>
        </w:rPr>
        <w:t>本报告仅供审议价格方案时参考。任何单位和个人使用本调查审核报告推算的内容，与本报告</w:t>
      </w:r>
      <w:r>
        <w:rPr>
          <w:rFonts w:hint="eastAsia" w:ascii="Times New Roman" w:hAnsi="Times New Roman" w:eastAsia="仿宋" w:cs="Times New Roman"/>
          <w:b w:val="0"/>
          <w:bCs w:val="0"/>
          <w:color w:val="auto"/>
          <w:sz w:val="30"/>
          <w:szCs w:val="30"/>
          <w:highlight w:val="none"/>
          <w:lang w:val="en-US" w:eastAsia="zh-CN"/>
        </w:rPr>
        <w:t>及本公司</w:t>
      </w:r>
      <w:r>
        <w:rPr>
          <w:rFonts w:hint="eastAsia" w:ascii="Times New Roman" w:hAnsi="Times New Roman" w:eastAsia="仿宋" w:cs="Times New Roman"/>
          <w:b w:val="0"/>
          <w:bCs w:val="0"/>
          <w:color w:val="auto"/>
          <w:sz w:val="30"/>
          <w:szCs w:val="30"/>
          <w:highlight w:val="none"/>
        </w:rPr>
        <w:t>无关。</w:t>
      </w:r>
    </w:p>
    <w:p>
      <w:pPr>
        <w:pStyle w:val="2"/>
        <w:numPr>
          <w:ilvl w:val="-1"/>
          <w:numId w:val="0"/>
        </w:numPr>
        <w:ind w:left="0" w:firstLine="600" w:firstLineChars="200"/>
        <w:rPr>
          <w:rFonts w:hint="eastAsia" w:ascii="仿宋" w:hAnsi="仿宋" w:eastAsia="仿宋" w:cs="仿宋"/>
          <w:b w:val="0"/>
          <w:color w:val="auto"/>
          <w:kern w:val="0"/>
          <w:sz w:val="30"/>
          <w:szCs w:val="30"/>
          <w:highlight w:val="none"/>
          <w:lang w:val="en-US" w:eastAsia="zh-CN"/>
        </w:rPr>
      </w:pPr>
      <w:r>
        <w:rPr>
          <w:rFonts w:hint="eastAsia" w:ascii="仿宋" w:hAnsi="仿宋" w:eastAsia="仿宋" w:cs="仿宋"/>
          <w:b w:val="0"/>
          <w:color w:val="auto"/>
          <w:kern w:val="0"/>
          <w:sz w:val="30"/>
          <w:szCs w:val="30"/>
          <w:highlight w:val="none"/>
          <w:lang w:val="en-US" w:eastAsia="zh-CN"/>
        </w:rPr>
        <w:t>（本页无正文）</w:t>
      </w:r>
    </w:p>
    <w:p>
      <w:pPr>
        <w:pStyle w:val="2"/>
        <w:numPr>
          <w:ilvl w:val="-1"/>
          <w:numId w:val="0"/>
        </w:numPr>
        <w:ind w:left="0" w:firstLine="643" w:firstLineChars="200"/>
        <w:rPr>
          <w:rFonts w:hint="eastAsia"/>
          <w:lang w:val="en-US" w:eastAsia="zh-CN"/>
        </w:rPr>
      </w:pPr>
    </w:p>
    <w:p>
      <w:pPr>
        <w:pStyle w:val="2"/>
        <w:numPr>
          <w:ilvl w:val="-1"/>
          <w:numId w:val="0"/>
        </w:numPr>
        <w:ind w:left="400" w:firstLine="0"/>
        <w:rPr>
          <w:rFonts w:hint="eastAsia"/>
          <w:lang w:val="en-US" w:eastAsia="zh-CN"/>
        </w:rPr>
      </w:pPr>
    </w:p>
    <w:tbl>
      <w:tblPr>
        <w:tblStyle w:val="16"/>
        <w:tblpPr w:leftFromText="180" w:rightFromText="180" w:vertAnchor="text" w:horzAnchor="page" w:tblpX="1700" w:tblpY="453"/>
        <w:tblOverlap w:val="never"/>
        <w:tblW w:w="89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73"/>
        <w:gridCol w:w="44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62" w:hRule="atLeast"/>
        </w:trPr>
        <w:tc>
          <w:tcPr>
            <w:tcW w:w="4473" w:type="dxa"/>
            <w:vAlign w:val="top"/>
          </w:tcPr>
          <w:p>
            <w:pPr>
              <w:spacing w:line="240" w:lineRule="auto"/>
              <w:jc w:val="center"/>
              <w:rPr>
                <w:rFonts w:ascii="宋体" w:hAnsi="宋体"/>
                <w:sz w:val="24"/>
              </w:rPr>
            </w:pPr>
            <w:r>
              <w:rPr>
                <w:rFonts w:ascii="宋体" w:hAnsi="宋体"/>
                <w:sz w:val="24"/>
              </w:rPr>
              <w:t>北京</w:t>
            </w:r>
            <w:r>
              <w:rPr>
                <w:rFonts w:hint="eastAsia" w:ascii="宋体" w:hAnsi="宋体"/>
                <w:sz w:val="24"/>
              </w:rPr>
              <w:t>中润达</w:t>
            </w:r>
            <w:r>
              <w:rPr>
                <w:rFonts w:ascii="宋体" w:hAnsi="宋体"/>
                <w:sz w:val="24"/>
              </w:rPr>
              <w:t>会计师事务所有限公司</w:t>
            </w:r>
          </w:p>
          <w:p>
            <w:pPr>
              <w:spacing w:line="240" w:lineRule="auto"/>
              <w:rPr>
                <w:rFonts w:ascii="宋体" w:hAnsi="宋体"/>
                <w:sz w:val="24"/>
              </w:rPr>
            </w:pPr>
          </w:p>
          <w:p>
            <w:pPr>
              <w:spacing w:line="240" w:lineRule="auto"/>
              <w:rPr>
                <w:rFonts w:ascii="宋体" w:hAnsi="宋体"/>
                <w:sz w:val="24"/>
              </w:rPr>
            </w:pPr>
          </w:p>
          <w:p>
            <w:pPr>
              <w:spacing w:line="240" w:lineRule="auto"/>
              <w:rPr>
                <w:rFonts w:ascii="宋体" w:hAnsi="宋体"/>
                <w:sz w:val="24"/>
              </w:rPr>
            </w:pPr>
          </w:p>
        </w:tc>
        <w:tc>
          <w:tcPr>
            <w:tcW w:w="4474" w:type="dxa"/>
            <w:vAlign w:val="top"/>
          </w:tcPr>
          <w:p>
            <w:pPr>
              <w:spacing w:line="360" w:lineRule="auto"/>
              <w:rPr>
                <w:rFonts w:ascii="宋体" w:hAnsi="宋体"/>
                <w:sz w:val="24"/>
              </w:rPr>
            </w:pPr>
            <w:r>
              <w:rPr>
                <w:rFonts w:ascii="宋体" w:hAnsi="宋体"/>
                <w:sz w:val="24"/>
              </w:rPr>
              <w:t>中国注册会计师：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20" w:hRule="atLeast"/>
        </w:trPr>
        <w:tc>
          <w:tcPr>
            <w:tcW w:w="4473" w:type="dxa"/>
            <w:vAlign w:val="top"/>
          </w:tcPr>
          <w:p>
            <w:pPr>
              <w:spacing w:line="360" w:lineRule="auto"/>
              <w:jc w:val="center"/>
              <w:rPr>
                <w:rFonts w:hint="eastAsia" w:ascii="宋体" w:hAnsi="宋体"/>
                <w:sz w:val="24"/>
              </w:rPr>
            </w:pPr>
            <w:r>
              <w:rPr>
                <w:rFonts w:hint="eastAsia" w:ascii="宋体" w:hAnsi="宋体"/>
                <w:sz w:val="24"/>
              </w:rPr>
              <w:t>中国·北京</w:t>
            </w:r>
          </w:p>
          <w:p>
            <w:pPr>
              <w:spacing w:line="360" w:lineRule="auto"/>
              <w:jc w:val="both"/>
              <w:rPr>
                <w:rFonts w:hint="eastAsia" w:ascii="宋体" w:hAnsi="宋体"/>
                <w:sz w:val="24"/>
              </w:rPr>
            </w:pPr>
          </w:p>
        </w:tc>
        <w:tc>
          <w:tcPr>
            <w:tcW w:w="4474" w:type="dxa"/>
            <w:vAlign w:val="top"/>
          </w:tcPr>
          <w:p>
            <w:pPr>
              <w:spacing w:line="360" w:lineRule="auto"/>
              <w:rPr>
                <w:rFonts w:ascii="宋体" w:hAnsi="宋体"/>
                <w:sz w:val="24"/>
              </w:rPr>
            </w:pPr>
            <w:r>
              <w:rPr>
                <w:rFonts w:ascii="宋体" w:hAnsi="宋体"/>
                <w:sz w:val="24"/>
              </w:rPr>
              <w:t>中国注册会计师：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473" w:type="dxa"/>
            <w:vAlign w:val="top"/>
          </w:tcPr>
          <w:p>
            <w:pPr>
              <w:spacing w:line="360" w:lineRule="auto"/>
              <w:jc w:val="left"/>
              <w:rPr>
                <w:rFonts w:ascii="宋体" w:hAnsi="宋体"/>
                <w:sz w:val="24"/>
              </w:rPr>
            </w:pPr>
            <w:r>
              <mc:AlternateContent>
                <mc:Choice Requires="wps">
                  <w:drawing>
                    <wp:anchor distT="45720" distB="45720" distL="114300" distR="114300" simplePos="0" relativeHeight="251660288" behindDoc="0" locked="0" layoutInCell="1" allowOverlap="1">
                      <wp:simplePos x="0" y="0"/>
                      <wp:positionH relativeFrom="column">
                        <wp:posOffset>425450</wp:posOffset>
                      </wp:positionH>
                      <wp:positionV relativeFrom="paragraph">
                        <wp:posOffset>9525</wp:posOffset>
                      </wp:positionV>
                      <wp:extent cx="1734820" cy="752475"/>
                      <wp:effectExtent l="9525" t="9525" r="23495" b="15240"/>
                      <wp:wrapSquare wrapText="bothSides"/>
                      <wp:docPr id="12" name="文本框 12"/>
                      <wp:cNvGraphicFramePr/>
                      <a:graphic xmlns:a="http://schemas.openxmlformats.org/drawingml/2006/main">
                        <a:graphicData uri="http://schemas.microsoft.com/office/word/2010/wordprocessingShape">
                          <wps:wsp>
                            <wps:cNvSpPr txBox="1"/>
                            <wps:spPr>
                              <a:xfrm>
                                <a:off x="3936365" y="5631815"/>
                                <a:ext cx="1734820" cy="752475"/>
                              </a:xfrm>
                              <a:prstGeom prst="rect">
                                <a:avLst/>
                              </a:prstGeom>
                              <a:solidFill>
                                <a:srgbClr val="FFFFFF"/>
                              </a:solidFill>
                              <a:ln w="19050" cap="flat" cmpd="sng">
                                <a:solidFill>
                                  <a:srgbClr val="000000"/>
                                </a:solidFill>
                                <a:prstDash val="solid"/>
                                <a:miter/>
                                <a:headEnd type="none" w="med" len="med"/>
                                <a:tailEnd type="none" w="med" len="med"/>
                              </a:ln>
                              <a:effectLst/>
                            </wps:spPr>
                            <wps:txbx>
                              <w:txbxContent>
                                <w:p>
                                  <w:pPr>
                                    <w:spacing w:line="240" w:lineRule="exact"/>
                                    <w:jc w:val="both"/>
                                    <w:rPr>
                                      <w:rFonts w:ascii="仿宋" w:hAnsi="仿宋" w:eastAsia="仿宋"/>
                                      <w:b/>
                                      <w:sz w:val="18"/>
                                      <w:szCs w:val="18"/>
                                    </w:rPr>
                                  </w:pPr>
                                  <w:r>
                                    <w:rPr>
                                      <w:rFonts w:hint="eastAsia" w:ascii="仿宋" w:hAnsi="仿宋" w:eastAsia="仿宋"/>
                                      <w:b/>
                                      <w:sz w:val="18"/>
                                      <w:szCs w:val="18"/>
                                    </w:rPr>
                                    <w:t>我公司实体印章、“BJCA电子签章”双轨制，黑白印章为“BJCA电子签章”，在本文件电子版中，可下载“BJCA助手”验证</w:t>
                                  </w:r>
                                </w:p>
                              </w:txbxContent>
                            </wps:txbx>
                            <wps:bodyPr vert="horz" wrap="square" anchor="t" upright="1"/>
                          </wps:wsp>
                        </a:graphicData>
                      </a:graphic>
                    </wp:anchor>
                  </w:drawing>
                </mc:Choice>
                <mc:Fallback>
                  <w:pict>
                    <v:shape id="_x0000_s1026" o:spid="_x0000_s1026" o:spt="202" type="#_x0000_t202" style="position:absolute;left:0pt;margin-left:33.5pt;margin-top:0.75pt;height:59.25pt;width:136.6pt;mso-wrap-distance-bottom:3.6pt;mso-wrap-distance-left:9pt;mso-wrap-distance-right:9pt;mso-wrap-distance-top:3.6pt;z-index:251660288;mso-width-relative:page;mso-height-relative:page;" fillcolor="#FFFFFF" filled="t" stroked="t" coordsize="21600,21600" o:gfxdata="UEsDBAoAAAAAAIdO4kAAAAAAAAAAAAAAAAAEAAAAZHJzL1BLAwQUAAAACACHTuJApFC/KtQAAAAI&#10;AQAADwAAAGRycy9kb3ducmV2LnhtbE2PwU7DMBBE70j8g7VI3KjdkpYqjdMDEjnTFsTVibdxRLyO&#10;YjdN/57lBMfZWc28Kfaz78WEY+wCaVguFAikJtiOWg0fp7enLYiYDFnTB0INN4ywL+/vCpPbcKUD&#10;TsfUCg6hmBsNLqUhlzI2Dr2JizAgsXcOozeJ5dhKO5orh/terpTaSG864gZnBnx12HwfL17DOn69&#10;Z9Ot7ly7/axkNftDdqq0fnxYqh2IhHP6e4ZffEaHkpnqcCEbRa9h88JTEt/XINh+ztQKRM2aa0GW&#10;hfw/oPwBUEsDBBQAAAAIAIdO4kBFPbn6HQIAACoEAAAOAAAAZHJzL2Uyb0RvYy54bWytU0uOEzEQ&#10;3SNxB8t70p1k8pkonZEghA0CpIEDON3ubkv+YTvpDgeAG7BiM3vOlXPw7GSGDLBAiF64y/bzq6pX&#10;VcubXkmy584Lows6HOSUcF2aSuimoB/eb57NKfGB6YpJo3lBD9zTm9XTJ8vOLvjItEZW3BGQaL/o&#10;bEHbEOwiy3zZcsX8wFiucVkbp1jA1jVZ5VgHdiWzUZ5Ps864yjpTcu9xuj5d0lXir2tehrd17Xkg&#10;sqCILaTVpXUb12y1ZIvGMduK8hwG+4coFBMaTh+o1iwwsnPiNyolSme8qcOgNCozdS1KnnJANsP8&#10;l2xuW2Z5ygXiePsgk/9/tOWb/TtHRIXajSjRTKFGx69fjt++H+8+E5xBoM76BXC3FsjQPzc9wPfn&#10;Hocx7752Kv6REcH9+Ho8HU8nlBwKOpmOh/Ph5CQ17wMpI8FsfDUfoSIlELPJ6GqWANlPJut8eMWN&#10;ItEoqEMpk8Js/9oHRAXoPSQ69kaKaiOkTBvXbF9IR/YMZd+kL7rHk0cwqUmHUK7zSQyEof1qyQJM&#10;ZSGI101y+OiJv2TO0/cn5hjZmvn2FEFiOOWvROAuNV3LWfVSVyQcLDTXmA4ao1G8okRyDFO0EjIw&#10;If8GifSkjunz1PhnmWL1TlWKVui3PUijuTXVARXF8ELe1rhP8I9BQOIfd8whGqZLHBcUiuysE00L&#10;XCp8Fp+jIZOi5+GJHX+5h3054qs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FC/KtQAAAAIAQAA&#10;DwAAAAAAAAABACAAAAAiAAAAZHJzL2Rvd25yZXYueG1sUEsBAhQAFAAAAAgAh07iQEU9ufodAgAA&#10;KgQAAA4AAAAAAAAAAQAgAAAAIwEAAGRycy9lMm9Eb2MueG1sUEsFBgAAAAAGAAYAWQEAALIFAAAA&#10;AA==&#10;">
                      <v:fill on="t" focussize="0,0"/>
                      <v:stroke weight="1.5pt" color="#000000" joinstyle="miter"/>
                      <v:imagedata o:title=""/>
                      <o:lock v:ext="edit" aspectratio="f"/>
                      <v:textbox>
                        <w:txbxContent>
                          <w:p>
                            <w:pPr>
                              <w:spacing w:line="240" w:lineRule="exact"/>
                              <w:jc w:val="both"/>
                              <w:rPr>
                                <w:rFonts w:ascii="仿宋" w:hAnsi="仿宋" w:eastAsia="仿宋"/>
                                <w:b/>
                                <w:sz w:val="18"/>
                                <w:szCs w:val="18"/>
                              </w:rPr>
                            </w:pPr>
                            <w:r>
                              <w:rPr>
                                <w:rFonts w:hint="eastAsia" w:ascii="仿宋" w:hAnsi="仿宋" w:eastAsia="仿宋"/>
                                <w:b/>
                                <w:sz w:val="18"/>
                                <w:szCs w:val="18"/>
                              </w:rPr>
                              <w:t>我公司实体印章、“BJCA电子签章”双轨制，黑白印章为“BJCA电子签章”，在本文件电子版中，可下载“BJCA助手”验证</w:t>
                            </w:r>
                          </w:p>
                        </w:txbxContent>
                      </v:textbox>
                      <w10:wrap type="square"/>
                    </v:shape>
                  </w:pict>
                </mc:Fallback>
              </mc:AlternateContent>
            </w:r>
          </w:p>
        </w:tc>
        <w:tc>
          <w:tcPr>
            <w:tcW w:w="4474" w:type="dxa"/>
            <w:vAlign w:val="top"/>
          </w:tcPr>
          <w:p>
            <w:pPr>
              <w:spacing w:line="360" w:lineRule="auto"/>
              <w:rPr>
                <w:rFonts w:ascii="宋体" w:hAnsi="宋体"/>
                <w:sz w:val="24"/>
              </w:rPr>
            </w:pPr>
            <w:r>
              <w:rPr>
                <w:rFonts w:hint="eastAsia" w:ascii="宋体" w:hAnsi="宋体"/>
                <w:color w:val="000000"/>
                <w:sz w:val="24"/>
              </w:rPr>
              <w:t>二○二五年九月</w:t>
            </w:r>
            <w:r>
              <w:rPr>
                <w:rFonts w:hint="eastAsia" w:ascii="宋体" w:hAnsi="宋体"/>
                <w:color w:val="000000"/>
                <w:sz w:val="24"/>
                <w:lang w:val="en-US" w:eastAsia="zh-CN"/>
              </w:rPr>
              <w:t>十九</w:t>
            </w:r>
            <w:r>
              <w:rPr>
                <w:rFonts w:hint="eastAsia" w:ascii="宋体" w:hAnsi="宋体"/>
                <w:color w:val="000000"/>
                <w:sz w:val="24"/>
              </w:rPr>
              <w:t>日</w:t>
            </w:r>
          </w:p>
        </w:tc>
      </w:tr>
    </w:tbl>
    <w:p>
      <w:pPr>
        <w:pStyle w:val="2"/>
        <w:numPr>
          <w:ilvl w:val="-1"/>
          <w:numId w:val="0"/>
        </w:numPr>
        <w:ind w:left="400" w:firstLine="0"/>
        <w:rPr>
          <w:rFonts w:hint="eastAsia"/>
          <w:lang w:val="en-US" w:eastAsia="zh-CN"/>
        </w:rPr>
      </w:pPr>
    </w:p>
    <w:p>
      <w:pPr>
        <w:rPr>
          <w:rFonts w:hint="eastAsia" w:ascii="仿宋" w:hAnsi="仿宋" w:eastAsia="仿宋" w:cs="仿宋"/>
          <w:color w:val="auto"/>
          <w:kern w:val="0"/>
          <w:sz w:val="30"/>
          <w:szCs w:val="30"/>
          <w:highlight w:val="none"/>
          <w:lang w:val="en-US" w:eastAsia="zh-CN"/>
        </w:rPr>
      </w:pPr>
    </w:p>
    <w:p>
      <w:pPr>
        <w:pageBreakBefore w:val="0"/>
        <w:spacing w:line="360" w:lineRule="auto"/>
        <w:ind w:firstLine="0" w:firstLineChars="0"/>
        <w:jc w:val="center"/>
        <w:rPr>
          <w:rFonts w:hint="eastAsia" w:eastAsia="黑体" w:asciiTheme="minorHAnsi" w:hAnsiTheme="minorHAnsi"/>
          <w:b/>
          <w:color w:val="auto"/>
          <w:spacing w:val="0"/>
          <w:kern w:val="0"/>
          <w:sz w:val="36"/>
          <w:szCs w:val="36"/>
          <w:highlight w:val="none"/>
          <w:lang w:val="en-US" w:eastAsia="zh-CN"/>
        </w:rPr>
      </w:pPr>
    </w:p>
    <w:p>
      <w:pPr>
        <w:pageBreakBefore w:val="0"/>
        <w:spacing w:line="360" w:lineRule="auto"/>
        <w:ind w:firstLine="0" w:firstLineChars="0"/>
        <w:jc w:val="center"/>
        <w:rPr>
          <w:rFonts w:hint="eastAsia" w:eastAsia="黑体" w:asciiTheme="minorHAnsi" w:hAnsiTheme="minorHAnsi"/>
          <w:b/>
          <w:color w:val="auto"/>
          <w:spacing w:val="0"/>
          <w:kern w:val="0"/>
          <w:sz w:val="36"/>
          <w:szCs w:val="36"/>
          <w:highlight w:val="none"/>
          <w:lang w:val="en-US" w:eastAsia="zh-CN"/>
        </w:rPr>
      </w:pPr>
      <w:bookmarkStart w:id="1" w:name="_GoBack"/>
      <w:bookmarkEnd w:id="1"/>
    </w:p>
    <w:p>
      <w:pPr>
        <w:pageBreakBefore w:val="0"/>
        <w:spacing w:line="360" w:lineRule="auto"/>
        <w:ind w:firstLine="0" w:firstLineChars="0"/>
        <w:jc w:val="center"/>
        <w:rPr>
          <w:rFonts w:hint="eastAsia" w:eastAsia="黑体" w:asciiTheme="minorHAnsi" w:hAnsiTheme="minorHAnsi"/>
          <w:b/>
          <w:color w:val="auto"/>
          <w:spacing w:val="0"/>
          <w:kern w:val="0"/>
          <w:sz w:val="36"/>
          <w:szCs w:val="36"/>
          <w:highlight w:val="none"/>
          <w:lang w:val="en-US" w:eastAsia="zh-CN"/>
        </w:rPr>
      </w:pPr>
    </w:p>
    <w:p>
      <w:pPr>
        <w:pageBreakBefore w:val="0"/>
        <w:spacing w:line="360" w:lineRule="auto"/>
        <w:ind w:firstLine="0" w:firstLineChars="0"/>
        <w:jc w:val="center"/>
        <w:rPr>
          <w:rFonts w:hint="eastAsia" w:eastAsia="黑体" w:asciiTheme="minorHAnsi" w:hAnsiTheme="minorHAnsi"/>
          <w:b/>
          <w:color w:val="auto"/>
          <w:spacing w:val="0"/>
          <w:kern w:val="0"/>
          <w:sz w:val="36"/>
          <w:szCs w:val="36"/>
          <w:highlight w:val="none"/>
          <w:lang w:val="en-US" w:eastAsia="zh-CN"/>
        </w:rPr>
      </w:pPr>
    </w:p>
    <w:p>
      <w:pPr>
        <w:pageBreakBefore w:val="0"/>
        <w:spacing w:line="360" w:lineRule="auto"/>
        <w:ind w:firstLine="0" w:firstLineChars="0"/>
        <w:jc w:val="both"/>
        <w:rPr>
          <w:rFonts w:hint="eastAsia" w:eastAsia="黑体" w:asciiTheme="minorHAnsi" w:hAnsiTheme="minorHAnsi"/>
          <w:b/>
          <w:color w:val="auto"/>
          <w:spacing w:val="0"/>
          <w:kern w:val="0"/>
          <w:sz w:val="36"/>
          <w:szCs w:val="36"/>
          <w:highlight w:val="none"/>
          <w:lang w:val="en-US" w:eastAsia="zh-CN"/>
        </w:rPr>
      </w:pPr>
    </w:p>
    <w:p>
      <w:pPr>
        <w:autoSpaceDE w:val="0"/>
        <w:autoSpaceDN w:val="0"/>
        <w:snapToGrid w:val="0"/>
        <w:spacing w:line="360" w:lineRule="auto"/>
        <w:ind w:right="480"/>
        <w:jc w:val="both"/>
        <w:textAlignment w:val="bottom"/>
        <w:rPr>
          <w:rFonts w:hint="default" w:ascii="宋体" w:hAnsi="宋体"/>
          <w:b/>
          <w:bCs/>
          <w:color w:val="000000"/>
          <w:sz w:val="44"/>
          <w:szCs w:val="44"/>
          <w:lang w:val="en-US" w:eastAsia="zh-CN"/>
        </w:rPr>
      </w:pPr>
    </w:p>
    <w:sectPr>
      <w:footerReference r:id="rId5" w:type="first"/>
      <w:headerReference r:id="rId3" w:type="default"/>
      <w:footerReference r:id="rId4" w:type="default"/>
      <w:pgSz w:w="11906" w:h="16838"/>
      <w:pgMar w:top="1440" w:right="1474" w:bottom="1361" w:left="1701" w:header="851" w:footer="992" w:gutter="0"/>
      <w:pgBorders>
        <w:top w:val="none" w:sz="0" w:space="0"/>
        <w:left w:val="none" w:sz="0" w:space="0"/>
        <w:bottom w:val="none" w:sz="0" w:space="0"/>
        <w:right w:val="none" w:sz="0" w:space="0"/>
      </w:pgBorders>
      <w:pgNumType w:start="4"/>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single" w:color="auto" w:sz="4" w:space="1"/>
      </w:pBdr>
      <w:jc w:val="both"/>
      <w:rPr>
        <w:rStyle w:val="13"/>
        <w:rFonts w:hAnsi="宋体"/>
        <w:sz w:val="18"/>
        <w:szCs w:val="18"/>
      </w:rPr>
    </w:pPr>
    <w:r>
      <w:rPr>
        <w:rStyle w:val="13"/>
        <w:rFonts w:hint="eastAsia" w:hAnsi="宋体"/>
        <w:sz w:val="18"/>
        <w:szCs w:val="18"/>
      </w:rPr>
      <w:t>地址：北京市东城区东打磨厂街7号宝鼎中心写字楼C座</w:t>
    </w:r>
    <w:r>
      <w:rPr>
        <w:rStyle w:val="13"/>
        <w:rFonts w:hint="eastAsia" w:hAnsi="宋体"/>
        <w:sz w:val="18"/>
        <w:szCs w:val="18"/>
        <w:lang w:val="en-US" w:eastAsia="zh-CN"/>
      </w:rPr>
      <w:t>8层</w:t>
    </w:r>
    <w:r>
      <w:rPr>
        <w:rStyle w:val="13"/>
        <w:rFonts w:hint="eastAsia" w:hAnsi="宋体"/>
        <w:sz w:val="18"/>
        <w:szCs w:val="18"/>
      </w:rPr>
      <w:t xml:space="preserve"> </w:t>
    </w:r>
  </w:p>
  <w:p>
    <w:pPr>
      <w:pStyle w:val="7"/>
      <w:jc w:val="both"/>
    </w:pPr>
    <w:r>
      <w:rPr>
        <w:rFonts w:hint="eastAsia" w:hAnsi="宋体"/>
        <w:sz w:val="18"/>
        <w:szCs w:val="18"/>
      </w:rPr>
      <w:t>电话：010-67075206                   传真:010-67024059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mSwMQAgAABwQAAA4AAABkcnMvZTJvRG9jLnhtbK1TzY7TMBC+I/EO&#10;lu80aRGrbt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C8JksDEAIAAAcEAAAOAAAAAAAAAAEAIAAA&#10;AB8BAABkcnMvZTJvRG9jLnhtbFBLBQYAAAAABgAGAFkBAAChBQAAAAA=&#10;">
              <v:fill on="f" focussize="0,0"/>
              <v:stroke on="f" weight="0.5pt"/>
              <v:imagedata o:title=""/>
              <o:lock v:ext="edit" aspectratio="f"/>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v:textbox>
            </v:shape>
          </w:pict>
        </mc:Fallback>
      </mc:AlternateContent>
    </w:r>
    <w:r>
      <w:rPr>
        <w:rFonts w:hint="eastAsia"/>
      </w:rPr>
      <w:t xml:space="preserve">                                             </w:t>
    </w:r>
  </w:p>
  <w:p>
    <w:pPr>
      <w:pStyle w:val="9"/>
      <w:rPr>
        <w:u w:val="single"/>
      </w:rPr>
    </w:pPr>
    <w:r>
      <w:rPr>
        <w:rFonts w:hint="eastAsia"/>
        <w:u w:val="single"/>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rPr>
        <w:rFonts w:hint="default" w:eastAsia="宋体"/>
        <w:i/>
        <w:iCs/>
        <w:lang w:val="en-US" w:eastAsia="zh-CN"/>
      </w:rPr>
    </w:pPr>
    <w:r>
      <w:rPr>
        <w:rFonts w:hint="eastAsia"/>
        <w:i/>
        <w:iCs/>
        <w:lang w:val="en-US" w:eastAsia="zh-CN"/>
      </w:rPr>
      <w:t>北京中轴线遗产保护中心正阳门城楼和箭楼门票定价成本调查报告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C8AE1F5"/>
    <w:multiLevelType w:val="multilevel"/>
    <w:tmpl w:val="CC8AE1F5"/>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2"/>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5NWJjZGE0MDY5NjQ0MGNlMmYzNTVjZWJiOTUzZDgifQ=="/>
  </w:docVars>
  <w:rsids>
    <w:rsidRoot w:val="00E74356"/>
    <w:rsid w:val="000240A3"/>
    <w:rsid w:val="000312AE"/>
    <w:rsid w:val="0003239C"/>
    <w:rsid w:val="00032956"/>
    <w:rsid w:val="00040E78"/>
    <w:rsid w:val="00065B01"/>
    <w:rsid w:val="00066996"/>
    <w:rsid w:val="00072472"/>
    <w:rsid w:val="000C2DA8"/>
    <w:rsid w:val="000D709E"/>
    <w:rsid w:val="000E0574"/>
    <w:rsid w:val="000F5A5D"/>
    <w:rsid w:val="000F712F"/>
    <w:rsid w:val="0011372E"/>
    <w:rsid w:val="00127781"/>
    <w:rsid w:val="001355B4"/>
    <w:rsid w:val="0015459E"/>
    <w:rsid w:val="001656E2"/>
    <w:rsid w:val="00175B00"/>
    <w:rsid w:val="001846BF"/>
    <w:rsid w:val="00186716"/>
    <w:rsid w:val="001A7261"/>
    <w:rsid w:val="001F23D5"/>
    <w:rsid w:val="00232D89"/>
    <w:rsid w:val="002420E0"/>
    <w:rsid w:val="00255CA0"/>
    <w:rsid w:val="00265103"/>
    <w:rsid w:val="0029386E"/>
    <w:rsid w:val="002E1BE9"/>
    <w:rsid w:val="002F116C"/>
    <w:rsid w:val="00311EAE"/>
    <w:rsid w:val="00313F7F"/>
    <w:rsid w:val="00315A97"/>
    <w:rsid w:val="003212B0"/>
    <w:rsid w:val="00327F95"/>
    <w:rsid w:val="00341E8F"/>
    <w:rsid w:val="003442DB"/>
    <w:rsid w:val="003621B3"/>
    <w:rsid w:val="00371245"/>
    <w:rsid w:val="003732F9"/>
    <w:rsid w:val="003A1C56"/>
    <w:rsid w:val="003C2C4D"/>
    <w:rsid w:val="003C7718"/>
    <w:rsid w:val="003E25AA"/>
    <w:rsid w:val="003F086D"/>
    <w:rsid w:val="00423FE3"/>
    <w:rsid w:val="00456CA0"/>
    <w:rsid w:val="00465F71"/>
    <w:rsid w:val="00474A34"/>
    <w:rsid w:val="00475BF9"/>
    <w:rsid w:val="00491975"/>
    <w:rsid w:val="004B0AA7"/>
    <w:rsid w:val="004B40C7"/>
    <w:rsid w:val="004C52D0"/>
    <w:rsid w:val="00524265"/>
    <w:rsid w:val="00553873"/>
    <w:rsid w:val="00556874"/>
    <w:rsid w:val="005568F0"/>
    <w:rsid w:val="005627A1"/>
    <w:rsid w:val="005A428C"/>
    <w:rsid w:val="005C2AB3"/>
    <w:rsid w:val="0060546E"/>
    <w:rsid w:val="00610E3D"/>
    <w:rsid w:val="00623B1D"/>
    <w:rsid w:val="00635F63"/>
    <w:rsid w:val="00637396"/>
    <w:rsid w:val="006430A3"/>
    <w:rsid w:val="0064585D"/>
    <w:rsid w:val="006B60E2"/>
    <w:rsid w:val="006C1A5B"/>
    <w:rsid w:val="006D181D"/>
    <w:rsid w:val="006F1518"/>
    <w:rsid w:val="0071726C"/>
    <w:rsid w:val="0072039D"/>
    <w:rsid w:val="007B530D"/>
    <w:rsid w:val="007B7DCC"/>
    <w:rsid w:val="007E4F7D"/>
    <w:rsid w:val="007E7359"/>
    <w:rsid w:val="00806D16"/>
    <w:rsid w:val="00835D0E"/>
    <w:rsid w:val="00850F0B"/>
    <w:rsid w:val="00864189"/>
    <w:rsid w:val="0087795A"/>
    <w:rsid w:val="008A27BE"/>
    <w:rsid w:val="008C0AC0"/>
    <w:rsid w:val="008C1045"/>
    <w:rsid w:val="008D7703"/>
    <w:rsid w:val="008E0EF9"/>
    <w:rsid w:val="008F42A3"/>
    <w:rsid w:val="00903F14"/>
    <w:rsid w:val="009368F0"/>
    <w:rsid w:val="00951461"/>
    <w:rsid w:val="00962A9A"/>
    <w:rsid w:val="0097563C"/>
    <w:rsid w:val="0098218F"/>
    <w:rsid w:val="009A7BC4"/>
    <w:rsid w:val="009B5A8E"/>
    <w:rsid w:val="009B6E35"/>
    <w:rsid w:val="009D4E4F"/>
    <w:rsid w:val="009E6D57"/>
    <w:rsid w:val="009F408B"/>
    <w:rsid w:val="00A108D5"/>
    <w:rsid w:val="00A329AD"/>
    <w:rsid w:val="00A32D14"/>
    <w:rsid w:val="00A40351"/>
    <w:rsid w:val="00A536CA"/>
    <w:rsid w:val="00A63CBE"/>
    <w:rsid w:val="00A72428"/>
    <w:rsid w:val="00A72D2C"/>
    <w:rsid w:val="00A73B1E"/>
    <w:rsid w:val="00A76D03"/>
    <w:rsid w:val="00AB539A"/>
    <w:rsid w:val="00AB71F9"/>
    <w:rsid w:val="00B26049"/>
    <w:rsid w:val="00B27D26"/>
    <w:rsid w:val="00B3651E"/>
    <w:rsid w:val="00B65BF4"/>
    <w:rsid w:val="00B66CA3"/>
    <w:rsid w:val="00B76320"/>
    <w:rsid w:val="00BA37F9"/>
    <w:rsid w:val="00BA580E"/>
    <w:rsid w:val="00BE175A"/>
    <w:rsid w:val="00BE496E"/>
    <w:rsid w:val="00BF5766"/>
    <w:rsid w:val="00C133BD"/>
    <w:rsid w:val="00C177E9"/>
    <w:rsid w:val="00C25AB4"/>
    <w:rsid w:val="00C32D46"/>
    <w:rsid w:val="00C46652"/>
    <w:rsid w:val="00C5684B"/>
    <w:rsid w:val="00C90ED4"/>
    <w:rsid w:val="00CA1A4D"/>
    <w:rsid w:val="00CA22BA"/>
    <w:rsid w:val="00CB36C2"/>
    <w:rsid w:val="00CC46C4"/>
    <w:rsid w:val="00CD1354"/>
    <w:rsid w:val="00CD6ABE"/>
    <w:rsid w:val="00CE3437"/>
    <w:rsid w:val="00CE71C3"/>
    <w:rsid w:val="00D0371C"/>
    <w:rsid w:val="00D04094"/>
    <w:rsid w:val="00D118BE"/>
    <w:rsid w:val="00D11FBE"/>
    <w:rsid w:val="00D2123C"/>
    <w:rsid w:val="00D21ACB"/>
    <w:rsid w:val="00D4144B"/>
    <w:rsid w:val="00D43116"/>
    <w:rsid w:val="00D64F12"/>
    <w:rsid w:val="00D67ABC"/>
    <w:rsid w:val="00D67FAF"/>
    <w:rsid w:val="00D76837"/>
    <w:rsid w:val="00D8195B"/>
    <w:rsid w:val="00D86397"/>
    <w:rsid w:val="00D92AFB"/>
    <w:rsid w:val="00DB5225"/>
    <w:rsid w:val="00DB7DB9"/>
    <w:rsid w:val="00DD06A3"/>
    <w:rsid w:val="00E02091"/>
    <w:rsid w:val="00E055B6"/>
    <w:rsid w:val="00E47F8E"/>
    <w:rsid w:val="00E666BB"/>
    <w:rsid w:val="00E74356"/>
    <w:rsid w:val="00E7480C"/>
    <w:rsid w:val="00E90FAA"/>
    <w:rsid w:val="00EB61F4"/>
    <w:rsid w:val="00ED0519"/>
    <w:rsid w:val="00ED133C"/>
    <w:rsid w:val="00EF6E5D"/>
    <w:rsid w:val="00F03240"/>
    <w:rsid w:val="00F53332"/>
    <w:rsid w:val="00F70F53"/>
    <w:rsid w:val="00FA6C8B"/>
    <w:rsid w:val="00FD08A8"/>
    <w:rsid w:val="00FF6E93"/>
    <w:rsid w:val="0260374E"/>
    <w:rsid w:val="02934269"/>
    <w:rsid w:val="03E373D3"/>
    <w:rsid w:val="05C17A9A"/>
    <w:rsid w:val="06DD233B"/>
    <w:rsid w:val="07463AD9"/>
    <w:rsid w:val="09A92667"/>
    <w:rsid w:val="0A2B294E"/>
    <w:rsid w:val="0A2F203B"/>
    <w:rsid w:val="0A8D5E77"/>
    <w:rsid w:val="0C31054F"/>
    <w:rsid w:val="0ED22860"/>
    <w:rsid w:val="0ED7200D"/>
    <w:rsid w:val="0EFD4598"/>
    <w:rsid w:val="0F8A5937"/>
    <w:rsid w:val="105976ED"/>
    <w:rsid w:val="10C603CC"/>
    <w:rsid w:val="11026C7D"/>
    <w:rsid w:val="125B29CC"/>
    <w:rsid w:val="154825F1"/>
    <w:rsid w:val="15D21AB0"/>
    <w:rsid w:val="17971794"/>
    <w:rsid w:val="17A83738"/>
    <w:rsid w:val="1D2B4C18"/>
    <w:rsid w:val="1F5B36EC"/>
    <w:rsid w:val="218C0E41"/>
    <w:rsid w:val="21C768D4"/>
    <w:rsid w:val="22D01DC2"/>
    <w:rsid w:val="24F979DF"/>
    <w:rsid w:val="25A64FD0"/>
    <w:rsid w:val="260C045B"/>
    <w:rsid w:val="286E587D"/>
    <w:rsid w:val="28B206A1"/>
    <w:rsid w:val="294D50E6"/>
    <w:rsid w:val="29C24811"/>
    <w:rsid w:val="29D619CF"/>
    <w:rsid w:val="2A305529"/>
    <w:rsid w:val="2ABC1234"/>
    <w:rsid w:val="2BD33EF8"/>
    <w:rsid w:val="2BEF595E"/>
    <w:rsid w:val="301A3418"/>
    <w:rsid w:val="30455704"/>
    <w:rsid w:val="30481D8E"/>
    <w:rsid w:val="30E14A98"/>
    <w:rsid w:val="31C168AC"/>
    <w:rsid w:val="35BF0570"/>
    <w:rsid w:val="35C30792"/>
    <w:rsid w:val="360013BD"/>
    <w:rsid w:val="38887355"/>
    <w:rsid w:val="391F0B61"/>
    <w:rsid w:val="3994007E"/>
    <w:rsid w:val="3A9054AB"/>
    <w:rsid w:val="3ADD19A2"/>
    <w:rsid w:val="3B8C0778"/>
    <w:rsid w:val="3C140E5C"/>
    <w:rsid w:val="3DE52359"/>
    <w:rsid w:val="3DFA5801"/>
    <w:rsid w:val="3FE01DCB"/>
    <w:rsid w:val="3FE204D8"/>
    <w:rsid w:val="41975D4F"/>
    <w:rsid w:val="41A6058A"/>
    <w:rsid w:val="43A3494C"/>
    <w:rsid w:val="46CB45CD"/>
    <w:rsid w:val="47A015E2"/>
    <w:rsid w:val="4A6E5705"/>
    <w:rsid w:val="4A9D5ADC"/>
    <w:rsid w:val="4B5E0DFC"/>
    <w:rsid w:val="4DC9797C"/>
    <w:rsid w:val="4EBE5046"/>
    <w:rsid w:val="4F171090"/>
    <w:rsid w:val="4F1B16C0"/>
    <w:rsid w:val="4FBF5788"/>
    <w:rsid w:val="50B421E9"/>
    <w:rsid w:val="50C161DB"/>
    <w:rsid w:val="50F53A9C"/>
    <w:rsid w:val="51F31198"/>
    <w:rsid w:val="52831F41"/>
    <w:rsid w:val="5354232F"/>
    <w:rsid w:val="55834CBB"/>
    <w:rsid w:val="561665C1"/>
    <w:rsid w:val="56FE6B90"/>
    <w:rsid w:val="57F6575D"/>
    <w:rsid w:val="59CE3A1D"/>
    <w:rsid w:val="5AEF3B09"/>
    <w:rsid w:val="5AF622A6"/>
    <w:rsid w:val="5C5A66B3"/>
    <w:rsid w:val="5C7B4A2F"/>
    <w:rsid w:val="5E481A25"/>
    <w:rsid w:val="5EEC3359"/>
    <w:rsid w:val="5F1837B3"/>
    <w:rsid w:val="5F286F0A"/>
    <w:rsid w:val="624A4C40"/>
    <w:rsid w:val="63041683"/>
    <w:rsid w:val="63633E26"/>
    <w:rsid w:val="64C1092F"/>
    <w:rsid w:val="668B67E2"/>
    <w:rsid w:val="6751029D"/>
    <w:rsid w:val="68844303"/>
    <w:rsid w:val="68985BC9"/>
    <w:rsid w:val="6A2001FE"/>
    <w:rsid w:val="6D046564"/>
    <w:rsid w:val="6D0F5F69"/>
    <w:rsid w:val="6EDE5C9A"/>
    <w:rsid w:val="6F286FD3"/>
    <w:rsid w:val="6FAF7F91"/>
    <w:rsid w:val="6FD633CD"/>
    <w:rsid w:val="70DC2D04"/>
    <w:rsid w:val="71741789"/>
    <w:rsid w:val="728F43F8"/>
    <w:rsid w:val="7366651C"/>
    <w:rsid w:val="74396930"/>
    <w:rsid w:val="75D27C98"/>
    <w:rsid w:val="76DE4877"/>
    <w:rsid w:val="77062D92"/>
    <w:rsid w:val="77546325"/>
    <w:rsid w:val="77693610"/>
    <w:rsid w:val="777D0ADB"/>
    <w:rsid w:val="78A77190"/>
    <w:rsid w:val="795222CD"/>
    <w:rsid w:val="7AAA1627"/>
    <w:rsid w:val="7B143DD5"/>
    <w:rsid w:val="7CED4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line="416" w:lineRule="auto"/>
      <w:outlineLvl w:val="1"/>
    </w:pPr>
    <w:rPr>
      <w:rFonts w:ascii="Arial" w:hAnsi="Arial" w:eastAsia="黑体"/>
      <w:b/>
      <w:bCs/>
      <w:sz w:val="32"/>
      <w:szCs w:val="32"/>
    </w:rPr>
  </w:style>
  <w:style w:type="paragraph" w:styleId="2">
    <w:name w:val="heading 3"/>
    <w:basedOn w:val="1"/>
    <w:next w:val="1"/>
    <w:unhideWhenUsed/>
    <w:qFormat/>
    <w:uiPriority w:val="0"/>
    <w:pPr>
      <w:keepNext/>
      <w:keepLines/>
      <w:numPr>
        <w:ilvl w:val="2"/>
        <w:numId w:val="1"/>
      </w:numPr>
      <w:spacing w:before="260" w:beforeLines="0" w:beforeAutospacing="0" w:after="260" w:afterLines="0" w:afterAutospacing="0" w:line="413" w:lineRule="auto"/>
      <w:ind w:firstLine="400"/>
      <w:outlineLvl w:val="2"/>
    </w:pPr>
    <w:rPr>
      <w:b/>
      <w:sz w:val="32"/>
    </w:rPr>
  </w:style>
  <w:style w:type="character" w:default="1" w:styleId="12">
    <w:name w:val="Default Paragraph Font"/>
    <w:unhideWhenUsed/>
    <w:qFormat/>
    <w:uiPriority w:val="1"/>
  </w:style>
  <w:style w:type="table" w:default="1" w:styleId="15">
    <w:name w:val="Normal Table"/>
    <w:unhideWhenUsed/>
    <w:qFormat/>
    <w:uiPriority w:val="99"/>
    <w:tblPr>
      <w:tblLayout w:type="fixed"/>
      <w:tblCellMar>
        <w:top w:w="0" w:type="dxa"/>
        <w:left w:w="108" w:type="dxa"/>
        <w:bottom w:w="0" w:type="dxa"/>
        <w:right w:w="108" w:type="dxa"/>
      </w:tblCellMar>
    </w:tblPr>
  </w:style>
  <w:style w:type="paragraph" w:styleId="5">
    <w:name w:val="caption"/>
    <w:basedOn w:val="1"/>
    <w:next w:val="1"/>
    <w:unhideWhenUsed/>
    <w:qFormat/>
    <w:uiPriority w:val="35"/>
    <w:rPr>
      <w:rFonts w:eastAsia="黑体" w:asciiTheme="majorHAnsi" w:hAnsiTheme="majorHAnsi" w:cstheme="majorBidi"/>
      <w:sz w:val="20"/>
      <w:szCs w:val="20"/>
    </w:rPr>
  </w:style>
  <w:style w:type="paragraph" w:styleId="6">
    <w:name w:val="annotation text"/>
    <w:basedOn w:val="1"/>
    <w:qFormat/>
    <w:uiPriority w:val="0"/>
    <w:pPr>
      <w:jc w:val="left"/>
    </w:pPr>
  </w:style>
  <w:style w:type="paragraph" w:styleId="7">
    <w:name w:val="Date"/>
    <w:basedOn w:val="1"/>
    <w:next w:val="1"/>
    <w:qFormat/>
    <w:uiPriority w:val="0"/>
    <w:pPr>
      <w:adjustRightInd w:val="0"/>
      <w:spacing w:line="312" w:lineRule="atLeast"/>
      <w:jc w:val="right"/>
      <w:textAlignment w:val="baseline"/>
    </w:pPr>
    <w:rPr>
      <w:rFonts w:ascii="宋体"/>
      <w:kern w:val="0"/>
      <w:sz w:val="28"/>
      <w:szCs w:val="20"/>
    </w:rPr>
  </w:style>
  <w:style w:type="paragraph" w:styleId="8">
    <w:name w:val="Balloon Text"/>
    <w:basedOn w:val="1"/>
    <w:semiHidden/>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link w:val="18"/>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qFormat/>
    <w:uiPriority w:val="0"/>
    <w:pPr>
      <w:widowControl/>
      <w:spacing w:before="100" w:beforeAutospacing="1" w:after="100" w:afterAutospacing="1"/>
      <w:jc w:val="left"/>
    </w:pPr>
    <w:rPr>
      <w:rFonts w:ascii="宋体" w:hAnsi="宋体" w:cs="宋体"/>
      <w:kern w:val="0"/>
      <w:sz w:val="24"/>
    </w:rPr>
  </w:style>
  <w:style w:type="character" w:styleId="13">
    <w:name w:val="page number"/>
    <w:basedOn w:val="12"/>
    <w:qFormat/>
    <w:uiPriority w:val="0"/>
  </w:style>
  <w:style w:type="character" w:styleId="14">
    <w:name w:val="Hyperlink"/>
    <w:qFormat/>
    <w:uiPriority w:val="0"/>
    <w:rPr>
      <w:color w:val="0000FF"/>
      <w:u w:val="single"/>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7">
    <w:name w:val="12"/>
    <w:basedOn w:val="1"/>
    <w:qFormat/>
    <w:uiPriority w:val="0"/>
    <w:pPr>
      <w:widowControl/>
      <w:spacing w:before="100" w:beforeAutospacing="1" w:after="100" w:afterAutospacing="1"/>
      <w:jc w:val="left"/>
    </w:pPr>
    <w:rPr>
      <w:rFonts w:ascii="宋体" w:hAnsi="宋体" w:cs="宋体"/>
      <w:kern w:val="0"/>
      <w:sz w:val="18"/>
      <w:szCs w:val="18"/>
    </w:rPr>
  </w:style>
  <w:style w:type="character" w:customStyle="1" w:styleId="18">
    <w:name w:val="页眉 字符"/>
    <w:link w:val="10"/>
    <w:qFormat/>
    <w:locked/>
    <w:uiPriority w:val="99"/>
    <w:rPr>
      <w:kern w:val="2"/>
      <w:sz w:val="18"/>
      <w:szCs w:val="18"/>
    </w:rPr>
  </w:style>
  <w:style w:type="paragraph" w:customStyle="1" w:styleId="19">
    <w:name w:val="List Paragraph"/>
    <w:basedOn w:val="1"/>
    <w:qFormat/>
    <w:uiPriority w:val="34"/>
    <w:pPr>
      <w:ind w:firstLine="420" w:firstLineChars="200"/>
    </w:pPr>
  </w:style>
  <w:style w:type="character" w:customStyle="1" w:styleId="20">
    <w:name w:val="font21"/>
    <w:basedOn w:val="12"/>
    <w:qFormat/>
    <w:uiPriority w:val="0"/>
    <w:rPr>
      <w:rFonts w:ascii="宋体" w:hAnsi="宋体" w:eastAsia="宋体" w:cs="宋体"/>
      <w:b/>
      <w:bCs/>
      <w:color w:val="000000"/>
      <w:sz w:val="18"/>
      <w:szCs w:val="18"/>
      <w:u w:val="none"/>
    </w:rPr>
  </w:style>
  <w:style w:type="character" w:customStyle="1" w:styleId="21">
    <w:name w:val="font81"/>
    <w:basedOn w:val="12"/>
    <w:qFormat/>
    <w:uiPriority w:val="0"/>
    <w:rPr>
      <w:rFonts w:ascii="宋体" w:hAnsi="宋体" w:eastAsia="宋体" w:cs="宋体"/>
      <w:color w:val="000000"/>
      <w:sz w:val="18"/>
      <w:szCs w:val="18"/>
      <w:u w:val="none"/>
    </w:rPr>
  </w:style>
  <w:style w:type="character" w:customStyle="1" w:styleId="22">
    <w:name w:val="font01"/>
    <w:basedOn w:val="12"/>
    <w:qFormat/>
    <w:uiPriority w:val="0"/>
    <w:rPr>
      <w:rFonts w:ascii="宋体" w:hAnsi="宋体" w:eastAsia="宋体" w:cs="宋体"/>
      <w:b/>
      <w:bCs/>
      <w:color w:val="000000"/>
      <w:sz w:val="18"/>
      <w:szCs w:val="18"/>
      <w:u w:val="none"/>
    </w:rPr>
  </w:style>
  <w:style w:type="character" w:customStyle="1" w:styleId="23">
    <w:name w:val="font91"/>
    <w:basedOn w:val="12"/>
    <w:qFormat/>
    <w:uiPriority w:val="0"/>
    <w:rPr>
      <w:rFonts w:ascii="宋体" w:hAnsi="宋体" w:eastAsia="宋体" w:cs="宋体"/>
      <w:color w:val="000000"/>
      <w:sz w:val="16"/>
      <w:szCs w:val="16"/>
      <w:u w:val="none"/>
    </w:rPr>
  </w:style>
  <w:style w:type="character" w:customStyle="1" w:styleId="24">
    <w:name w:val="font101"/>
    <w:basedOn w:val="12"/>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10</Pages>
  <Words>3531</Words>
  <Characters>5040</Characters>
  <Lines>11</Lines>
  <Paragraphs>3</Paragraphs>
  <ScaleCrop>false</ScaleCrop>
  <LinksUpToDate>false</LinksUpToDate>
  <CharactersWithSpaces>5335</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2009-08-21T04:14:00Z</dcterms:created>
  <dc:creator>JL</dc:creator>
  <cp:lastModifiedBy>leixianyi</cp:lastModifiedBy>
  <cp:lastPrinted>2013-01-29T06:42:00Z</cp:lastPrinted>
  <dcterms:modified xsi:type="dcterms:W3CDTF">2025-09-25T02:26:38Z</dcterms:modified>
  <dc:title>XXXXXXXX有限公司</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E8CEDC015F194C62B57BE57FED70648B_13</vt:lpwstr>
  </property>
</Properties>
</file>