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440" w:lineRule="exact"/>
        <w:jc w:val="center"/>
        <w:rPr>
          <w:rFonts w:eastAsia="方正小标宋简体"/>
          <w:color w:val="000000"/>
          <w:sz w:val="32"/>
          <w:szCs w:val="32"/>
        </w:rPr>
      </w:pPr>
      <w:r>
        <w:rPr>
          <w:rFonts w:eastAsia="方正小标宋简体"/>
          <w:color w:val="000000"/>
          <w:sz w:val="32"/>
          <w:szCs w:val="32"/>
        </w:rPr>
        <w:t>202</w:t>
      </w:r>
      <w:r>
        <w:rPr>
          <w:rFonts w:hint="eastAsia" w:eastAsia="方正小标宋简体"/>
          <w:color w:val="000000"/>
          <w:sz w:val="32"/>
          <w:szCs w:val="32"/>
        </w:rPr>
        <w:t>5</w:t>
      </w:r>
      <w:r>
        <w:rPr>
          <w:rFonts w:eastAsia="方正小标宋简体"/>
          <w:color w:val="000000"/>
          <w:sz w:val="32"/>
          <w:szCs w:val="32"/>
        </w:rPr>
        <w:t>年北京市</w:t>
      </w:r>
      <w:r>
        <w:rPr>
          <w:rFonts w:hint="eastAsia" w:eastAsia="方正小标宋简体"/>
          <w:color w:val="000000"/>
          <w:sz w:val="32"/>
          <w:szCs w:val="32"/>
          <w:lang w:eastAsia="zh-CN"/>
        </w:rPr>
        <w:t>东城区</w:t>
      </w:r>
      <w:r>
        <w:rPr>
          <w:rFonts w:hint="eastAsia" w:eastAsia="方正小标宋简体"/>
          <w:color w:val="000000"/>
          <w:sz w:val="32"/>
          <w:szCs w:val="32"/>
        </w:rPr>
        <w:t>儿童及婴幼儿</w:t>
      </w:r>
      <w:r>
        <w:rPr>
          <w:rFonts w:eastAsia="方正小标宋简体"/>
          <w:color w:val="000000"/>
          <w:sz w:val="32"/>
          <w:szCs w:val="32"/>
        </w:rPr>
        <w:t>服装产品质量监督抽查</w:t>
      </w:r>
    </w:p>
    <w:p>
      <w:pPr>
        <w:snapToGrid w:val="0"/>
        <w:spacing w:line="440" w:lineRule="exact"/>
        <w:jc w:val="center"/>
        <w:rPr>
          <w:rFonts w:eastAsia="方正小标宋简体"/>
          <w:color w:val="000000"/>
          <w:sz w:val="32"/>
          <w:szCs w:val="32"/>
        </w:rPr>
      </w:pPr>
      <w:r>
        <w:rPr>
          <w:rFonts w:eastAsia="方正小标宋简体"/>
          <w:color w:val="000000"/>
          <w:sz w:val="32"/>
          <w:szCs w:val="32"/>
        </w:rPr>
        <w:t>实施细则</w:t>
      </w:r>
    </w:p>
    <w:p>
      <w:pPr>
        <w:snapToGrid w:val="0"/>
        <w:spacing w:line="440" w:lineRule="exact"/>
        <w:rPr>
          <w:rFonts w:eastAsia="黑体"/>
          <w:color w:val="000000"/>
          <w:szCs w:val="21"/>
        </w:rPr>
      </w:pPr>
    </w:p>
    <w:p>
      <w:pPr>
        <w:snapToGrid w:val="0"/>
        <w:spacing w:line="440" w:lineRule="exact"/>
        <w:rPr>
          <w:rFonts w:eastAsia="黑体"/>
          <w:color w:val="000000"/>
          <w:szCs w:val="21"/>
        </w:rPr>
      </w:pPr>
      <w:r>
        <w:rPr>
          <w:rFonts w:eastAsia="黑体"/>
          <w:color w:val="000000"/>
          <w:szCs w:val="21"/>
        </w:rPr>
        <w:t>1 抽样方法</w:t>
      </w:r>
    </w:p>
    <w:p>
      <w:pPr>
        <w:snapToGrid w:val="0"/>
        <w:spacing w:line="440" w:lineRule="exact"/>
        <w:ind w:firstLine="420" w:firstLineChars="200"/>
        <w:rPr>
          <w:color w:val="000000"/>
          <w:szCs w:val="21"/>
        </w:rPr>
      </w:pPr>
      <w:r>
        <w:rPr>
          <w:color w:val="000000"/>
          <w:szCs w:val="21"/>
        </w:rPr>
        <w:t>以随机抽样的方式在被抽样生产者、销售者的待销产品中抽取。</w:t>
      </w:r>
    </w:p>
    <w:p>
      <w:pPr>
        <w:snapToGrid w:val="0"/>
        <w:spacing w:line="440" w:lineRule="exact"/>
        <w:ind w:firstLine="420" w:firstLineChars="200"/>
        <w:rPr>
          <w:color w:val="000000"/>
          <w:szCs w:val="21"/>
        </w:rPr>
      </w:pPr>
      <w:r>
        <w:rPr>
          <w:color w:val="000000"/>
          <w:szCs w:val="21"/>
        </w:rPr>
        <w:t>随机数一般可使用随机数表等方法产生。</w:t>
      </w:r>
    </w:p>
    <w:p>
      <w:pPr>
        <w:snapToGrid w:val="0"/>
        <w:spacing w:line="440" w:lineRule="exact"/>
        <w:ind w:firstLine="420" w:firstLineChars="200"/>
        <w:rPr>
          <w:color w:val="000000"/>
          <w:szCs w:val="21"/>
        </w:rPr>
      </w:pPr>
      <w:r>
        <w:rPr>
          <w:color w:val="000000"/>
          <w:szCs w:val="21"/>
        </w:rPr>
        <w:t>抽样基数满足抽样数量即可，抽取样品数量见下表：</w:t>
      </w:r>
    </w:p>
    <w:tbl>
      <w:tblPr>
        <w:tblStyle w:val="13"/>
        <w:tblW w:w="8860"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671"/>
        <w:gridCol w:w="2282"/>
        <w:gridCol w:w="1969"/>
        <w:gridCol w:w="1969"/>
        <w:gridCol w:w="196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47" w:hRule="atLeast"/>
          <w:jc w:val="center"/>
        </w:trPr>
        <w:tc>
          <w:tcPr>
            <w:tcW w:w="671" w:type="dxa"/>
            <w:tcBorders>
              <w:top w:val="outset" w:color="000000" w:sz="6" w:space="0"/>
              <w:left w:val="outset" w:color="000000" w:sz="6" w:space="0"/>
              <w:bottom w:val="outset" w:color="000000" w:sz="6" w:space="0"/>
              <w:right w:val="outset" w:color="000000" w:sz="6" w:space="0"/>
            </w:tcBorders>
            <w:vAlign w:val="center"/>
          </w:tcPr>
          <w:p>
            <w:pPr>
              <w:jc w:val="center"/>
            </w:pPr>
            <w:r>
              <w:t>序号</w:t>
            </w:r>
          </w:p>
        </w:tc>
        <w:tc>
          <w:tcPr>
            <w:tcW w:w="2282" w:type="dxa"/>
            <w:tcBorders>
              <w:top w:val="outset" w:color="000000" w:sz="6" w:space="0"/>
              <w:left w:val="outset" w:color="000000" w:sz="6" w:space="0"/>
              <w:bottom w:val="outset" w:color="000000" w:sz="6" w:space="0"/>
              <w:right w:val="outset" w:color="000000" w:sz="6" w:space="0"/>
            </w:tcBorders>
            <w:vAlign w:val="center"/>
          </w:tcPr>
          <w:p>
            <w:pPr>
              <w:jc w:val="center"/>
            </w:pPr>
            <w:r>
              <w:t>产品名称</w:t>
            </w:r>
          </w:p>
        </w:tc>
        <w:tc>
          <w:tcPr>
            <w:tcW w:w="1969" w:type="dxa"/>
            <w:tcBorders>
              <w:top w:val="outset" w:color="000000" w:sz="6" w:space="0"/>
              <w:left w:val="outset" w:color="000000" w:sz="6" w:space="0"/>
              <w:bottom w:val="outset" w:color="000000" w:sz="6" w:space="0"/>
              <w:right w:val="outset" w:color="000000" w:sz="6" w:space="0"/>
            </w:tcBorders>
            <w:vAlign w:val="center"/>
          </w:tcPr>
          <w:p>
            <w:pPr>
              <w:jc w:val="center"/>
            </w:pPr>
            <w:r>
              <w:t>抽样数量</w:t>
            </w:r>
          </w:p>
          <w:p>
            <w:pPr>
              <w:jc w:val="center"/>
            </w:pPr>
            <w:r>
              <w:t>（件/条/套）</w:t>
            </w:r>
          </w:p>
        </w:tc>
        <w:tc>
          <w:tcPr>
            <w:tcW w:w="1969" w:type="dxa"/>
            <w:tcBorders>
              <w:top w:val="outset" w:color="000000" w:sz="6" w:space="0"/>
              <w:left w:val="outset" w:color="000000" w:sz="6" w:space="0"/>
              <w:bottom w:val="outset" w:color="000000" w:sz="6" w:space="0"/>
              <w:right w:val="outset" w:color="000000" w:sz="6" w:space="0"/>
            </w:tcBorders>
            <w:vAlign w:val="center"/>
          </w:tcPr>
          <w:p>
            <w:pPr>
              <w:jc w:val="center"/>
            </w:pPr>
            <w:r>
              <w:t>检验</w:t>
            </w:r>
            <w:r>
              <w:rPr>
                <w:rFonts w:hint="eastAsia"/>
              </w:rPr>
              <w:t>用</w:t>
            </w:r>
            <w:r>
              <w:t>样品数量</w:t>
            </w:r>
          </w:p>
          <w:p>
            <w:pPr>
              <w:jc w:val="center"/>
            </w:pPr>
            <w:r>
              <w:t>（件/条/套）</w:t>
            </w:r>
          </w:p>
        </w:tc>
        <w:tc>
          <w:tcPr>
            <w:tcW w:w="1969" w:type="dxa"/>
            <w:tcBorders>
              <w:top w:val="outset" w:color="000000" w:sz="6" w:space="0"/>
              <w:left w:val="outset" w:color="000000" w:sz="6" w:space="0"/>
              <w:bottom w:val="outset" w:color="000000" w:sz="6" w:space="0"/>
              <w:right w:val="outset" w:color="000000" w:sz="6" w:space="0"/>
            </w:tcBorders>
            <w:vAlign w:val="center"/>
          </w:tcPr>
          <w:p>
            <w:pPr>
              <w:jc w:val="center"/>
            </w:pPr>
            <w:r>
              <w:rPr>
                <w:rFonts w:hint="eastAsia"/>
              </w:rPr>
              <w:t>备用样品</w:t>
            </w:r>
            <w:r>
              <w:t>数量</w:t>
            </w:r>
          </w:p>
          <w:p>
            <w:pPr>
              <w:jc w:val="center"/>
            </w:pPr>
            <w:r>
              <w:t>（件/条/套）</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273" w:hRule="atLeast"/>
          <w:jc w:val="center"/>
        </w:trPr>
        <w:tc>
          <w:tcPr>
            <w:tcW w:w="671" w:type="dxa"/>
            <w:tcBorders>
              <w:top w:val="outset" w:color="000000" w:sz="6" w:space="0"/>
              <w:left w:val="outset" w:color="000000" w:sz="6" w:space="0"/>
              <w:bottom w:val="outset" w:color="000000" w:sz="6" w:space="0"/>
              <w:right w:val="outset" w:color="000000" w:sz="6" w:space="0"/>
            </w:tcBorders>
            <w:vAlign w:val="center"/>
          </w:tcPr>
          <w:p>
            <w:pPr>
              <w:jc w:val="center"/>
            </w:pPr>
            <w:r>
              <w:t>1</w:t>
            </w:r>
          </w:p>
        </w:tc>
        <w:tc>
          <w:tcPr>
            <w:tcW w:w="2282" w:type="dxa"/>
            <w:tcBorders>
              <w:top w:val="outset" w:color="000000" w:sz="6" w:space="0"/>
              <w:left w:val="outset" w:color="000000" w:sz="6" w:space="0"/>
              <w:bottom w:val="outset" w:color="000000" w:sz="6" w:space="0"/>
              <w:right w:val="outset" w:color="000000" w:sz="6" w:space="0"/>
            </w:tcBorders>
            <w:vAlign w:val="center"/>
          </w:tcPr>
          <w:p>
            <w:pPr>
              <w:jc w:val="center"/>
            </w:pPr>
            <w:r>
              <w:t>婴幼儿服装</w:t>
            </w:r>
          </w:p>
        </w:tc>
        <w:tc>
          <w:tcPr>
            <w:tcW w:w="1969" w:type="dxa"/>
            <w:tcBorders>
              <w:top w:val="outset" w:color="000000" w:sz="6" w:space="0"/>
              <w:left w:val="outset" w:color="000000" w:sz="6" w:space="0"/>
              <w:bottom w:val="outset" w:color="000000" w:sz="6" w:space="0"/>
              <w:right w:val="outset" w:color="000000" w:sz="6" w:space="0"/>
            </w:tcBorders>
            <w:vAlign w:val="center"/>
          </w:tcPr>
          <w:p>
            <w:pPr>
              <w:jc w:val="center"/>
            </w:pPr>
            <w:r>
              <w:t>3</w:t>
            </w:r>
          </w:p>
        </w:tc>
        <w:tc>
          <w:tcPr>
            <w:tcW w:w="1969" w:type="dxa"/>
            <w:tcBorders>
              <w:top w:val="outset" w:color="000000" w:sz="6" w:space="0"/>
              <w:left w:val="outset" w:color="000000" w:sz="6" w:space="0"/>
              <w:bottom w:val="outset" w:color="000000" w:sz="6" w:space="0"/>
              <w:right w:val="outset" w:color="000000" w:sz="6" w:space="0"/>
            </w:tcBorders>
            <w:vAlign w:val="center"/>
          </w:tcPr>
          <w:p>
            <w:pPr>
              <w:jc w:val="center"/>
            </w:pPr>
            <w:r>
              <w:t>2</w:t>
            </w:r>
          </w:p>
        </w:tc>
        <w:tc>
          <w:tcPr>
            <w:tcW w:w="1969" w:type="dxa"/>
            <w:tcBorders>
              <w:top w:val="outset" w:color="000000" w:sz="6" w:space="0"/>
              <w:left w:val="outset" w:color="000000" w:sz="6" w:space="0"/>
              <w:bottom w:val="outset" w:color="000000" w:sz="6" w:space="0"/>
              <w:right w:val="outset" w:color="000000" w:sz="6" w:space="0"/>
            </w:tcBorders>
            <w:vAlign w:val="center"/>
          </w:tcPr>
          <w:p>
            <w:pPr>
              <w:jc w:val="center"/>
            </w:pPr>
            <w: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47" w:hRule="atLeast"/>
          <w:jc w:val="center"/>
        </w:trPr>
        <w:tc>
          <w:tcPr>
            <w:tcW w:w="671" w:type="dxa"/>
            <w:tcBorders>
              <w:top w:val="outset" w:color="000000" w:sz="6" w:space="0"/>
              <w:left w:val="outset" w:color="000000" w:sz="6" w:space="0"/>
              <w:bottom w:val="single" w:color="auto" w:sz="4" w:space="0"/>
              <w:right w:val="outset" w:color="000000" w:sz="6" w:space="0"/>
            </w:tcBorders>
            <w:vAlign w:val="center"/>
          </w:tcPr>
          <w:p>
            <w:pPr>
              <w:jc w:val="center"/>
            </w:pPr>
            <w:r>
              <w:t>2</w:t>
            </w:r>
          </w:p>
        </w:tc>
        <w:tc>
          <w:tcPr>
            <w:tcW w:w="2282" w:type="dxa"/>
            <w:tcBorders>
              <w:top w:val="outset" w:color="000000" w:sz="6" w:space="0"/>
              <w:left w:val="outset" w:color="000000" w:sz="6" w:space="0"/>
              <w:bottom w:val="single" w:color="auto" w:sz="4" w:space="0"/>
              <w:right w:val="outset" w:color="000000" w:sz="6" w:space="0"/>
            </w:tcBorders>
            <w:vAlign w:val="center"/>
          </w:tcPr>
          <w:p>
            <w:pPr>
              <w:jc w:val="center"/>
            </w:pPr>
            <w:r>
              <w:t>儿童服装</w:t>
            </w:r>
          </w:p>
        </w:tc>
        <w:tc>
          <w:tcPr>
            <w:tcW w:w="1969" w:type="dxa"/>
            <w:tcBorders>
              <w:top w:val="outset" w:color="000000" w:sz="6" w:space="0"/>
              <w:left w:val="outset" w:color="000000" w:sz="6" w:space="0"/>
              <w:bottom w:val="single" w:color="auto" w:sz="4" w:space="0"/>
              <w:right w:val="outset" w:color="000000" w:sz="6" w:space="0"/>
            </w:tcBorders>
            <w:vAlign w:val="center"/>
          </w:tcPr>
          <w:p>
            <w:pPr>
              <w:jc w:val="center"/>
            </w:pPr>
            <w:r>
              <w:t>2</w:t>
            </w:r>
          </w:p>
        </w:tc>
        <w:tc>
          <w:tcPr>
            <w:tcW w:w="1969" w:type="dxa"/>
            <w:tcBorders>
              <w:top w:val="outset" w:color="000000" w:sz="6" w:space="0"/>
              <w:left w:val="outset" w:color="000000" w:sz="6" w:space="0"/>
              <w:bottom w:val="single" w:color="auto" w:sz="4" w:space="0"/>
              <w:right w:val="outset" w:color="000000" w:sz="6" w:space="0"/>
            </w:tcBorders>
            <w:vAlign w:val="center"/>
          </w:tcPr>
          <w:p>
            <w:pPr>
              <w:jc w:val="center"/>
            </w:pPr>
            <w:r>
              <w:t>1</w:t>
            </w:r>
          </w:p>
        </w:tc>
        <w:tc>
          <w:tcPr>
            <w:tcW w:w="1969" w:type="dxa"/>
            <w:tcBorders>
              <w:top w:val="outset" w:color="000000" w:sz="6" w:space="0"/>
              <w:left w:val="outset" w:color="000000" w:sz="6" w:space="0"/>
              <w:bottom w:val="single" w:color="auto" w:sz="4" w:space="0"/>
              <w:right w:val="outset" w:color="000000" w:sz="6" w:space="0"/>
            </w:tcBorders>
            <w:vAlign w:val="center"/>
          </w:tcPr>
          <w:p>
            <w:pPr>
              <w:jc w:val="center"/>
            </w:pPr>
            <w: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273" w:hRule="atLeast"/>
          <w:jc w:val="center"/>
        </w:trPr>
        <w:tc>
          <w:tcPr>
            <w:tcW w:w="8860" w:type="dxa"/>
            <w:gridSpan w:val="5"/>
            <w:tcBorders>
              <w:top w:val="outset" w:color="000000" w:sz="6" w:space="0"/>
              <w:left w:val="outset" w:color="000000" w:sz="6" w:space="0"/>
              <w:bottom w:val="outset" w:color="000000" w:sz="6" w:space="0"/>
              <w:right w:val="outset" w:color="000000" w:sz="6" w:space="0"/>
            </w:tcBorders>
            <w:vAlign w:val="center"/>
          </w:tcPr>
          <w:p>
            <w:pPr>
              <w:jc w:val="left"/>
            </w:pPr>
            <w:r>
              <w:t>注：如样品过小，可适当增加抽样数量，但不得超过检验、复检的合理需要。</w:t>
            </w:r>
          </w:p>
        </w:tc>
      </w:tr>
    </w:tbl>
    <w:p>
      <w:pPr>
        <w:widowControl/>
        <w:spacing w:line="360" w:lineRule="auto"/>
        <w:rPr>
          <w:color w:val="000000"/>
          <w:szCs w:val="21"/>
        </w:rPr>
      </w:pPr>
    </w:p>
    <w:p>
      <w:pPr>
        <w:snapToGrid w:val="0"/>
        <w:spacing w:line="440" w:lineRule="exact"/>
        <w:rPr>
          <w:rFonts w:eastAsia="黑体"/>
          <w:color w:val="000000"/>
          <w:szCs w:val="21"/>
        </w:rPr>
      </w:pPr>
      <w:r>
        <w:rPr>
          <w:rFonts w:eastAsia="黑体"/>
          <w:color w:val="000000"/>
          <w:szCs w:val="21"/>
        </w:rPr>
        <w:t>2 检验依据</w:t>
      </w:r>
    </w:p>
    <w:tbl>
      <w:tblPr>
        <w:tblStyle w:val="13"/>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3"/>
        <w:gridCol w:w="2707"/>
        <w:gridCol w:w="2707"/>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blHeader/>
          <w:jc w:val="center"/>
        </w:trPr>
        <w:tc>
          <w:tcPr>
            <w:tcW w:w="733" w:type="dxa"/>
            <w:vAlign w:val="center"/>
          </w:tcPr>
          <w:p>
            <w:pPr>
              <w:jc w:val="center"/>
            </w:pPr>
            <w:bookmarkStart w:id="1" w:name="_GoBack"/>
            <w:bookmarkEnd w:id="1"/>
            <w:r>
              <w:t>序号</w:t>
            </w:r>
          </w:p>
        </w:tc>
        <w:tc>
          <w:tcPr>
            <w:tcW w:w="2707" w:type="dxa"/>
            <w:vAlign w:val="center"/>
          </w:tcPr>
          <w:p>
            <w:pPr>
              <w:jc w:val="center"/>
            </w:pPr>
            <w:r>
              <w:t>检验项目</w:t>
            </w:r>
          </w:p>
        </w:tc>
        <w:tc>
          <w:tcPr>
            <w:tcW w:w="2707" w:type="dxa"/>
            <w:vAlign w:val="center"/>
          </w:tcPr>
          <w:p>
            <w:pPr>
              <w:adjustRightInd w:val="0"/>
              <w:snapToGrid w:val="0"/>
              <w:jc w:val="center"/>
              <w:rPr>
                <w:szCs w:val="21"/>
              </w:rPr>
            </w:pPr>
            <w:r>
              <w:rPr>
                <w:szCs w:val="21"/>
              </w:rPr>
              <w:t>检验依据</w:t>
            </w:r>
          </w:p>
        </w:tc>
        <w:tc>
          <w:tcPr>
            <w:tcW w:w="2707" w:type="dxa"/>
            <w:vAlign w:val="center"/>
          </w:tcPr>
          <w:p>
            <w:pPr>
              <w:jc w:val="center"/>
            </w:pPr>
            <w: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33" w:type="dxa"/>
            <w:shd w:val="clear" w:color="auto" w:fill="auto"/>
            <w:vAlign w:val="center"/>
          </w:tcPr>
          <w:p>
            <w:pPr>
              <w:jc w:val="center"/>
            </w:pPr>
            <w:r>
              <w:t>1</w:t>
            </w:r>
          </w:p>
        </w:tc>
        <w:tc>
          <w:tcPr>
            <w:tcW w:w="2707" w:type="dxa"/>
            <w:shd w:val="clear" w:color="auto" w:fill="auto"/>
            <w:vAlign w:val="center"/>
          </w:tcPr>
          <w:p>
            <w:pPr>
              <w:jc w:val="center"/>
            </w:pPr>
            <w:r>
              <w:t>纤维含量</w:t>
            </w:r>
          </w:p>
        </w:tc>
        <w:tc>
          <w:tcPr>
            <w:tcW w:w="2707" w:type="dxa"/>
            <w:shd w:val="clear" w:color="auto" w:fill="auto"/>
            <w:vAlign w:val="center"/>
          </w:tcPr>
          <w:p>
            <w:pPr>
              <w:adjustRightInd w:val="0"/>
              <w:snapToGrid w:val="0"/>
              <w:jc w:val="center"/>
              <w:rPr>
                <w:szCs w:val="21"/>
              </w:rPr>
            </w:pPr>
            <w:r>
              <w:rPr>
                <w:szCs w:val="21"/>
              </w:rPr>
              <w:t>GB/T 29862—2013</w:t>
            </w:r>
          </w:p>
          <w:p>
            <w:pPr>
              <w:adjustRightInd w:val="0"/>
              <w:snapToGrid w:val="0"/>
              <w:jc w:val="center"/>
              <w:rPr>
                <w:szCs w:val="21"/>
              </w:rPr>
            </w:pPr>
            <w:r>
              <w:rPr>
                <w:szCs w:val="21"/>
              </w:rPr>
              <w:t>相应产品标准</w:t>
            </w:r>
          </w:p>
        </w:tc>
        <w:tc>
          <w:tcPr>
            <w:tcW w:w="2707" w:type="dxa"/>
            <w:shd w:val="clear" w:color="auto" w:fill="FFFFFF"/>
            <w:vAlign w:val="center"/>
          </w:tcPr>
          <w:p>
            <w:pPr>
              <w:jc w:val="center"/>
            </w:pPr>
            <w:r>
              <w:t>FZ/T 01057.1—</w:t>
            </w:r>
            <w:r>
              <w:rPr>
                <w:rFonts w:hint="eastAsia"/>
              </w:rPr>
              <w:t>2007</w:t>
            </w:r>
          </w:p>
          <w:p>
            <w:pPr>
              <w:jc w:val="center"/>
            </w:pPr>
            <w:r>
              <w:t>FZ/T 01057.2—</w:t>
            </w:r>
            <w:r>
              <w:rPr>
                <w:rFonts w:hint="eastAsia"/>
              </w:rPr>
              <w:t>2007</w:t>
            </w:r>
          </w:p>
          <w:p>
            <w:pPr>
              <w:jc w:val="center"/>
            </w:pPr>
            <w:r>
              <w:t>FZ/T 01057.3—</w:t>
            </w:r>
            <w:r>
              <w:rPr>
                <w:rFonts w:hint="eastAsia"/>
              </w:rPr>
              <w:t>2007</w:t>
            </w:r>
          </w:p>
          <w:p>
            <w:pPr>
              <w:jc w:val="center"/>
            </w:pPr>
            <w:r>
              <w:t>FZ/T 01057.4—</w:t>
            </w:r>
            <w:r>
              <w:rPr>
                <w:rFonts w:hint="eastAsia"/>
              </w:rPr>
              <w:t>2007</w:t>
            </w:r>
          </w:p>
          <w:p>
            <w:pPr>
              <w:jc w:val="center"/>
            </w:pPr>
            <w:r>
              <w:t>FZ/T 01057.6—</w:t>
            </w:r>
            <w:r>
              <w:rPr>
                <w:rFonts w:hint="eastAsia"/>
              </w:rPr>
              <w:t>2007</w:t>
            </w:r>
          </w:p>
          <w:p>
            <w:pPr>
              <w:jc w:val="center"/>
            </w:pPr>
            <w:r>
              <w:t>GB/T 2910.1—</w:t>
            </w:r>
            <w:r>
              <w:rPr>
                <w:rFonts w:hint="eastAsia"/>
              </w:rPr>
              <w:t>2009</w:t>
            </w:r>
          </w:p>
          <w:p>
            <w:pPr>
              <w:jc w:val="center"/>
            </w:pPr>
            <w:r>
              <w:t>GB/T 2910.2—</w:t>
            </w:r>
            <w:r>
              <w:rPr>
                <w:rFonts w:hint="eastAsia"/>
              </w:rPr>
              <w:t>2009</w:t>
            </w:r>
          </w:p>
          <w:p>
            <w:pPr>
              <w:jc w:val="center"/>
            </w:pPr>
            <w:r>
              <w:t>GB/T 2910.3—</w:t>
            </w:r>
            <w:r>
              <w:rPr>
                <w:rFonts w:hint="eastAsia"/>
              </w:rPr>
              <w:t>2009</w:t>
            </w:r>
          </w:p>
          <w:p>
            <w:pPr>
              <w:jc w:val="center"/>
            </w:pPr>
            <w:r>
              <w:t>GB/T 2910.4—</w:t>
            </w:r>
            <w:r>
              <w:rPr>
                <w:rFonts w:hint="eastAsia"/>
              </w:rPr>
              <w:t>2022</w:t>
            </w:r>
          </w:p>
          <w:p>
            <w:pPr>
              <w:jc w:val="center"/>
            </w:pPr>
            <w:r>
              <w:t>GB/T 2910.6—</w:t>
            </w:r>
            <w:r>
              <w:rPr>
                <w:rFonts w:hint="eastAsia"/>
              </w:rPr>
              <w:t>2009</w:t>
            </w:r>
          </w:p>
          <w:p>
            <w:pPr>
              <w:jc w:val="center"/>
            </w:pPr>
            <w:r>
              <w:t>GB/T 2910.7—</w:t>
            </w:r>
            <w:r>
              <w:rPr>
                <w:rFonts w:hint="eastAsia"/>
              </w:rPr>
              <w:t>2009</w:t>
            </w:r>
          </w:p>
          <w:p>
            <w:pPr>
              <w:jc w:val="center"/>
            </w:pPr>
            <w:r>
              <w:t>GB/T 2910.8—</w:t>
            </w:r>
            <w:r>
              <w:rPr>
                <w:rFonts w:hint="eastAsia"/>
              </w:rPr>
              <w:t>2009</w:t>
            </w:r>
          </w:p>
          <w:p>
            <w:pPr>
              <w:jc w:val="center"/>
            </w:pPr>
            <w:r>
              <w:t>GB/T 2910.11—</w:t>
            </w:r>
            <w:r>
              <w:rPr>
                <w:rFonts w:hint="eastAsia"/>
              </w:rPr>
              <w:t>2009</w:t>
            </w:r>
          </w:p>
          <w:p>
            <w:pPr>
              <w:jc w:val="center"/>
            </w:pPr>
            <w:r>
              <w:t>GB/T 2910.12—</w:t>
            </w:r>
            <w:r>
              <w:rPr>
                <w:rFonts w:hint="eastAsia"/>
              </w:rPr>
              <w:t>20</w:t>
            </w:r>
            <w:r>
              <w:t>23</w:t>
            </w:r>
          </w:p>
          <w:p>
            <w:pPr>
              <w:jc w:val="center"/>
            </w:pPr>
            <w:r>
              <w:t>GB/T 2910.18—</w:t>
            </w:r>
            <w:r>
              <w:rPr>
                <w:rFonts w:hint="eastAsia"/>
              </w:rPr>
              <w:t>2009</w:t>
            </w:r>
          </w:p>
          <w:p>
            <w:pPr>
              <w:jc w:val="center"/>
            </w:pPr>
            <w:r>
              <w:t>GB/T 2910.20—</w:t>
            </w:r>
            <w:r>
              <w:rPr>
                <w:rFonts w:hint="eastAsia"/>
              </w:rPr>
              <w:t>2009</w:t>
            </w:r>
          </w:p>
          <w:p>
            <w:pPr>
              <w:jc w:val="center"/>
            </w:pPr>
            <w:r>
              <w:t>GB/T 2910.22—</w:t>
            </w:r>
            <w:r>
              <w:rPr>
                <w:rFonts w:hint="eastAsia"/>
              </w:rPr>
              <w:t>2009</w:t>
            </w:r>
          </w:p>
          <w:p>
            <w:pPr>
              <w:jc w:val="center"/>
            </w:pPr>
            <w:r>
              <w:t>FZ/T 01101—</w:t>
            </w:r>
            <w:r>
              <w:rPr>
                <w:rFonts w:hint="eastAsia"/>
              </w:rPr>
              <w:t>2008</w:t>
            </w:r>
          </w:p>
          <w:p>
            <w:pPr>
              <w:jc w:val="center"/>
            </w:pPr>
            <w:r>
              <w:t>FZ/T 01112—</w:t>
            </w:r>
            <w:r>
              <w:rPr>
                <w:rFonts w:hint="eastAsia"/>
              </w:rPr>
              <w:t>2012</w:t>
            </w:r>
          </w:p>
          <w:p>
            <w:pPr>
              <w:jc w:val="center"/>
            </w:pPr>
            <w:r>
              <w:t>FZ/T 01026—</w:t>
            </w:r>
            <w:r>
              <w:rPr>
                <w:rFonts w:hint="eastAsia"/>
              </w:rPr>
              <w:t>2017</w:t>
            </w:r>
          </w:p>
          <w:p>
            <w:pPr>
              <w:jc w:val="center"/>
            </w:pPr>
            <w:r>
              <w:t>FZ/T 01095—</w:t>
            </w:r>
            <w:r>
              <w:rPr>
                <w:rFonts w:hint="eastAsia"/>
              </w:rPr>
              <w:t>2002</w:t>
            </w:r>
          </w:p>
          <w:p>
            <w:pPr>
              <w:jc w:val="center"/>
            </w:pPr>
            <w:r>
              <w:t xml:space="preserve"> hFZ/T 30003—</w:t>
            </w:r>
            <w:r>
              <w:rPr>
                <w:rFonts w:hint="eastAsia"/>
              </w:rPr>
              <w:t>2009</w:t>
            </w:r>
          </w:p>
          <w:p>
            <w:pPr>
              <w:jc w:val="center"/>
            </w:pPr>
            <w:r>
              <w:t>GB/T 16988—</w:t>
            </w:r>
            <w:r>
              <w:rPr>
                <w:rFonts w:hint="eastAsia"/>
              </w:rPr>
              <w:t>2013</w:t>
            </w:r>
            <w: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33" w:type="dxa"/>
            <w:vAlign w:val="center"/>
          </w:tcPr>
          <w:p>
            <w:pPr>
              <w:jc w:val="center"/>
            </w:pPr>
            <w:r>
              <w:t>2</w:t>
            </w:r>
          </w:p>
        </w:tc>
        <w:tc>
          <w:tcPr>
            <w:tcW w:w="2707" w:type="dxa"/>
            <w:vAlign w:val="center"/>
          </w:tcPr>
          <w:p>
            <w:pPr>
              <w:jc w:val="center"/>
            </w:pPr>
            <w:r>
              <w:t>甲醛含量</w:t>
            </w:r>
          </w:p>
        </w:tc>
        <w:tc>
          <w:tcPr>
            <w:tcW w:w="2707" w:type="dxa"/>
            <w:vAlign w:val="center"/>
          </w:tcPr>
          <w:p>
            <w:pPr>
              <w:adjustRightInd w:val="0"/>
              <w:snapToGrid w:val="0"/>
              <w:jc w:val="center"/>
            </w:pPr>
            <w:r>
              <w:rPr>
                <w:szCs w:val="21"/>
              </w:rPr>
              <w:t>GB 31701—2015</w:t>
            </w:r>
          </w:p>
        </w:tc>
        <w:tc>
          <w:tcPr>
            <w:tcW w:w="2707" w:type="dxa"/>
            <w:vAlign w:val="center"/>
          </w:tcPr>
          <w:p>
            <w:pPr>
              <w:jc w:val="center"/>
            </w:pPr>
            <w:r>
              <w:t>GB/T 2912.1—</w:t>
            </w:r>
            <w:r>
              <w:rPr>
                <w:rFonts w:hint="eastAsia"/>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33" w:type="dxa"/>
            <w:vAlign w:val="center"/>
          </w:tcPr>
          <w:p>
            <w:pPr>
              <w:jc w:val="center"/>
            </w:pPr>
            <w:r>
              <w:t>3</w:t>
            </w:r>
          </w:p>
        </w:tc>
        <w:tc>
          <w:tcPr>
            <w:tcW w:w="2707" w:type="dxa"/>
            <w:vAlign w:val="center"/>
          </w:tcPr>
          <w:p>
            <w:pPr>
              <w:jc w:val="center"/>
            </w:pPr>
            <w:r>
              <w:t>pH值</w:t>
            </w:r>
          </w:p>
        </w:tc>
        <w:tc>
          <w:tcPr>
            <w:tcW w:w="2707" w:type="dxa"/>
            <w:vAlign w:val="center"/>
          </w:tcPr>
          <w:p>
            <w:pPr>
              <w:adjustRightInd w:val="0"/>
              <w:snapToGrid w:val="0"/>
              <w:jc w:val="center"/>
            </w:pPr>
            <w:r>
              <w:rPr>
                <w:szCs w:val="21"/>
              </w:rPr>
              <w:t>GB 31701—2015</w:t>
            </w:r>
          </w:p>
        </w:tc>
        <w:tc>
          <w:tcPr>
            <w:tcW w:w="2707" w:type="dxa"/>
            <w:vAlign w:val="center"/>
          </w:tcPr>
          <w:p>
            <w:pPr>
              <w:jc w:val="center"/>
            </w:pPr>
            <w:r>
              <w:t>GB/T 7573—</w:t>
            </w:r>
            <w:r>
              <w:rPr>
                <w:rFonts w:hint="eastAsia"/>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33" w:type="dxa"/>
            <w:vAlign w:val="center"/>
          </w:tcPr>
          <w:p>
            <w:pPr>
              <w:jc w:val="center"/>
            </w:pPr>
            <w:r>
              <w:t>4</w:t>
            </w:r>
          </w:p>
        </w:tc>
        <w:tc>
          <w:tcPr>
            <w:tcW w:w="2707" w:type="dxa"/>
            <w:vAlign w:val="center"/>
          </w:tcPr>
          <w:p>
            <w:pPr>
              <w:jc w:val="center"/>
            </w:pPr>
            <w:r>
              <w:t>耐水色牢度</w:t>
            </w:r>
          </w:p>
        </w:tc>
        <w:tc>
          <w:tcPr>
            <w:tcW w:w="2707" w:type="dxa"/>
            <w:vAlign w:val="center"/>
          </w:tcPr>
          <w:p>
            <w:pPr>
              <w:adjustRightInd w:val="0"/>
              <w:snapToGrid w:val="0"/>
              <w:jc w:val="center"/>
            </w:pPr>
            <w:r>
              <w:rPr>
                <w:szCs w:val="21"/>
              </w:rPr>
              <w:t>GB 31701—2015</w:t>
            </w:r>
          </w:p>
        </w:tc>
        <w:tc>
          <w:tcPr>
            <w:tcW w:w="2707" w:type="dxa"/>
            <w:vAlign w:val="center"/>
          </w:tcPr>
          <w:p>
            <w:pPr>
              <w:jc w:val="center"/>
            </w:pPr>
            <w:r>
              <w:t>GB/T 5713—</w:t>
            </w:r>
            <w:r>
              <w:rPr>
                <w:rFonts w:hint="eastAsia"/>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33" w:type="dxa"/>
            <w:vAlign w:val="center"/>
          </w:tcPr>
          <w:p>
            <w:pPr>
              <w:jc w:val="center"/>
            </w:pPr>
            <w:r>
              <w:t>5</w:t>
            </w:r>
          </w:p>
        </w:tc>
        <w:tc>
          <w:tcPr>
            <w:tcW w:w="2707" w:type="dxa"/>
            <w:vAlign w:val="center"/>
          </w:tcPr>
          <w:p>
            <w:pPr>
              <w:jc w:val="center"/>
            </w:pPr>
            <w:r>
              <w:t>耐酸汗渍色牢度</w:t>
            </w:r>
          </w:p>
        </w:tc>
        <w:tc>
          <w:tcPr>
            <w:tcW w:w="2707" w:type="dxa"/>
            <w:vAlign w:val="center"/>
          </w:tcPr>
          <w:p>
            <w:pPr>
              <w:adjustRightInd w:val="0"/>
              <w:snapToGrid w:val="0"/>
              <w:jc w:val="center"/>
            </w:pPr>
            <w:r>
              <w:rPr>
                <w:szCs w:val="21"/>
              </w:rPr>
              <w:t>GB 31701—2015</w:t>
            </w:r>
          </w:p>
        </w:tc>
        <w:tc>
          <w:tcPr>
            <w:tcW w:w="2707" w:type="dxa"/>
            <w:vAlign w:val="center"/>
          </w:tcPr>
          <w:p>
            <w:pPr>
              <w:jc w:val="center"/>
            </w:pPr>
            <w:r>
              <w:t>GB/T 3922—</w:t>
            </w:r>
            <w:r>
              <w:rPr>
                <w:rFonts w:hint="eastAsia"/>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33" w:type="dxa"/>
            <w:vAlign w:val="center"/>
          </w:tcPr>
          <w:p>
            <w:pPr>
              <w:jc w:val="center"/>
            </w:pPr>
            <w:r>
              <w:t>6</w:t>
            </w:r>
          </w:p>
        </w:tc>
        <w:tc>
          <w:tcPr>
            <w:tcW w:w="2707" w:type="dxa"/>
            <w:vAlign w:val="center"/>
          </w:tcPr>
          <w:p>
            <w:pPr>
              <w:jc w:val="center"/>
            </w:pPr>
            <w:r>
              <w:t>耐碱汗渍色牢度</w:t>
            </w:r>
          </w:p>
        </w:tc>
        <w:tc>
          <w:tcPr>
            <w:tcW w:w="2707" w:type="dxa"/>
            <w:vAlign w:val="center"/>
          </w:tcPr>
          <w:p>
            <w:pPr>
              <w:adjustRightInd w:val="0"/>
              <w:snapToGrid w:val="0"/>
              <w:jc w:val="center"/>
            </w:pPr>
            <w:r>
              <w:rPr>
                <w:szCs w:val="21"/>
              </w:rPr>
              <w:t>GB 31701—2015</w:t>
            </w:r>
          </w:p>
        </w:tc>
        <w:tc>
          <w:tcPr>
            <w:tcW w:w="2707" w:type="dxa"/>
            <w:vAlign w:val="center"/>
          </w:tcPr>
          <w:p>
            <w:pPr>
              <w:jc w:val="center"/>
            </w:pPr>
            <w:r>
              <w:t>GB/T 3922—</w:t>
            </w:r>
            <w:r>
              <w:rPr>
                <w:rFonts w:hint="eastAsia"/>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33" w:type="dxa"/>
            <w:vAlign w:val="center"/>
          </w:tcPr>
          <w:p>
            <w:pPr>
              <w:jc w:val="center"/>
            </w:pPr>
            <w:r>
              <w:t>7</w:t>
            </w:r>
          </w:p>
        </w:tc>
        <w:tc>
          <w:tcPr>
            <w:tcW w:w="2707" w:type="dxa"/>
            <w:vAlign w:val="center"/>
          </w:tcPr>
          <w:p>
            <w:pPr>
              <w:jc w:val="center"/>
            </w:pPr>
            <w:r>
              <w:t>耐干摩擦色牢度</w:t>
            </w:r>
          </w:p>
        </w:tc>
        <w:tc>
          <w:tcPr>
            <w:tcW w:w="2707" w:type="dxa"/>
            <w:vAlign w:val="center"/>
          </w:tcPr>
          <w:p>
            <w:pPr>
              <w:adjustRightInd w:val="0"/>
              <w:snapToGrid w:val="0"/>
              <w:jc w:val="center"/>
            </w:pPr>
            <w:r>
              <w:rPr>
                <w:szCs w:val="21"/>
              </w:rPr>
              <w:t>GB 31701—2015</w:t>
            </w:r>
          </w:p>
        </w:tc>
        <w:tc>
          <w:tcPr>
            <w:tcW w:w="2707" w:type="dxa"/>
            <w:vAlign w:val="center"/>
          </w:tcPr>
          <w:p>
            <w:pPr>
              <w:jc w:val="center"/>
            </w:pPr>
            <w:r>
              <w:t>GB/T 3920—</w:t>
            </w:r>
            <w:r>
              <w:rPr>
                <w:rFonts w:hint="eastAsia"/>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33" w:type="dxa"/>
            <w:vAlign w:val="center"/>
          </w:tcPr>
          <w:p>
            <w:pPr>
              <w:jc w:val="center"/>
            </w:pPr>
            <w:r>
              <w:t>8</w:t>
            </w:r>
          </w:p>
        </w:tc>
        <w:tc>
          <w:tcPr>
            <w:tcW w:w="2707" w:type="dxa"/>
            <w:vAlign w:val="center"/>
          </w:tcPr>
          <w:p>
            <w:pPr>
              <w:jc w:val="center"/>
            </w:pPr>
            <w:r>
              <w:t>耐湿摩擦色牢度</w:t>
            </w:r>
          </w:p>
        </w:tc>
        <w:tc>
          <w:tcPr>
            <w:tcW w:w="2707" w:type="dxa"/>
            <w:vAlign w:val="center"/>
          </w:tcPr>
          <w:p>
            <w:pPr>
              <w:adjustRightInd w:val="0"/>
              <w:snapToGrid w:val="0"/>
              <w:jc w:val="center"/>
            </w:pPr>
            <w:r>
              <w:rPr>
                <w:szCs w:val="21"/>
              </w:rPr>
              <w:t>GB 31701—2015</w:t>
            </w:r>
          </w:p>
        </w:tc>
        <w:tc>
          <w:tcPr>
            <w:tcW w:w="2707" w:type="dxa"/>
            <w:vAlign w:val="center"/>
          </w:tcPr>
          <w:p>
            <w:pPr>
              <w:jc w:val="center"/>
            </w:pPr>
            <w:r>
              <w:t>GB/T 3920—</w:t>
            </w:r>
            <w:r>
              <w:rPr>
                <w:rFonts w:hint="eastAsia"/>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33" w:type="dxa"/>
            <w:vAlign w:val="center"/>
          </w:tcPr>
          <w:p>
            <w:pPr>
              <w:jc w:val="center"/>
            </w:pPr>
            <w:r>
              <w:t>9</w:t>
            </w:r>
          </w:p>
        </w:tc>
        <w:tc>
          <w:tcPr>
            <w:tcW w:w="2707" w:type="dxa"/>
            <w:vAlign w:val="center"/>
          </w:tcPr>
          <w:p>
            <w:pPr>
              <w:jc w:val="center"/>
            </w:pPr>
            <w:r>
              <w:t>可分解致癌芳香胺染料</w:t>
            </w:r>
          </w:p>
        </w:tc>
        <w:tc>
          <w:tcPr>
            <w:tcW w:w="2707" w:type="dxa"/>
            <w:vAlign w:val="center"/>
          </w:tcPr>
          <w:p>
            <w:pPr>
              <w:adjustRightInd w:val="0"/>
              <w:snapToGrid w:val="0"/>
              <w:jc w:val="center"/>
            </w:pPr>
            <w:r>
              <w:rPr>
                <w:szCs w:val="21"/>
              </w:rPr>
              <w:t>GB 31701—2015</w:t>
            </w:r>
          </w:p>
        </w:tc>
        <w:tc>
          <w:tcPr>
            <w:tcW w:w="2707" w:type="dxa"/>
            <w:vAlign w:val="center"/>
          </w:tcPr>
          <w:p>
            <w:pPr>
              <w:jc w:val="center"/>
            </w:pPr>
            <w:r>
              <w:t>GB/T 23344—</w:t>
            </w:r>
            <w:r>
              <w:rPr>
                <w:rFonts w:hint="eastAsia"/>
              </w:rPr>
              <w:t>2009</w:t>
            </w:r>
          </w:p>
          <w:p>
            <w:pPr>
              <w:jc w:val="center"/>
              <w:rPr>
                <w:rFonts w:hint="default" w:eastAsia="宋体"/>
                <w:lang w:val="en-US" w:eastAsia="zh-CN"/>
              </w:rPr>
            </w:pPr>
            <w:bookmarkStart w:id="0" w:name="OLE_LINK1"/>
            <w:r>
              <w:t>GB/T 17592</w:t>
            </w:r>
            <w:bookmarkEnd w:id="0"/>
            <w:r>
              <w:t>—</w:t>
            </w:r>
            <w:r>
              <w:rPr>
                <w:rFonts w:hint="eastAsia"/>
              </w:rPr>
              <w:t>20</w:t>
            </w:r>
            <w:r>
              <w:rPr>
                <w:rFonts w:hint="eastAsia"/>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33" w:type="dxa"/>
            <w:vAlign w:val="center"/>
          </w:tcPr>
          <w:p>
            <w:pPr>
              <w:jc w:val="center"/>
            </w:pPr>
            <w:r>
              <w:t>10</w:t>
            </w:r>
          </w:p>
        </w:tc>
        <w:tc>
          <w:tcPr>
            <w:tcW w:w="2707" w:type="dxa"/>
            <w:vAlign w:val="center"/>
          </w:tcPr>
          <w:p>
            <w:pPr>
              <w:jc w:val="center"/>
            </w:pPr>
            <w:r>
              <w:t>耐唾液色牢度</w:t>
            </w:r>
          </w:p>
        </w:tc>
        <w:tc>
          <w:tcPr>
            <w:tcW w:w="2707" w:type="dxa"/>
            <w:vAlign w:val="center"/>
          </w:tcPr>
          <w:p>
            <w:pPr>
              <w:adjustRightInd w:val="0"/>
              <w:snapToGrid w:val="0"/>
              <w:jc w:val="center"/>
            </w:pPr>
            <w:r>
              <w:rPr>
                <w:szCs w:val="21"/>
              </w:rPr>
              <w:t>GB 31701—2015</w:t>
            </w:r>
          </w:p>
        </w:tc>
        <w:tc>
          <w:tcPr>
            <w:tcW w:w="2707" w:type="dxa"/>
            <w:vAlign w:val="center"/>
          </w:tcPr>
          <w:p>
            <w:pPr>
              <w:jc w:val="center"/>
            </w:pPr>
            <w:r>
              <w:t>GB/T 18886—</w:t>
            </w:r>
            <w:r>
              <w:rPr>
                <w:rFonts w:hint="eastAsia"/>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33" w:type="dxa"/>
            <w:vAlign w:val="center"/>
          </w:tcPr>
          <w:p>
            <w:pPr>
              <w:jc w:val="center"/>
            </w:pPr>
            <w:r>
              <w:t>11</w:t>
            </w:r>
          </w:p>
        </w:tc>
        <w:tc>
          <w:tcPr>
            <w:tcW w:w="2707" w:type="dxa"/>
            <w:vAlign w:val="center"/>
          </w:tcPr>
          <w:p>
            <w:pPr>
              <w:jc w:val="center"/>
            </w:pPr>
            <w:r>
              <w:t>重金属</w:t>
            </w:r>
          </w:p>
        </w:tc>
        <w:tc>
          <w:tcPr>
            <w:tcW w:w="2707" w:type="dxa"/>
            <w:vAlign w:val="center"/>
          </w:tcPr>
          <w:p>
            <w:pPr>
              <w:adjustRightInd w:val="0"/>
              <w:snapToGrid w:val="0"/>
              <w:jc w:val="center"/>
              <w:rPr>
                <w:szCs w:val="21"/>
              </w:rPr>
            </w:pPr>
            <w:r>
              <w:rPr>
                <w:szCs w:val="21"/>
              </w:rPr>
              <w:t>GB 31701—2015</w:t>
            </w:r>
          </w:p>
        </w:tc>
        <w:tc>
          <w:tcPr>
            <w:tcW w:w="2707" w:type="dxa"/>
            <w:vAlign w:val="center"/>
          </w:tcPr>
          <w:p>
            <w:pPr>
              <w:jc w:val="center"/>
            </w:pPr>
            <w:r>
              <w:t>GB/T 30157—</w:t>
            </w:r>
            <w:r>
              <w:rPr>
                <w:rFonts w:hint="eastAsia"/>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33" w:type="dxa"/>
            <w:vAlign w:val="center"/>
          </w:tcPr>
          <w:p>
            <w:pPr>
              <w:jc w:val="center"/>
            </w:pPr>
            <w:r>
              <w:t>12</w:t>
            </w:r>
          </w:p>
        </w:tc>
        <w:tc>
          <w:tcPr>
            <w:tcW w:w="2707" w:type="dxa"/>
            <w:vAlign w:val="center"/>
          </w:tcPr>
          <w:p>
            <w:pPr>
              <w:jc w:val="center"/>
            </w:pPr>
            <w:r>
              <w:t>邻苯二甲酸酯</w:t>
            </w:r>
          </w:p>
        </w:tc>
        <w:tc>
          <w:tcPr>
            <w:tcW w:w="2707" w:type="dxa"/>
            <w:vAlign w:val="center"/>
          </w:tcPr>
          <w:p>
            <w:pPr>
              <w:adjustRightInd w:val="0"/>
              <w:snapToGrid w:val="0"/>
              <w:jc w:val="center"/>
              <w:rPr>
                <w:szCs w:val="21"/>
              </w:rPr>
            </w:pPr>
            <w:r>
              <w:rPr>
                <w:szCs w:val="21"/>
              </w:rPr>
              <w:t>GB 31701—2015</w:t>
            </w:r>
          </w:p>
        </w:tc>
        <w:tc>
          <w:tcPr>
            <w:tcW w:w="2707" w:type="dxa"/>
            <w:vAlign w:val="center"/>
          </w:tcPr>
          <w:p>
            <w:pPr>
              <w:jc w:val="center"/>
            </w:pPr>
            <w:r>
              <w:t>GB/T 20388—</w:t>
            </w:r>
            <w:r>
              <w:rPr>
                <w:rFonts w:hint="eastAsia"/>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33" w:type="dxa"/>
            <w:vAlign w:val="center"/>
          </w:tcPr>
          <w:p>
            <w:pPr>
              <w:jc w:val="center"/>
            </w:pPr>
            <w:r>
              <w:t>13</w:t>
            </w:r>
          </w:p>
        </w:tc>
        <w:tc>
          <w:tcPr>
            <w:tcW w:w="2707" w:type="dxa"/>
            <w:vAlign w:val="center"/>
          </w:tcPr>
          <w:p>
            <w:pPr>
              <w:jc w:val="center"/>
            </w:pPr>
            <w:r>
              <w:t>附件的要求</w:t>
            </w:r>
          </w:p>
        </w:tc>
        <w:tc>
          <w:tcPr>
            <w:tcW w:w="2707" w:type="dxa"/>
            <w:vAlign w:val="center"/>
          </w:tcPr>
          <w:p>
            <w:pPr>
              <w:adjustRightInd w:val="0"/>
              <w:snapToGrid w:val="0"/>
              <w:jc w:val="center"/>
              <w:rPr>
                <w:szCs w:val="21"/>
              </w:rPr>
            </w:pPr>
            <w:r>
              <w:rPr>
                <w:szCs w:val="21"/>
              </w:rPr>
              <w:t>GB 31701—2015</w:t>
            </w:r>
          </w:p>
        </w:tc>
        <w:tc>
          <w:tcPr>
            <w:tcW w:w="2707" w:type="dxa"/>
            <w:vAlign w:val="center"/>
          </w:tcPr>
          <w:p>
            <w:pPr>
              <w:jc w:val="center"/>
            </w:pPr>
            <w:r>
              <w:t>GB 31701—</w:t>
            </w:r>
            <w:r>
              <w:rPr>
                <w:rFonts w:hint="eastAsia"/>
              </w:rPr>
              <w:t>2015</w:t>
            </w:r>
          </w:p>
          <w:p>
            <w:pPr>
              <w:jc w:val="center"/>
            </w:pPr>
            <w:r>
              <w:t>GB/T 31702—</w:t>
            </w:r>
            <w:r>
              <w:rPr>
                <w:rFonts w:hint="eastAsia"/>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33" w:type="dxa"/>
            <w:vAlign w:val="center"/>
          </w:tcPr>
          <w:p>
            <w:pPr>
              <w:jc w:val="center"/>
            </w:pPr>
            <w:r>
              <w:t>14</w:t>
            </w:r>
          </w:p>
        </w:tc>
        <w:tc>
          <w:tcPr>
            <w:tcW w:w="2707" w:type="dxa"/>
            <w:vAlign w:val="center"/>
          </w:tcPr>
          <w:p>
            <w:pPr>
              <w:jc w:val="center"/>
            </w:pPr>
            <w:r>
              <w:t>其他要求</w:t>
            </w:r>
          </w:p>
        </w:tc>
        <w:tc>
          <w:tcPr>
            <w:tcW w:w="2707" w:type="dxa"/>
            <w:vAlign w:val="center"/>
          </w:tcPr>
          <w:p>
            <w:pPr>
              <w:adjustRightInd w:val="0"/>
              <w:snapToGrid w:val="0"/>
              <w:jc w:val="center"/>
              <w:rPr>
                <w:szCs w:val="21"/>
              </w:rPr>
            </w:pPr>
            <w:r>
              <w:rPr>
                <w:szCs w:val="21"/>
              </w:rPr>
              <w:t>GB 31701</w:t>
            </w:r>
            <w:r>
              <w:t>—</w:t>
            </w:r>
            <w:r>
              <w:rPr>
                <w:szCs w:val="21"/>
              </w:rPr>
              <w:t>2015</w:t>
            </w:r>
          </w:p>
        </w:tc>
        <w:tc>
          <w:tcPr>
            <w:tcW w:w="2707" w:type="dxa"/>
            <w:vAlign w:val="center"/>
          </w:tcPr>
          <w:p>
            <w:pPr>
              <w:jc w:val="center"/>
            </w:pPr>
            <w:r>
              <w:t>GB 31701—</w:t>
            </w:r>
            <w:r>
              <w:rPr>
                <w:rFonts w:hint="eastAsia"/>
              </w:rPr>
              <w:t>2015</w:t>
            </w:r>
          </w:p>
        </w:tc>
      </w:tr>
    </w:tbl>
    <w:p>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pPr>
        <w:snapToGrid w:val="0"/>
        <w:spacing w:line="440" w:lineRule="exact"/>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pacing w:line="440" w:lineRule="exact"/>
        <w:rPr>
          <w:rFonts w:eastAsia="黑体"/>
          <w:color w:val="000000"/>
          <w:szCs w:val="21"/>
        </w:rPr>
      </w:pPr>
    </w:p>
    <w:p>
      <w:pPr>
        <w:spacing w:line="440" w:lineRule="exact"/>
        <w:rPr>
          <w:rFonts w:eastAsia="黑体"/>
          <w:color w:val="000000"/>
          <w:szCs w:val="21"/>
        </w:rPr>
      </w:pPr>
      <w:r>
        <w:rPr>
          <w:rFonts w:eastAsia="黑体"/>
          <w:color w:val="000000"/>
          <w:szCs w:val="21"/>
        </w:rPr>
        <w:t>3 判定规则</w:t>
      </w:r>
    </w:p>
    <w:p>
      <w:pPr>
        <w:snapToGrid w:val="0"/>
        <w:spacing w:line="440" w:lineRule="exact"/>
        <w:rPr>
          <w:color w:val="000000"/>
          <w:szCs w:val="21"/>
        </w:rPr>
      </w:pPr>
      <w:r>
        <w:rPr>
          <w:color w:val="000000"/>
          <w:szCs w:val="21"/>
        </w:rPr>
        <w:t>3.1依据标准</w:t>
      </w:r>
    </w:p>
    <w:p>
      <w:pPr>
        <w:snapToGrid w:val="0"/>
        <w:spacing w:line="440" w:lineRule="exact"/>
        <w:ind w:firstLine="420" w:firstLineChars="200"/>
        <w:rPr>
          <w:color w:val="000000"/>
          <w:szCs w:val="21"/>
        </w:rPr>
      </w:pPr>
      <w:r>
        <w:rPr>
          <w:color w:val="000000"/>
          <w:szCs w:val="21"/>
        </w:rPr>
        <w:t>GB/T 29862</w:t>
      </w:r>
      <w:r>
        <w:t>—</w:t>
      </w:r>
      <w:r>
        <w:rPr>
          <w:color w:val="000000"/>
          <w:szCs w:val="21"/>
        </w:rPr>
        <w:t>2013 纺织品纤维含量的标识</w:t>
      </w:r>
    </w:p>
    <w:p>
      <w:pPr>
        <w:snapToGrid w:val="0"/>
        <w:spacing w:line="440" w:lineRule="exact"/>
        <w:ind w:firstLine="420" w:firstLineChars="200"/>
        <w:rPr>
          <w:color w:val="000000"/>
          <w:szCs w:val="21"/>
        </w:rPr>
      </w:pPr>
      <w:r>
        <w:rPr>
          <w:color w:val="000000"/>
          <w:szCs w:val="21"/>
        </w:rPr>
        <w:t>GB 31701—2015 婴幼儿及儿童纺织产品安全技术规范</w:t>
      </w:r>
    </w:p>
    <w:p>
      <w:pPr>
        <w:snapToGrid w:val="0"/>
        <w:spacing w:line="440" w:lineRule="exact"/>
        <w:ind w:firstLine="420" w:firstLineChars="200"/>
        <w:rPr>
          <w:color w:val="000000"/>
          <w:szCs w:val="21"/>
        </w:rPr>
      </w:pPr>
      <w:r>
        <w:rPr>
          <w:color w:val="000000"/>
          <w:szCs w:val="21"/>
        </w:rPr>
        <w:t>现行有效的企业标准、团体标准、地方标准及产品明示质量要求</w:t>
      </w:r>
    </w:p>
    <w:p>
      <w:pPr>
        <w:snapToGrid w:val="0"/>
        <w:spacing w:line="440" w:lineRule="exact"/>
        <w:rPr>
          <w:color w:val="000000"/>
          <w:szCs w:val="21"/>
        </w:rPr>
      </w:pPr>
      <w:r>
        <w:rPr>
          <w:color w:val="000000"/>
          <w:szCs w:val="21"/>
        </w:rPr>
        <w:t>3.2判定原则</w:t>
      </w:r>
    </w:p>
    <w:p>
      <w:pPr>
        <w:snapToGrid w:val="0"/>
        <w:spacing w:line="440" w:lineRule="exact"/>
        <w:ind w:firstLine="420" w:firstLineChars="200"/>
        <w:rPr>
          <w:szCs w:val="21"/>
        </w:rPr>
      </w:pPr>
      <w:r>
        <w:rPr>
          <w:szCs w:val="21"/>
        </w:rPr>
        <w:t>经检验，检验项目全部合格，判定为被抽查产品所检项目未发现不合格；检验项目中任一项或一项以上不合格，判定为被抽查产品不合格。</w:t>
      </w:r>
    </w:p>
    <w:p>
      <w:pPr>
        <w:snapToGrid w:val="0"/>
        <w:spacing w:line="440" w:lineRule="exact"/>
        <w:ind w:firstLine="420" w:firstLineChars="200"/>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20" w:firstLineChars="200"/>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20" w:firstLineChars="200"/>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20" w:firstLineChars="200"/>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20" w:firstLineChars="200"/>
        <w:rPr>
          <w:color w:val="000000"/>
          <w:szCs w:val="21"/>
        </w:rPr>
      </w:pPr>
      <w:r>
        <w:rPr>
          <w:color w:val="000000"/>
          <w:szCs w:val="21"/>
        </w:rPr>
        <w:t>若被检产品明示的质量要求缺少本细则中检验项目依据的推荐性标准要求时，该项目不参与判定。</w:t>
      </w:r>
    </w:p>
    <w:sectPr>
      <w:headerReference r:id="rId4" w:type="default"/>
      <w:footerReference r:id="rId5"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Times New Roman" w:hAnsi="Times New Roman" w:eastAsia="宋体" w:cs="Times New Roman"/>
        <w:kern w:val="2"/>
        <w:sz w:val="18"/>
        <w:szCs w:val="18"/>
        <w:lang w:val="en-US" w:eastAsia="zh-CN" w:bidi="ar-SA"/>
      </w:rPr>
      <w:pict>
        <v:shape id="Quad Arrow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WExOTg4ZjYzNTVmNGQxMTQ3MWIxN2JjMzI3MzgyYTgifQ=="/>
  </w:docVars>
  <w:rsids>
    <w:rsidRoot w:val="00AC4C4E"/>
    <w:rsid w:val="00003B8D"/>
    <w:rsid w:val="0002304C"/>
    <w:rsid w:val="000349F4"/>
    <w:rsid w:val="000534E0"/>
    <w:rsid w:val="00061712"/>
    <w:rsid w:val="00067907"/>
    <w:rsid w:val="000802F9"/>
    <w:rsid w:val="00081A02"/>
    <w:rsid w:val="00082EFE"/>
    <w:rsid w:val="00085A6B"/>
    <w:rsid w:val="00086142"/>
    <w:rsid w:val="000A039B"/>
    <w:rsid w:val="000B43FB"/>
    <w:rsid w:val="000C36A6"/>
    <w:rsid w:val="000C71D7"/>
    <w:rsid w:val="000D375C"/>
    <w:rsid w:val="000D6227"/>
    <w:rsid w:val="000E7D63"/>
    <w:rsid w:val="000F3DB6"/>
    <w:rsid w:val="000F7680"/>
    <w:rsid w:val="001230BF"/>
    <w:rsid w:val="00126E3A"/>
    <w:rsid w:val="001331DF"/>
    <w:rsid w:val="00140BF8"/>
    <w:rsid w:val="001506A4"/>
    <w:rsid w:val="00152EA0"/>
    <w:rsid w:val="00182A21"/>
    <w:rsid w:val="0019009C"/>
    <w:rsid w:val="00192114"/>
    <w:rsid w:val="001A767A"/>
    <w:rsid w:val="001B6BAB"/>
    <w:rsid w:val="001B79DA"/>
    <w:rsid w:val="001C7156"/>
    <w:rsid w:val="001E66A1"/>
    <w:rsid w:val="002005D5"/>
    <w:rsid w:val="00201F67"/>
    <w:rsid w:val="0021619B"/>
    <w:rsid w:val="0022621E"/>
    <w:rsid w:val="00230FA6"/>
    <w:rsid w:val="00247BDD"/>
    <w:rsid w:val="00273DE0"/>
    <w:rsid w:val="002801FF"/>
    <w:rsid w:val="002831B1"/>
    <w:rsid w:val="002A44F4"/>
    <w:rsid w:val="002A63EA"/>
    <w:rsid w:val="002B000A"/>
    <w:rsid w:val="002B102C"/>
    <w:rsid w:val="002C2BB1"/>
    <w:rsid w:val="002E1220"/>
    <w:rsid w:val="002F5EE5"/>
    <w:rsid w:val="003230A3"/>
    <w:rsid w:val="00325939"/>
    <w:rsid w:val="0035058A"/>
    <w:rsid w:val="003722C9"/>
    <w:rsid w:val="003B1BEE"/>
    <w:rsid w:val="003B1D30"/>
    <w:rsid w:val="003B322D"/>
    <w:rsid w:val="003B4A2B"/>
    <w:rsid w:val="003B6171"/>
    <w:rsid w:val="003D295E"/>
    <w:rsid w:val="003E064D"/>
    <w:rsid w:val="003F1EA0"/>
    <w:rsid w:val="003F6DD7"/>
    <w:rsid w:val="004374F6"/>
    <w:rsid w:val="004516CE"/>
    <w:rsid w:val="00456520"/>
    <w:rsid w:val="004A1C5E"/>
    <w:rsid w:val="004A7EB8"/>
    <w:rsid w:val="004C329E"/>
    <w:rsid w:val="004C6D74"/>
    <w:rsid w:val="004C769F"/>
    <w:rsid w:val="004D0739"/>
    <w:rsid w:val="004D177E"/>
    <w:rsid w:val="004D2E9D"/>
    <w:rsid w:val="004F1412"/>
    <w:rsid w:val="004F3891"/>
    <w:rsid w:val="004F5CC6"/>
    <w:rsid w:val="005175B0"/>
    <w:rsid w:val="005258CC"/>
    <w:rsid w:val="005451B8"/>
    <w:rsid w:val="00554BBD"/>
    <w:rsid w:val="00556136"/>
    <w:rsid w:val="005774BB"/>
    <w:rsid w:val="00577E8E"/>
    <w:rsid w:val="005A3882"/>
    <w:rsid w:val="005A7F94"/>
    <w:rsid w:val="005B3E8C"/>
    <w:rsid w:val="005C08D9"/>
    <w:rsid w:val="005C1708"/>
    <w:rsid w:val="005C2C08"/>
    <w:rsid w:val="005D2497"/>
    <w:rsid w:val="005D6B7E"/>
    <w:rsid w:val="005E0BB1"/>
    <w:rsid w:val="005F391B"/>
    <w:rsid w:val="00614312"/>
    <w:rsid w:val="006145C6"/>
    <w:rsid w:val="006147D3"/>
    <w:rsid w:val="00626D53"/>
    <w:rsid w:val="00636E0C"/>
    <w:rsid w:val="006376A2"/>
    <w:rsid w:val="00643DB2"/>
    <w:rsid w:val="00646CF8"/>
    <w:rsid w:val="006712FB"/>
    <w:rsid w:val="00682F8A"/>
    <w:rsid w:val="00683E3A"/>
    <w:rsid w:val="006A388F"/>
    <w:rsid w:val="006B7026"/>
    <w:rsid w:val="006B7CAD"/>
    <w:rsid w:val="006C26CF"/>
    <w:rsid w:val="006C490A"/>
    <w:rsid w:val="006C4E29"/>
    <w:rsid w:val="006D43E5"/>
    <w:rsid w:val="00727F85"/>
    <w:rsid w:val="00754D96"/>
    <w:rsid w:val="00764A62"/>
    <w:rsid w:val="00770E84"/>
    <w:rsid w:val="00781036"/>
    <w:rsid w:val="00786DB0"/>
    <w:rsid w:val="007904CB"/>
    <w:rsid w:val="007B1444"/>
    <w:rsid w:val="007B278B"/>
    <w:rsid w:val="007E3963"/>
    <w:rsid w:val="007E68F0"/>
    <w:rsid w:val="007F11CA"/>
    <w:rsid w:val="007F2C2D"/>
    <w:rsid w:val="007F3BA5"/>
    <w:rsid w:val="007F52BD"/>
    <w:rsid w:val="00822220"/>
    <w:rsid w:val="0082552A"/>
    <w:rsid w:val="00845DFB"/>
    <w:rsid w:val="008726B8"/>
    <w:rsid w:val="008933C0"/>
    <w:rsid w:val="008A2761"/>
    <w:rsid w:val="008A7831"/>
    <w:rsid w:val="008B5C03"/>
    <w:rsid w:val="008B734C"/>
    <w:rsid w:val="008C562A"/>
    <w:rsid w:val="008C720F"/>
    <w:rsid w:val="008D6EEE"/>
    <w:rsid w:val="008E3A49"/>
    <w:rsid w:val="008E56F1"/>
    <w:rsid w:val="008F4174"/>
    <w:rsid w:val="008F7D1F"/>
    <w:rsid w:val="00902B6E"/>
    <w:rsid w:val="00915451"/>
    <w:rsid w:val="009211F2"/>
    <w:rsid w:val="00921B64"/>
    <w:rsid w:val="00924FE2"/>
    <w:rsid w:val="009271B6"/>
    <w:rsid w:val="00933FD0"/>
    <w:rsid w:val="0094153F"/>
    <w:rsid w:val="00974814"/>
    <w:rsid w:val="00981899"/>
    <w:rsid w:val="00995BF9"/>
    <w:rsid w:val="009A241A"/>
    <w:rsid w:val="009A245C"/>
    <w:rsid w:val="009A535F"/>
    <w:rsid w:val="009B2965"/>
    <w:rsid w:val="009B46E3"/>
    <w:rsid w:val="009D1022"/>
    <w:rsid w:val="009D3337"/>
    <w:rsid w:val="009E1A0B"/>
    <w:rsid w:val="009E36C3"/>
    <w:rsid w:val="009E6470"/>
    <w:rsid w:val="009F3DD9"/>
    <w:rsid w:val="009F7578"/>
    <w:rsid w:val="00A005D9"/>
    <w:rsid w:val="00A170DF"/>
    <w:rsid w:val="00A24EF7"/>
    <w:rsid w:val="00A30F1B"/>
    <w:rsid w:val="00A42206"/>
    <w:rsid w:val="00A526C7"/>
    <w:rsid w:val="00A55F1A"/>
    <w:rsid w:val="00A61891"/>
    <w:rsid w:val="00A72B49"/>
    <w:rsid w:val="00AB34BE"/>
    <w:rsid w:val="00AC085D"/>
    <w:rsid w:val="00AC16B8"/>
    <w:rsid w:val="00AC1A97"/>
    <w:rsid w:val="00AC4C4E"/>
    <w:rsid w:val="00AC4E8C"/>
    <w:rsid w:val="00AC7848"/>
    <w:rsid w:val="00AD14E1"/>
    <w:rsid w:val="00AD55A3"/>
    <w:rsid w:val="00AE3D9E"/>
    <w:rsid w:val="00AF21A6"/>
    <w:rsid w:val="00B07ED5"/>
    <w:rsid w:val="00B21E19"/>
    <w:rsid w:val="00B24A58"/>
    <w:rsid w:val="00B33349"/>
    <w:rsid w:val="00B33EA6"/>
    <w:rsid w:val="00B3406F"/>
    <w:rsid w:val="00B46904"/>
    <w:rsid w:val="00B53BBC"/>
    <w:rsid w:val="00B71EB9"/>
    <w:rsid w:val="00B77ABF"/>
    <w:rsid w:val="00B84D51"/>
    <w:rsid w:val="00B919F1"/>
    <w:rsid w:val="00B921C5"/>
    <w:rsid w:val="00B93947"/>
    <w:rsid w:val="00BA0F80"/>
    <w:rsid w:val="00BA60B2"/>
    <w:rsid w:val="00BA6ED6"/>
    <w:rsid w:val="00BC5EE3"/>
    <w:rsid w:val="00BC74C3"/>
    <w:rsid w:val="00BE3C26"/>
    <w:rsid w:val="00BE5EDD"/>
    <w:rsid w:val="00BE751F"/>
    <w:rsid w:val="00C15C38"/>
    <w:rsid w:val="00C20114"/>
    <w:rsid w:val="00C21DB5"/>
    <w:rsid w:val="00C22F83"/>
    <w:rsid w:val="00C232FA"/>
    <w:rsid w:val="00C4340C"/>
    <w:rsid w:val="00C4597D"/>
    <w:rsid w:val="00C472AB"/>
    <w:rsid w:val="00C50967"/>
    <w:rsid w:val="00C66E4C"/>
    <w:rsid w:val="00C72049"/>
    <w:rsid w:val="00C92401"/>
    <w:rsid w:val="00C94E9F"/>
    <w:rsid w:val="00CC2131"/>
    <w:rsid w:val="00CD16A7"/>
    <w:rsid w:val="00CD512C"/>
    <w:rsid w:val="00CE0122"/>
    <w:rsid w:val="00CE2B46"/>
    <w:rsid w:val="00CF1ED2"/>
    <w:rsid w:val="00CF2D0F"/>
    <w:rsid w:val="00CF3BE8"/>
    <w:rsid w:val="00CF4D6C"/>
    <w:rsid w:val="00D4197A"/>
    <w:rsid w:val="00D5086C"/>
    <w:rsid w:val="00D52574"/>
    <w:rsid w:val="00D65F34"/>
    <w:rsid w:val="00D706B9"/>
    <w:rsid w:val="00D77860"/>
    <w:rsid w:val="00D97887"/>
    <w:rsid w:val="00DA4AC4"/>
    <w:rsid w:val="00DA6FA7"/>
    <w:rsid w:val="00DB2CFA"/>
    <w:rsid w:val="00DC064A"/>
    <w:rsid w:val="00DC46C2"/>
    <w:rsid w:val="00DF05F3"/>
    <w:rsid w:val="00E001E7"/>
    <w:rsid w:val="00E06609"/>
    <w:rsid w:val="00E07533"/>
    <w:rsid w:val="00E104DA"/>
    <w:rsid w:val="00E26796"/>
    <w:rsid w:val="00E40A75"/>
    <w:rsid w:val="00E449D7"/>
    <w:rsid w:val="00E47B2A"/>
    <w:rsid w:val="00E518E9"/>
    <w:rsid w:val="00E61266"/>
    <w:rsid w:val="00E65826"/>
    <w:rsid w:val="00E662D0"/>
    <w:rsid w:val="00E66491"/>
    <w:rsid w:val="00E8720C"/>
    <w:rsid w:val="00E933FF"/>
    <w:rsid w:val="00E97065"/>
    <w:rsid w:val="00EA0DFA"/>
    <w:rsid w:val="00EA2FFD"/>
    <w:rsid w:val="00EA7D63"/>
    <w:rsid w:val="00EB45B1"/>
    <w:rsid w:val="00ED0722"/>
    <w:rsid w:val="00ED7197"/>
    <w:rsid w:val="00EE68AA"/>
    <w:rsid w:val="00EF326F"/>
    <w:rsid w:val="00F05DF0"/>
    <w:rsid w:val="00F1324B"/>
    <w:rsid w:val="00F25D58"/>
    <w:rsid w:val="00F31B5A"/>
    <w:rsid w:val="00F33481"/>
    <w:rsid w:val="00F37EA1"/>
    <w:rsid w:val="00F5051B"/>
    <w:rsid w:val="00F52AC5"/>
    <w:rsid w:val="00F6106F"/>
    <w:rsid w:val="00F61341"/>
    <w:rsid w:val="00F73761"/>
    <w:rsid w:val="00F972CE"/>
    <w:rsid w:val="00FA0D86"/>
    <w:rsid w:val="00FA6510"/>
    <w:rsid w:val="00FB75D9"/>
    <w:rsid w:val="00FD2B1B"/>
    <w:rsid w:val="00FE06C3"/>
    <w:rsid w:val="05D71298"/>
    <w:rsid w:val="07350C41"/>
    <w:rsid w:val="07CC0F9A"/>
    <w:rsid w:val="08691F38"/>
    <w:rsid w:val="09F26543"/>
    <w:rsid w:val="0A1425BF"/>
    <w:rsid w:val="0BFA09C4"/>
    <w:rsid w:val="0D4B3589"/>
    <w:rsid w:val="0EB23823"/>
    <w:rsid w:val="108004BF"/>
    <w:rsid w:val="12544D19"/>
    <w:rsid w:val="13A36872"/>
    <w:rsid w:val="177A4698"/>
    <w:rsid w:val="17D96933"/>
    <w:rsid w:val="1B674935"/>
    <w:rsid w:val="1C9946F8"/>
    <w:rsid w:val="24EA0CDE"/>
    <w:rsid w:val="27B40C3E"/>
    <w:rsid w:val="29F328E5"/>
    <w:rsid w:val="2BA03574"/>
    <w:rsid w:val="2D960857"/>
    <w:rsid w:val="32914017"/>
    <w:rsid w:val="34E154D7"/>
    <w:rsid w:val="380F5E12"/>
    <w:rsid w:val="40E60D1C"/>
    <w:rsid w:val="419E234D"/>
    <w:rsid w:val="44C1621D"/>
    <w:rsid w:val="451501D2"/>
    <w:rsid w:val="456B3B67"/>
    <w:rsid w:val="49BE3E64"/>
    <w:rsid w:val="4A724279"/>
    <w:rsid w:val="505439C7"/>
    <w:rsid w:val="519357AF"/>
    <w:rsid w:val="53BC7F96"/>
    <w:rsid w:val="55805006"/>
    <w:rsid w:val="56E04F5C"/>
    <w:rsid w:val="5AD85D9D"/>
    <w:rsid w:val="5B66730A"/>
    <w:rsid w:val="60557478"/>
    <w:rsid w:val="61330237"/>
    <w:rsid w:val="61366136"/>
    <w:rsid w:val="63D54D66"/>
    <w:rsid w:val="647C7CB2"/>
    <w:rsid w:val="650014FF"/>
    <w:rsid w:val="65A14BC4"/>
    <w:rsid w:val="685C3E28"/>
    <w:rsid w:val="6C1E07F3"/>
    <w:rsid w:val="6FD57E20"/>
    <w:rsid w:val="71BC7E41"/>
    <w:rsid w:val="73A543BA"/>
    <w:rsid w:val="748F58C6"/>
    <w:rsid w:val="74A45BA4"/>
    <w:rsid w:val="76866A03"/>
    <w:rsid w:val="774A0F4E"/>
    <w:rsid w:val="78C6382A"/>
    <w:rsid w:val="7D877909"/>
    <w:rsid w:val="7E6A5569"/>
    <w:rsid w:val="7F04719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9">
    <w:name w:val="Default Paragraph Font"/>
    <w:unhideWhenUsed/>
    <w:qFormat/>
    <w:uiPriority w:val="1"/>
  </w:style>
  <w:style w:type="table" w:default="1" w:styleId="13">
    <w:name w:val="Normal Table"/>
    <w:unhideWhenUsed/>
    <w:uiPriority w:val="99"/>
    <w:tblPr>
      <w:tblStyle w:val="13"/>
      <w:tblLayout w:type="fixed"/>
      <w:tblCellMar>
        <w:top w:w="0" w:type="dxa"/>
        <w:left w:w="108" w:type="dxa"/>
        <w:bottom w:w="0" w:type="dxa"/>
        <w:right w:w="108" w:type="dxa"/>
      </w:tblCellMar>
    </w:tblPr>
    <w:tcPr>
      <w:textDirection w:val="lrTb"/>
    </w:tcPr>
  </w:style>
  <w:style w:type="paragraph" w:styleId="3">
    <w:name w:val="annotation subject"/>
    <w:basedOn w:val="4"/>
    <w:next w:val="4"/>
    <w:link w:val="15"/>
    <w:qFormat/>
    <w:uiPriority w:val="0"/>
    <w:rPr>
      <w:b/>
      <w:bCs/>
    </w:rPr>
  </w:style>
  <w:style w:type="paragraph" w:styleId="4">
    <w:name w:val="annotation text"/>
    <w:basedOn w:val="1"/>
    <w:link w:val="16"/>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rPr/>
  </w:style>
  <w:style w:type="character" w:styleId="11">
    <w:name w:val="Hyperlink"/>
    <w:unhideWhenUsed/>
    <w:qFormat/>
    <w:uiPriority w:val="99"/>
    <w:rPr>
      <w:color w:val="0000FF"/>
      <w:u w:val="single"/>
    </w:rPr>
  </w:style>
  <w:style w:type="character" w:styleId="12">
    <w:name w:val="annotation reference"/>
    <w:qFormat/>
    <w:uiPriority w:val="0"/>
    <w:rPr>
      <w:sz w:val="21"/>
      <w:szCs w:val="21"/>
    </w:rPr>
  </w:style>
  <w:style w:type="character" w:customStyle="1" w:styleId="14">
    <w:name w:val="批注框文本 字符"/>
    <w:link w:val="5"/>
    <w:qFormat/>
    <w:uiPriority w:val="0"/>
    <w:rPr>
      <w:kern w:val="2"/>
      <w:sz w:val="18"/>
      <w:szCs w:val="18"/>
    </w:rPr>
  </w:style>
  <w:style w:type="character" w:customStyle="1" w:styleId="15">
    <w:name w:val="批注主题 字符"/>
    <w:link w:val="3"/>
    <w:qFormat/>
    <w:uiPriority w:val="0"/>
    <w:rPr>
      <w:b/>
      <w:bCs/>
      <w:kern w:val="2"/>
      <w:sz w:val="21"/>
      <w:szCs w:val="24"/>
    </w:rPr>
  </w:style>
  <w:style w:type="character" w:customStyle="1" w:styleId="16">
    <w:name w:val="批注文字 字符"/>
    <w:link w:val="4"/>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260</Words>
  <Characters>1488</Characters>
  <Lines>12</Lines>
  <Paragraphs>3</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2023-04-18T08:31:00Z</dcterms:created>
  <dc:creator>微软用户</dc:creator>
  <cp:lastModifiedBy>孙晓刚</cp:lastModifiedBy>
  <cp:lastPrinted>2023-05-05T08:38:00Z</cp:lastPrinted>
  <dcterms:modified xsi:type="dcterms:W3CDTF">2025-05-30T03:17:20Z</dcterms:modified>
  <dc:title>北京市密封用填料及胶粘剂（建筑胶粘剂）产品质量监督抽查实施细则</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9415236E8826477D8ADA6D4EA42945B7_13</vt:lpwstr>
  </property>
</Properties>
</file>