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4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202</w:t>
      </w:r>
      <w:r>
        <w:rPr>
          <w:rFonts w:hint="eastAsia" w:ascii="Times New Roman" w:hAnsi="Times New Roman" w:eastAsia="方正小标宋简体" w:cs="Times New Roman"/>
          <w:color w:val="000000"/>
          <w:sz w:val="32"/>
          <w:szCs w:val="32"/>
        </w:rPr>
        <w:t>5</w:t>
      </w:r>
      <w:r>
        <w:rPr>
          <w:rFonts w:ascii="Times New Roman" w:hAnsi="Times New Roman" w:eastAsia="方正小标宋简体" w:cs="Times New Roman"/>
          <w:color w:val="000000"/>
          <w:sz w:val="32"/>
          <w:szCs w:val="32"/>
        </w:rPr>
        <w:t>年北京市</w:t>
      </w:r>
      <w:r>
        <w:rPr>
          <w:rFonts w:hint="eastAsia" w:ascii="Times New Roman" w:hAnsi="Times New Roman" w:eastAsia="方正小标宋简体" w:cs="Times New Roman"/>
          <w:color w:val="000000"/>
          <w:sz w:val="32"/>
          <w:szCs w:val="32"/>
          <w:lang w:eastAsia="zh-CN"/>
        </w:rPr>
        <w:t>东城区一次性餐饮具</w:t>
      </w:r>
      <w:r>
        <w:rPr>
          <w:rFonts w:ascii="Times New Roman" w:hAnsi="Times New Roman" w:eastAsia="方正小标宋简体" w:cs="Times New Roman"/>
          <w:color w:val="000000"/>
          <w:sz w:val="32"/>
          <w:szCs w:val="32"/>
        </w:rPr>
        <w:t>产品质量监督抽查实施细则</w:t>
      </w:r>
    </w:p>
    <w:p>
      <w:pPr>
        <w:snapToGrid w:val="0"/>
        <w:spacing w:line="440" w:lineRule="exact"/>
        <w:rPr>
          <w:rFonts w:ascii="Times New Roman" w:hAnsi="Times New Roman" w:eastAsia="黑体" w:cs="Times New Roman"/>
          <w:color w:val="000000"/>
          <w:szCs w:val="21"/>
        </w:rPr>
      </w:pPr>
    </w:p>
    <w:p>
      <w:pPr>
        <w:snapToGrid w:val="0"/>
        <w:spacing w:line="440" w:lineRule="exact"/>
        <w:rPr>
          <w:rFonts w:ascii="Times New Roman" w:hAnsi="Times New Roman" w:eastAsia="黑体" w:cs="Times New Roman"/>
          <w:color w:val="000000"/>
          <w:szCs w:val="21"/>
        </w:rPr>
      </w:pPr>
      <w:r>
        <w:rPr>
          <w:rFonts w:ascii="Times New Roman" w:hAnsi="Times New Roman" w:eastAsia="黑体" w:cs="Times New Roman"/>
          <w:color w:val="000000"/>
          <w:szCs w:val="21"/>
        </w:rPr>
        <w:t>1 抽样方法</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以随机抽样的方式在被抽样生产者、销售者的待销产品中抽取。</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随机数一般可使用随机数表等方法产生。</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抽样基数满足抽样数量即可，具体抽取检验样品数量及备用样品数量见</w:t>
      </w:r>
      <w:r>
        <w:rPr>
          <w:rFonts w:hint="eastAsia" w:ascii="Times New Roman" w:hAnsi="Times New Roman" w:cs="Times New Roman"/>
          <w:color w:val="000000"/>
          <w:szCs w:val="21"/>
          <w:lang w:eastAsia="zh-CN"/>
        </w:rPr>
        <w:t>下表</w:t>
      </w:r>
      <w:r>
        <w:rPr>
          <w:rFonts w:hint="eastAsia" w:ascii="Times New Roman" w:hAnsi="Times New Roman" w:cs="Times New Roman"/>
          <w:color w:val="000000"/>
          <w:szCs w:val="21"/>
        </w:rPr>
        <w:t>。</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033"/>
        <w:gridCol w:w="1332"/>
        <w:gridCol w:w="137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blHeader/>
          <w:jc w:val="center"/>
        </w:trPr>
        <w:tc>
          <w:tcPr>
            <w:tcW w:w="971"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4033"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产品名称</w:t>
            </w:r>
          </w:p>
        </w:tc>
        <w:tc>
          <w:tcPr>
            <w:tcW w:w="1332"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抽样数量</w:t>
            </w:r>
          </w:p>
        </w:tc>
        <w:tc>
          <w:tcPr>
            <w:tcW w:w="1377"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检验</w:t>
            </w:r>
            <w:r>
              <w:rPr>
                <w:rFonts w:hint="eastAsia" w:ascii="Times New Roman" w:hAnsi="Times New Roman" w:cs="Times New Roman"/>
                <w:color w:val="000000"/>
                <w:szCs w:val="21"/>
              </w:rPr>
              <w:t>用样品</w:t>
            </w:r>
            <w:r>
              <w:rPr>
                <w:rFonts w:ascii="Times New Roman" w:hAnsi="Times New Roman" w:cs="Times New Roman"/>
                <w:color w:val="000000"/>
                <w:szCs w:val="21"/>
              </w:rPr>
              <w:t>数量</w:t>
            </w:r>
          </w:p>
        </w:tc>
        <w:tc>
          <w:tcPr>
            <w:tcW w:w="1347" w:type="dxa"/>
            <w:vAlign w:val="center"/>
          </w:tcPr>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备用样品</w:t>
            </w:r>
          </w:p>
          <w:p>
            <w:pPr>
              <w:snapToGrid w:val="0"/>
              <w:jc w:val="center"/>
              <w:rPr>
                <w:rFonts w:ascii="Times New Roman" w:hAnsi="Times New Roman" w:cs="Times New Roman"/>
                <w:color w:val="000000"/>
                <w:szCs w:val="21"/>
              </w:rPr>
            </w:pPr>
            <w:r>
              <w:rPr>
                <w:rFonts w:ascii="Times New Roman" w:hAnsi="Times New Roman" w:cs="Times New Roman"/>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71"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4033" w:type="dxa"/>
            <w:vAlign w:val="center"/>
          </w:tcPr>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lang w:eastAsia="zh-CN"/>
              </w:rPr>
              <w:t>一次性餐饮具</w:t>
            </w:r>
          </w:p>
        </w:tc>
        <w:tc>
          <w:tcPr>
            <w:tcW w:w="1332" w:type="dxa"/>
            <w:vAlign w:val="center"/>
          </w:tcPr>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2</w:t>
            </w:r>
            <w:r>
              <w:rPr>
                <w:rFonts w:ascii="Times New Roman" w:hAnsi="Times New Roman" w:cs="Times New Roman"/>
                <w:color w:val="000000"/>
                <w:szCs w:val="21"/>
              </w:rPr>
              <w:t>个</w:t>
            </w:r>
          </w:p>
        </w:tc>
        <w:tc>
          <w:tcPr>
            <w:tcW w:w="1377" w:type="dxa"/>
            <w:vAlign w:val="center"/>
          </w:tcPr>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1</w:t>
            </w:r>
            <w:r>
              <w:rPr>
                <w:rFonts w:ascii="Times New Roman" w:hAnsi="Times New Roman" w:cs="Times New Roman"/>
                <w:color w:val="000000"/>
                <w:szCs w:val="21"/>
              </w:rPr>
              <w:t>个</w:t>
            </w:r>
          </w:p>
        </w:tc>
        <w:tc>
          <w:tcPr>
            <w:tcW w:w="1347"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060" w:type="dxa"/>
            <w:gridSpan w:val="5"/>
            <w:vAlign w:val="center"/>
          </w:tcPr>
          <w:p>
            <w:pPr>
              <w:snapToGrid w:val="0"/>
              <w:jc w:val="center"/>
              <w:rPr>
                <w:rFonts w:ascii="Times New Roman" w:hAnsi="Times New Roman" w:cs="Times New Roman"/>
                <w:color w:val="000000"/>
                <w:szCs w:val="21"/>
              </w:rPr>
            </w:pPr>
            <w:r>
              <w:rPr>
                <w:highlight w:val="none"/>
              </w:rPr>
              <w:t>注：如样品</w:t>
            </w:r>
            <w:r>
              <w:rPr>
                <w:rFonts w:hint="eastAsia"/>
                <w:highlight w:val="none"/>
                <w:lang w:val="en-US" w:eastAsia="zh-CN"/>
              </w:rPr>
              <w:t>面积</w:t>
            </w:r>
            <w:r>
              <w:rPr>
                <w:highlight w:val="none"/>
              </w:rPr>
              <w:t>过小，可适当增加抽样数量，但不得超过检验、复检的合理需要。</w:t>
            </w:r>
          </w:p>
        </w:tc>
      </w:tr>
    </w:tbl>
    <w:p>
      <w:pPr>
        <w:snapToGrid w:val="0"/>
        <w:spacing w:line="440" w:lineRule="exact"/>
        <w:rPr>
          <w:rFonts w:ascii="Times New Roman" w:hAnsi="Times New Roman" w:eastAsia="黑体" w:cs="Times New Roman"/>
          <w:color w:val="000000"/>
          <w:szCs w:val="21"/>
        </w:rPr>
      </w:pPr>
    </w:p>
    <w:p>
      <w:pPr>
        <w:snapToGrid w:val="0"/>
        <w:spacing w:line="440" w:lineRule="exact"/>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snapToGrid w:val="0"/>
        <w:spacing w:line="440" w:lineRule="exac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2.1一次性筷子检验项目</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357"/>
        <w:gridCol w:w="2078"/>
        <w:gridCol w:w="2123"/>
        <w:gridCol w:w="18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37" w:hRule="atLeast"/>
          <w:tblHeader/>
          <w:jc w:val="center"/>
        </w:trPr>
        <w:tc>
          <w:tcPr>
            <w:tcW w:w="6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35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检验项目</w:t>
            </w:r>
          </w:p>
        </w:tc>
        <w:tc>
          <w:tcPr>
            <w:tcW w:w="2078"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检验依据</w:t>
            </w:r>
          </w:p>
        </w:tc>
        <w:tc>
          <w:tcPr>
            <w:tcW w:w="2123" w:type="dxa"/>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检验方法</w:t>
            </w:r>
          </w:p>
        </w:tc>
        <w:tc>
          <w:tcPr>
            <w:tcW w:w="1811"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000000"/>
                <w:szCs w:val="21"/>
              </w:rPr>
              <w:t>感官</w:t>
            </w:r>
          </w:p>
        </w:tc>
        <w:tc>
          <w:tcPr>
            <w:tcW w:w="2078"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4806.12-2022</w:t>
            </w:r>
          </w:p>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GB/T 19790.2-2005</w:t>
            </w:r>
          </w:p>
        </w:tc>
        <w:tc>
          <w:tcPr>
            <w:tcW w:w="2123"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4806.12-2022</w:t>
            </w:r>
          </w:p>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GB/T 19790.2-2005</w:t>
            </w: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2</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000000"/>
                <w:szCs w:val="21"/>
              </w:rPr>
              <w:t>浸泡液</w:t>
            </w:r>
          </w:p>
        </w:tc>
        <w:tc>
          <w:tcPr>
            <w:tcW w:w="2078" w:type="dxa"/>
            <w:vMerge w:val="continue"/>
            <w:tcBorders>
              <w:left w:val="none" w:color="auto" w:sz="0" w:space="0"/>
              <w:right w:val="none" w:color="auto" w:sz="0" w:space="0"/>
            </w:tcBorders>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2123" w:type="dxa"/>
            <w:vMerge w:val="continue"/>
            <w:tcBorders>
              <w:left w:val="none" w:color="auto" w:sz="0" w:space="0"/>
              <w:right w:val="none" w:color="auto" w:sz="0" w:space="0"/>
            </w:tcBorders>
            <w:vAlign w:val="center"/>
          </w:tcPr>
          <w:p>
            <w:pPr>
              <w:widowControl/>
              <w:jc w:val="center"/>
              <w:textAlignment w:val="center"/>
              <w:rPr>
                <w:rFonts w:hint="default" w:ascii="Times New Roman" w:hAnsi="Times New Roman" w:cs="Times New Roman"/>
                <w:color w:val="auto"/>
                <w:kern w:val="0"/>
                <w:sz w:val="21"/>
                <w:szCs w:val="21"/>
                <w:highlight w:val="none"/>
                <w:lang w:val="en-US" w:eastAsia="zh-CN"/>
              </w:rPr>
            </w:pP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3</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000000"/>
                <w:szCs w:val="21"/>
              </w:rPr>
              <w:t>总迁移量</w:t>
            </w:r>
          </w:p>
        </w:tc>
        <w:tc>
          <w:tcPr>
            <w:tcW w:w="2078" w:type="dxa"/>
            <w:vMerge w:val="continue"/>
            <w:tcBorders>
              <w:left w:val="none" w:color="auto" w:sz="0" w:space="0"/>
              <w:right w:val="none" w:color="auto" w:sz="0" w:space="0"/>
            </w:tcBorders>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tcBorders>
              <w:left w:val="none" w:color="auto" w:sz="0" w:space="0"/>
              <w:right w:val="none" w:color="auto" w:sz="0" w:space="0"/>
            </w:tcBorders>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4</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000000"/>
                <w:szCs w:val="21"/>
              </w:rPr>
              <w:t>甲醛</w:t>
            </w:r>
          </w:p>
        </w:tc>
        <w:tc>
          <w:tcPr>
            <w:tcW w:w="2078" w:type="dxa"/>
            <w:vMerge w:val="continue"/>
            <w:tcBorders>
              <w:left w:val="none" w:color="auto" w:sz="0" w:space="0"/>
              <w:right w:val="none" w:color="auto" w:sz="0" w:space="0"/>
            </w:tcBorders>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tcBorders>
              <w:left w:val="none" w:color="auto" w:sz="0" w:space="0"/>
              <w:right w:val="none" w:color="auto" w:sz="0" w:space="0"/>
            </w:tcBorders>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5</w:t>
            </w:r>
          </w:p>
        </w:tc>
        <w:tc>
          <w:tcPr>
            <w:tcW w:w="2357" w:type="dxa"/>
            <w:vAlign w:val="center"/>
          </w:tcPr>
          <w:p>
            <w:pPr>
              <w:widowControl/>
              <w:jc w:val="center"/>
              <w:textAlignment w:val="center"/>
              <w:rPr>
                <w:rFonts w:ascii="Times New Roman" w:hAnsi="Times New Roman" w:cs="Times New Roman"/>
                <w:color w:val="auto"/>
                <w:highlight w:val="none"/>
              </w:rPr>
            </w:pPr>
            <w:r>
              <w:rPr>
                <w:rFonts w:hint="eastAsia" w:ascii="宋体" w:hAnsi="宋体" w:eastAsia="宋体" w:cs="宋体"/>
                <w:color w:val="000000"/>
                <w:szCs w:val="21"/>
              </w:rPr>
              <w:t>二氧化硫</w:t>
            </w:r>
          </w:p>
        </w:tc>
        <w:tc>
          <w:tcPr>
            <w:tcW w:w="2078" w:type="dxa"/>
            <w:vMerge w:val="continue"/>
            <w:tcBorders>
              <w:left w:val="none" w:color="auto" w:sz="0" w:space="0"/>
              <w:right w:val="none" w:color="auto" w:sz="0" w:space="0"/>
            </w:tcBorders>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tcBorders>
              <w:left w:val="none" w:color="auto" w:sz="0" w:space="0"/>
              <w:right w:val="none" w:color="auto" w:sz="0" w:space="0"/>
            </w:tcBorders>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6</w:t>
            </w:r>
          </w:p>
        </w:tc>
        <w:tc>
          <w:tcPr>
            <w:tcW w:w="2357" w:type="dxa"/>
            <w:vAlign w:val="center"/>
          </w:tcPr>
          <w:p>
            <w:pPr>
              <w:widowControl/>
              <w:jc w:val="center"/>
              <w:textAlignment w:val="center"/>
              <w:rPr>
                <w:rFonts w:ascii="Times New Roman" w:hAnsi="Times New Roman" w:cs="Times New Roman"/>
                <w:color w:val="auto"/>
                <w:highlight w:val="none"/>
              </w:rPr>
            </w:pPr>
            <w:r>
              <w:rPr>
                <w:rFonts w:hint="eastAsia" w:ascii="宋体" w:hAnsi="宋体" w:eastAsia="宋体" w:cs="宋体"/>
                <w:color w:val="000000"/>
                <w:szCs w:val="21"/>
              </w:rPr>
              <w:t>大肠菌群</w:t>
            </w:r>
          </w:p>
        </w:tc>
        <w:tc>
          <w:tcPr>
            <w:tcW w:w="2078" w:type="dxa"/>
            <w:vMerge w:val="continue"/>
            <w:tcBorders>
              <w:left w:val="none" w:color="auto" w:sz="0" w:space="0"/>
              <w:right w:val="none" w:color="auto" w:sz="0" w:space="0"/>
            </w:tcBorders>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tcBorders>
              <w:left w:val="none" w:color="auto" w:sz="0" w:space="0"/>
              <w:right w:val="none" w:color="auto" w:sz="0" w:space="0"/>
            </w:tcBorders>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7</w:t>
            </w:r>
          </w:p>
        </w:tc>
        <w:tc>
          <w:tcPr>
            <w:tcW w:w="2357" w:type="dxa"/>
            <w:vAlign w:val="center"/>
          </w:tcPr>
          <w:p>
            <w:pPr>
              <w:widowControl/>
              <w:jc w:val="center"/>
              <w:textAlignment w:val="center"/>
              <w:rPr>
                <w:rFonts w:ascii="Times New Roman" w:hAnsi="Times New Roman" w:cs="Times New Roman"/>
                <w:color w:val="auto"/>
                <w:kern w:val="0"/>
                <w:highlight w:val="none"/>
                <w:lang/>
              </w:rPr>
            </w:pPr>
            <w:r>
              <w:rPr>
                <w:rFonts w:hint="eastAsia" w:ascii="宋体" w:hAnsi="宋体" w:eastAsia="宋体" w:cs="宋体"/>
                <w:color w:val="000000"/>
                <w:szCs w:val="21"/>
              </w:rPr>
              <w:t>沙门氏菌</w:t>
            </w:r>
          </w:p>
        </w:tc>
        <w:tc>
          <w:tcPr>
            <w:tcW w:w="2078" w:type="dxa"/>
            <w:vMerge w:val="continue"/>
            <w:tcBorders>
              <w:left w:val="none" w:color="auto" w:sz="0" w:space="0"/>
              <w:right w:val="none" w:color="auto" w:sz="0" w:space="0"/>
            </w:tcBorders>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tcBorders>
              <w:left w:val="none" w:color="auto" w:sz="0" w:space="0"/>
              <w:right w:val="none" w:color="auto" w:sz="0" w:space="0"/>
            </w:tcBorders>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lang w:val="en-US" w:eastAsia="zh-CN"/>
              </w:rPr>
              <w:t>8</w:t>
            </w:r>
          </w:p>
        </w:tc>
        <w:tc>
          <w:tcPr>
            <w:tcW w:w="2357" w:type="dxa"/>
            <w:vAlign w:val="center"/>
          </w:tcPr>
          <w:p>
            <w:pPr>
              <w:widowControl/>
              <w:jc w:val="center"/>
              <w:textAlignment w:val="center"/>
              <w:rPr>
                <w:rFonts w:hint="default" w:ascii="Times New Roman" w:hAnsi="Times New Roman" w:cs="Times New Roman"/>
                <w:color w:val="auto"/>
                <w:kern w:val="0"/>
                <w:highlight w:val="none"/>
                <w:lang w:val="en-US" w:eastAsia="zh-CN"/>
              </w:rPr>
            </w:pPr>
            <w:r>
              <w:rPr>
                <w:rFonts w:hint="eastAsia" w:ascii="宋体" w:hAnsi="宋体" w:eastAsia="宋体" w:cs="宋体"/>
                <w:color w:val="000000"/>
                <w:szCs w:val="21"/>
              </w:rPr>
              <w:t>霉菌</w:t>
            </w:r>
          </w:p>
        </w:tc>
        <w:tc>
          <w:tcPr>
            <w:tcW w:w="2078" w:type="dxa"/>
            <w:vMerge w:val="continue"/>
            <w:tcBorders>
              <w:left w:val="none" w:color="auto" w:sz="0" w:space="0"/>
              <w:right w:val="none" w:color="auto" w:sz="0" w:space="0"/>
            </w:tcBorders>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2123" w:type="dxa"/>
            <w:vMerge w:val="continue"/>
            <w:tcBorders>
              <w:left w:val="none" w:color="auto" w:sz="0" w:space="0"/>
              <w:right w:val="none" w:color="auto" w:sz="0" w:space="0"/>
            </w:tcBorders>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1815" w:type="dxa"/>
            <w:gridSpan w:val="2"/>
            <w:vAlign w:val="center"/>
          </w:tcPr>
          <w:p>
            <w:pPr>
              <w:jc w:val="center"/>
              <w:rPr>
                <w:rFonts w:ascii="Times New Roman" w:hAnsi="Times New Roman" w:cs="Times New Roman"/>
                <w:color w:val="auto"/>
                <w:highlight w:val="none"/>
              </w:rPr>
            </w:pPr>
          </w:p>
        </w:tc>
      </w:tr>
    </w:tbl>
    <w:p>
      <w:pPr>
        <w:snapToGrid w:val="0"/>
        <w:spacing w:line="440" w:lineRule="exac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2.2一次性纸杯检验项目</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357"/>
        <w:gridCol w:w="2078"/>
        <w:gridCol w:w="2123"/>
        <w:gridCol w:w="18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37" w:hRule="atLeast"/>
          <w:tblHeader/>
          <w:jc w:val="center"/>
        </w:trPr>
        <w:tc>
          <w:tcPr>
            <w:tcW w:w="6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35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检验项目</w:t>
            </w:r>
          </w:p>
        </w:tc>
        <w:tc>
          <w:tcPr>
            <w:tcW w:w="2078"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检验依据</w:t>
            </w:r>
          </w:p>
        </w:tc>
        <w:tc>
          <w:tcPr>
            <w:tcW w:w="2123" w:type="dxa"/>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检验方法</w:t>
            </w:r>
          </w:p>
        </w:tc>
        <w:tc>
          <w:tcPr>
            <w:tcW w:w="1811"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000000"/>
                <w:szCs w:val="21"/>
              </w:rPr>
              <w:t>感官</w:t>
            </w:r>
            <w:r>
              <w:rPr>
                <w:rFonts w:hint="eastAsia" w:ascii="宋体" w:hAnsi="宋体" w:cs="宋体"/>
                <w:color w:val="000000"/>
                <w:szCs w:val="21"/>
                <w:lang w:eastAsia="zh-CN"/>
              </w:rPr>
              <w:t>要求</w:t>
            </w:r>
          </w:p>
        </w:tc>
        <w:tc>
          <w:tcPr>
            <w:tcW w:w="2078"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4806.8—2022</w:t>
            </w:r>
          </w:p>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GB/T 27590—2022</w:t>
            </w:r>
          </w:p>
        </w:tc>
        <w:tc>
          <w:tcPr>
            <w:tcW w:w="2123"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4806.8—2022</w:t>
            </w:r>
          </w:p>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GB/T 27590—2022</w:t>
            </w: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2</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总迁移量</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highlight w:val="none"/>
                <w:lang w:val="en-US" w:eastAsia="zh-CN"/>
              </w:rPr>
            </w:pP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3</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重金属（铅Pb、砷As）</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4</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荧光性物质</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5</w:t>
            </w:r>
          </w:p>
        </w:tc>
        <w:tc>
          <w:tcPr>
            <w:tcW w:w="2357" w:type="dxa"/>
            <w:vAlign w:val="center"/>
          </w:tcPr>
          <w:p>
            <w:pPr>
              <w:widowControl/>
              <w:jc w:val="center"/>
              <w:textAlignment w:val="center"/>
              <w:rPr>
                <w:rFonts w:ascii="Times New Roman" w:hAnsi="Times New Roman" w:cs="Times New Roman"/>
                <w:color w:val="auto"/>
                <w:highlight w:val="none"/>
              </w:rPr>
            </w:pPr>
            <w:r>
              <w:rPr>
                <w:rFonts w:hint="eastAsia" w:ascii="宋体" w:hAnsi="宋体" w:cs="宋体"/>
                <w:color w:val="000000"/>
                <w:szCs w:val="21"/>
                <w:lang w:val="en-US" w:eastAsia="zh-CN"/>
              </w:rPr>
              <w:t>甲醛</w:t>
            </w:r>
          </w:p>
        </w:tc>
        <w:tc>
          <w:tcPr>
            <w:tcW w:w="2078"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6</w:t>
            </w:r>
          </w:p>
        </w:tc>
        <w:tc>
          <w:tcPr>
            <w:tcW w:w="2357" w:type="dxa"/>
            <w:vAlign w:val="center"/>
          </w:tcPr>
          <w:p>
            <w:pPr>
              <w:widowControl/>
              <w:jc w:val="center"/>
              <w:textAlignment w:val="center"/>
              <w:rPr>
                <w:rFonts w:ascii="Times New Roman" w:hAnsi="Times New Roman" w:cs="Times New Roman"/>
                <w:color w:val="auto"/>
                <w:highlight w:val="none"/>
              </w:rPr>
            </w:pPr>
            <w:r>
              <w:rPr>
                <w:rFonts w:hint="eastAsia" w:ascii="宋体" w:hAnsi="宋体" w:cs="宋体"/>
                <w:color w:val="000000"/>
                <w:szCs w:val="21"/>
                <w:lang w:val="en-US" w:eastAsia="zh-CN"/>
              </w:rPr>
              <w:t>感官指标</w:t>
            </w:r>
          </w:p>
        </w:tc>
        <w:tc>
          <w:tcPr>
            <w:tcW w:w="2078"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7</w:t>
            </w:r>
          </w:p>
        </w:tc>
        <w:tc>
          <w:tcPr>
            <w:tcW w:w="2357" w:type="dxa"/>
            <w:vAlign w:val="center"/>
          </w:tcPr>
          <w:p>
            <w:pPr>
              <w:widowControl/>
              <w:jc w:val="center"/>
              <w:textAlignment w:val="center"/>
              <w:rPr>
                <w:rFonts w:ascii="Times New Roman" w:hAnsi="Times New Roman" w:cs="Times New Roman"/>
                <w:color w:val="auto"/>
                <w:kern w:val="0"/>
                <w:highlight w:val="none"/>
                <w:lang/>
              </w:rPr>
            </w:pPr>
            <w:r>
              <w:rPr>
                <w:rFonts w:hint="eastAsia" w:ascii="宋体" w:hAnsi="宋体" w:cs="宋体"/>
                <w:color w:val="000000"/>
                <w:szCs w:val="21"/>
                <w:lang w:val="en-US" w:eastAsia="zh-CN"/>
              </w:rPr>
              <w:t>渗漏性能</w:t>
            </w:r>
          </w:p>
        </w:tc>
        <w:tc>
          <w:tcPr>
            <w:tcW w:w="2078"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lang w:val="en-US" w:eastAsia="zh-CN"/>
              </w:rPr>
              <w:t>8</w:t>
            </w:r>
          </w:p>
        </w:tc>
        <w:tc>
          <w:tcPr>
            <w:tcW w:w="2357" w:type="dxa"/>
            <w:vAlign w:val="center"/>
          </w:tcPr>
          <w:p>
            <w:pPr>
              <w:widowControl/>
              <w:jc w:val="center"/>
              <w:textAlignment w:val="center"/>
              <w:rPr>
                <w:rFonts w:hint="default" w:ascii="Times New Roman" w:hAnsi="Times New Roman" w:cs="Times New Roman"/>
                <w:color w:val="auto"/>
                <w:kern w:val="0"/>
                <w:highlight w:val="none"/>
                <w:lang w:val="en-US" w:eastAsia="zh-CN"/>
              </w:rPr>
            </w:pPr>
            <w:r>
              <w:rPr>
                <w:rFonts w:hint="eastAsia" w:ascii="宋体" w:hAnsi="宋体" w:cs="宋体"/>
                <w:color w:val="000000"/>
                <w:szCs w:val="21"/>
                <w:lang w:val="en-US" w:eastAsia="zh-CN"/>
              </w:rPr>
              <w:t>杯身挺度</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2123" w:type="dxa"/>
            <w:vMerge w:val="continue"/>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1815" w:type="dxa"/>
            <w:gridSpan w:val="2"/>
            <w:vAlign w:val="center"/>
          </w:tcPr>
          <w:p>
            <w:pPr>
              <w:jc w:val="center"/>
              <w:rPr>
                <w:rFonts w:ascii="Times New Roman" w:hAnsi="Times New Roman" w:cs="Times New Roman"/>
                <w:color w:val="auto"/>
                <w:highlight w:val="none"/>
              </w:rPr>
            </w:pPr>
          </w:p>
        </w:tc>
      </w:tr>
    </w:tbl>
    <w:p>
      <w:pPr>
        <w:snapToGrid w:val="0"/>
        <w:spacing w:line="44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2.3一次性吸管检验项目</w:t>
      </w:r>
    </w:p>
    <w:p>
      <w:pPr>
        <w:snapToGrid w:val="0"/>
        <w:spacing w:line="44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纸吸管：</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357"/>
        <w:gridCol w:w="2078"/>
        <w:gridCol w:w="2123"/>
        <w:gridCol w:w="18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37" w:hRule="atLeast"/>
          <w:tblHeader/>
          <w:jc w:val="center"/>
        </w:trPr>
        <w:tc>
          <w:tcPr>
            <w:tcW w:w="6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35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检验项目</w:t>
            </w:r>
          </w:p>
        </w:tc>
        <w:tc>
          <w:tcPr>
            <w:tcW w:w="2078"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检验依据</w:t>
            </w:r>
          </w:p>
        </w:tc>
        <w:tc>
          <w:tcPr>
            <w:tcW w:w="2123" w:type="dxa"/>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检验方法</w:t>
            </w:r>
          </w:p>
        </w:tc>
        <w:tc>
          <w:tcPr>
            <w:tcW w:w="1811"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000000"/>
                <w:szCs w:val="21"/>
              </w:rPr>
              <w:t>感官</w:t>
            </w:r>
            <w:r>
              <w:rPr>
                <w:rFonts w:hint="eastAsia" w:ascii="宋体" w:hAnsi="宋体" w:cs="宋体"/>
                <w:color w:val="000000"/>
                <w:szCs w:val="21"/>
                <w:lang w:eastAsia="zh-CN"/>
              </w:rPr>
              <w:t>要求</w:t>
            </w:r>
          </w:p>
        </w:tc>
        <w:tc>
          <w:tcPr>
            <w:tcW w:w="2078"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4806.8—2022</w:t>
            </w:r>
          </w:p>
        </w:tc>
        <w:tc>
          <w:tcPr>
            <w:tcW w:w="2123"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4806.8—2022</w:t>
            </w: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2</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总迁移量</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highlight w:val="none"/>
                <w:lang w:val="en-US" w:eastAsia="zh-CN"/>
              </w:rPr>
            </w:pP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3</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重金属（铅Pb、砷As）</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4</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荧光性物质</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5</w:t>
            </w:r>
          </w:p>
        </w:tc>
        <w:tc>
          <w:tcPr>
            <w:tcW w:w="2357" w:type="dxa"/>
            <w:vAlign w:val="center"/>
          </w:tcPr>
          <w:p>
            <w:pPr>
              <w:widowControl/>
              <w:jc w:val="center"/>
              <w:textAlignment w:val="center"/>
              <w:rPr>
                <w:rFonts w:ascii="Times New Roman" w:hAnsi="Times New Roman" w:cs="Times New Roman"/>
                <w:color w:val="auto"/>
                <w:highlight w:val="none"/>
              </w:rPr>
            </w:pPr>
            <w:r>
              <w:rPr>
                <w:rFonts w:hint="eastAsia" w:ascii="宋体" w:hAnsi="宋体" w:cs="宋体"/>
                <w:color w:val="000000"/>
                <w:szCs w:val="21"/>
                <w:lang w:val="en-US" w:eastAsia="zh-CN"/>
              </w:rPr>
              <w:t>甲醛</w:t>
            </w:r>
          </w:p>
        </w:tc>
        <w:tc>
          <w:tcPr>
            <w:tcW w:w="2078"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6</w:t>
            </w:r>
          </w:p>
        </w:tc>
        <w:tc>
          <w:tcPr>
            <w:tcW w:w="2357" w:type="dxa"/>
            <w:vAlign w:val="center"/>
          </w:tcPr>
          <w:p>
            <w:pPr>
              <w:widowControl/>
              <w:jc w:val="center"/>
              <w:textAlignment w:val="center"/>
              <w:rPr>
                <w:rFonts w:ascii="Times New Roman" w:hAnsi="Times New Roman" w:cs="Times New Roman"/>
                <w:color w:val="auto"/>
                <w:highlight w:val="none"/>
              </w:rPr>
            </w:pPr>
            <w:r>
              <w:rPr>
                <w:rFonts w:hint="eastAsia" w:ascii="宋体" w:hAnsi="宋体" w:cs="宋体"/>
                <w:color w:val="000000"/>
                <w:szCs w:val="21"/>
                <w:lang w:val="en-US" w:eastAsia="zh-CN"/>
              </w:rPr>
              <w:t>感官指标</w:t>
            </w:r>
          </w:p>
        </w:tc>
        <w:tc>
          <w:tcPr>
            <w:tcW w:w="2078"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7</w:t>
            </w:r>
          </w:p>
        </w:tc>
        <w:tc>
          <w:tcPr>
            <w:tcW w:w="2357" w:type="dxa"/>
            <w:vAlign w:val="center"/>
          </w:tcPr>
          <w:p>
            <w:pPr>
              <w:widowControl/>
              <w:jc w:val="center"/>
              <w:textAlignment w:val="center"/>
              <w:rPr>
                <w:rFonts w:ascii="Times New Roman" w:hAnsi="Times New Roman" w:cs="Times New Roman"/>
                <w:color w:val="auto"/>
                <w:kern w:val="0"/>
                <w:highlight w:val="none"/>
                <w:lang/>
              </w:rPr>
            </w:pPr>
            <w:r>
              <w:rPr>
                <w:rFonts w:hint="eastAsia" w:ascii="宋体" w:hAnsi="宋体" w:cs="宋体"/>
                <w:color w:val="000000"/>
                <w:szCs w:val="21"/>
                <w:lang w:val="en-US" w:eastAsia="zh-CN"/>
              </w:rPr>
              <w:t>渗漏性能</w:t>
            </w:r>
          </w:p>
        </w:tc>
        <w:tc>
          <w:tcPr>
            <w:tcW w:w="2078"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lang w:val="en-US" w:eastAsia="zh-CN"/>
              </w:rPr>
              <w:t>8</w:t>
            </w:r>
          </w:p>
        </w:tc>
        <w:tc>
          <w:tcPr>
            <w:tcW w:w="2357" w:type="dxa"/>
            <w:vAlign w:val="center"/>
          </w:tcPr>
          <w:p>
            <w:pPr>
              <w:widowControl/>
              <w:jc w:val="center"/>
              <w:textAlignment w:val="center"/>
              <w:rPr>
                <w:rFonts w:hint="default" w:ascii="Times New Roman" w:hAnsi="Times New Roman" w:cs="Times New Roman"/>
                <w:color w:val="auto"/>
                <w:kern w:val="0"/>
                <w:highlight w:val="none"/>
                <w:lang w:val="en-US" w:eastAsia="zh-CN"/>
              </w:rPr>
            </w:pPr>
            <w:r>
              <w:rPr>
                <w:rFonts w:hint="eastAsia" w:ascii="宋体" w:hAnsi="宋体" w:cs="宋体"/>
                <w:color w:val="000000"/>
                <w:szCs w:val="21"/>
                <w:lang w:val="en-US" w:eastAsia="zh-CN"/>
              </w:rPr>
              <w:t>杯身挺度</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2123" w:type="dxa"/>
            <w:vMerge w:val="continue"/>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1815" w:type="dxa"/>
            <w:gridSpan w:val="2"/>
            <w:vAlign w:val="center"/>
          </w:tcPr>
          <w:p>
            <w:pPr>
              <w:jc w:val="center"/>
              <w:rPr>
                <w:rFonts w:ascii="Times New Roman" w:hAnsi="Times New Roman" w:cs="Times New Roman"/>
                <w:color w:val="auto"/>
                <w:highlight w:val="none"/>
              </w:rPr>
            </w:pPr>
          </w:p>
        </w:tc>
      </w:tr>
    </w:tbl>
    <w:p>
      <w:pPr>
        <w:snapToGrid w:val="0"/>
        <w:spacing w:line="44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塑料吸管：</w:t>
      </w:r>
      <w:bookmarkStart w:id="0" w:name="_GoBack"/>
      <w:bookmarkEnd w:id="0"/>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357"/>
        <w:gridCol w:w="2078"/>
        <w:gridCol w:w="2123"/>
        <w:gridCol w:w="181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37" w:hRule="atLeast"/>
          <w:tblHeader/>
          <w:jc w:val="center"/>
        </w:trPr>
        <w:tc>
          <w:tcPr>
            <w:tcW w:w="6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35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检验项目</w:t>
            </w:r>
          </w:p>
        </w:tc>
        <w:tc>
          <w:tcPr>
            <w:tcW w:w="2078"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检验依据</w:t>
            </w:r>
          </w:p>
        </w:tc>
        <w:tc>
          <w:tcPr>
            <w:tcW w:w="2123" w:type="dxa"/>
            <w:vAlign w:val="top"/>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检验方法</w:t>
            </w:r>
          </w:p>
        </w:tc>
        <w:tc>
          <w:tcPr>
            <w:tcW w:w="1811" w:type="dxa"/>
            <w:vAlign w:val="top"/>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000000"/>
                <w:szCs w:val="21"/>
              </w:rPr>
              <w:t>感官</w:t>
            </w:r>
            <w:r>
              <w:rPr>
                <w:rFonts w:hint="eastAsia" w:ascii="宋体" w:hAnsi="宋体" w:cs="宋体"/>
                <w:color w:val="000000"/>
                <w:szCs w:val="21"/>
                <w:lang w:eastAsia="zh-CN"/>
              </w:rPr>
              <w:t>要求</w:t>
            </w:r>
          </w:p>
        </w:tc>
        <w:tc>
          <w:tcPr>
            <w:tcW w:w="2078"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4806.7—2023</w:t>
            </w:r>
          </w:p>
        </w:tc>
        <w:tc>
          <w:tcPr>
            <w:tcW w:w="2123" w:type="dxa"/>
            <w:vMerge w:val="restart"/>
            <w:textDirection w:val="lrTb"/>
            <w:vAlign w:val="center"/>
          </w:tcPr>
          <w:p>
            <w:pPr>
              <w:widowControl/>
              <w:jc w:val="center"/>
              <w:textAlignment w:val="center"/>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en-US" w:eastAsia="zh-CN"/>
              </w:rPr>
              <w:t>GB 4806.7—2023</w:t>
            </w: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cantSplit/>
          <w:trHeight w:val="467" w:hRule="atLeast"/>
          <w:jc w:val="center"/>
        </w:trPr>
        <w:tc>
          <w:tcPr>
            <w:tcW w:w="687" w:type="dxa"/>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2</w:t>
            </w:r>
          </w:p>
        </w:tc>
        <w:tc>
          <w:tcPr>
            <w:tcW w:w="2357" w:type="dxa"/>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总迁移量</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highlight w:val="none"/>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highlight w:val="none"/>
                <w:lang w:val="en-US" w:eastAsia="zh-CN"/>
              </w:rPr>
            </w:pPr>
          </w:p>
        </w:tc>
        <w:tc>
          <w:tcPr>
            <w:tcW w:w="1811" w:type="dxa"/>
            <w:vAlign w:val="center"/>
          </w:tcPr>
          <w:p>
            <w:pPr>
              <w:jc w:val="center"/>
              <w:rPr>
                <w:rFonts w:hint="default" w:ascii="Times New Roman" w:hAnsi="Times New Roman"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lang w:val="en-US" w:eastAsia="zh-CN"/>
              </w:rPr>
              <w:t>3</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重金属（铅Pb）</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12"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4</w:t>
            </w:r>
          </w:p>
        </w:tc>
        <w:tc>
          <w:tcPr>
            <w:tcW w:w="2357" w:type="dxa"/>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szCs w:val="21"/>
                <w:lang w:val="en-US" w:eastAsia="zh-CN"/>
              </w:rPr>
              <w:t>高锰酸钾消耗量</w:t>
            </w:r>
          </w:p>
        </w:tc>
        <w:tc>
          <w:tcPr>
            <w:tcW w:w="2078" w:type="dxa"/>
            <w:vMerge w:val="continue"/>
            <w:vAlign w:val="center"/>
          </w:tcPr>
          <w:p>
            <w:pPr>
              <w:widowControl/>
              <w:jc w:val="center"/>
              <w:textAlignment w:val="center"/>
              <w:rPr>
                <w:rFonts w:hint="eastAsia" w:ascii="Times New Roman" w:hAnsi="Times New Roman" w:cs="Times New Roman"/>
                <w:color w:val="auto"/>
                <w:kern w:val="0"/>
                <w:sz w:val="21"/>
                <w:szCs w:val="21"/>
                <w:lang w:val="en-US" w:eastAsia="zh-CN"/>
              </w:rPr>
            </w:pPr>
          </w:p>
        </w:tc>
        <w:tc>
          <w:tcPr>
            <w:tcW w:w="2123" w:type="dxa"/>
            <w:vMerge w:val="continue"/>
            <w:vAlign w:val="center"/>
          </w:tcPr>
          <w:p>
            <w:pPr>
              <w:widowControl/>
              <w:jc w:val="center"/>
              <w:textAlignment w:val="center"/>
              <w:rPr>
                <w:rFonts w:hint="default" w:ascii="Times New Roman" w:hAnsi="Times New Roman" w:cs="Times New Roman"/>
                <w:color w:val="auto"/>
                <w:kern w:val="0"/>
                <w:sz w:val="21"/>
                <w:szCs w:val="21"/>
                <w:lang w:val="en-US" w:eastAsia="zh-CN"/>
              </w:rPr>
            </w:pPr>
          </w:p>
        </w:tc>
        <w:tc>
          <w:tcPr>
            <w:tcW w:w="1811" w:type="dxa"/>
            <w:vAlign w:val="center"/>
          </w:tcPr>
          <w:p>
            <w:pPr>
              <w:jc w:val="center"/>
              <w:rPr>
                <w:rFonts w:hint="eastAsia" w:ascii="Times New Roman" w:hAnsi="Times New Roman"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687" w:type="dxa"/>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lang w:val="en-US" w:eastAsia="zh-CN"/>
              </w:rPr>
              <w:t>5</w:t>
            </w:r>
          </w:p>
        </w:tc>
        <w:tc>
          <w:tcPr>
            <w:tcW w:w="2357" w:type="dxa"/>
            <w:vAlign w:val="center"/>
          </w:tcPr>
          <w:p>
            <w:pPr>
              <w:widowControl/>
              <w:jc w:val="center"/>
              <w:textAlignment w:val="center"/>
              <w:rPr>
                <w:rFonts w:ascii="Times New Roman" w:hAnsi="Times New Roman" w:cs="Times New Roman"/>
                <w:color w:val="auto"/>
                <w:highlight w:val="none"/>
              </w:rPr>
            </w:pPr>
            <w:r>
              <w:rPr>
                <w:rFonts w:hint="eastAsia" w:ascii="宋体" w:hAnsi="宋体" w:cs="宋体"/>
                <w:color w:val="000000"/>
                <w:szCs w:val="21"/>
                <w:lang w:val="en-US" w:eastAsia="zh-CN"/>
              </w:rPr>
              <w:t>脱色试验</w:t>
            </w:r>
          </w:p>
        </w:tc>
        <w:tc>
          <w:tcPr>
            <w:tcW w:w="2078"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2123" w:type="dxa"/>
            <w:vMerge w:val="continue"/>
            <w:vAlign w:val="center"/>
          </w:tcPr>
          <w:p>
            <w:pPr>
              <w:widowControl/>
              <w:jc w:val="center"/>
              <w:textAlignment w:val="center"/>
              <w:rPr>
                <w:rFonts w:ascii="Times New Roman" w:hAnsi="Times New Roman" w:cs="Times New Roman"/>
                <w:color w:val="auto"/>
                <w:kern w:val="0"/>
                <w:highlight w:val="none"/>
                <w:lang/>
              </w:rPr>
            </w:pPr>
          </w:p>
        </w:tc>
        <w:tc>
          <w:tcPr>
            <w:tcW w:w="1815" w:type="dxa"/>
            <w:gridSpan w:val="2"/>
            <w:vAlign w:val="center"/>
          </w:tcPr>
          <w:p>
            <w:pPr>
              <w:jc w:val="center"/>
              <w:rPr>
                <w:rFonts w:ascii="Times New Roman" w:hAnsi="Times New Roman" w:cs="Times New Roman"/>
                <w:color w:val="auto"/>
                <w:highlight w:val="none"/>
              </w:rPr>
            </w:pPr>
          </w:p>
        </w:tc>
      </w:tr>
    </w:tbl>
    <w:p>
      <w:pPr>
        <w:widowControl w:val="0"/>
        <w:wordWrap/>
        <w:adjustRightInd/>
        <w:snapToGrid w:val="0"/>
        <w:spacing w:line="440" w:lineRule="exact"/>
        <w:ind w:right="0"/>
        <w:jc w:val="both"/>
        <w:textAlignment w:val="auto"/>
        <w:outlineLvl w:val="9"/>
        <w:rPr>
          <w:rFonts w:ascii="Times New Roman" w:hAnsi="Times New Roman" w:cs="Times New Roman"/>
          <w:color w:val="000000"/>
          <w:szCs w:val="21"/>
        </w:rPr>
      </w:pPr>
    </w:p>
    <w:p>
      <w:pPr>
        <w:widowControl w:val="0"/>
        <w:wordWrap/>
        <w:adjustRightInd/>
        <w:snapToGrid w:val="0"/>
        <w:spacing w:line="440" w:lineRule="exact"/>
        <w:ind w:left="0" w:leftChars="0" w:right="0" w:firstLine="420" w:firstLineChars="200"/>
        <w:jc w:val="both"/>
        <w:textAlignment w:val="auto"/>
        <w:outlineLvl w:val="9"/>
        <w:rPr>
          <w:rFonts w:ascii="Times New Roman" w:hAnsi="Times New Roman" w:cs="Times New Roman"/>
          <w:color w:val="000000"/>
          <w:szCs w:val="21"/>
        </w:rPr>
      </w:pPr>
      <w:r>
        <w:rPr>
          <w:rFonts w:ascii="Times New Roman" w:hAnsi="Times New Roman" w:cs="Times New Roman"/>
          <w:color w:val="000000"/>
          <w:szCs w:val="21"/>
        </w:rPr>
        <w:t>执行企业标准、团体标准、地方标准的产品，检验项目参照上述内容执行。</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spacing w:line="440" w:lineRule="exact"/>
        <w:rPr>
          <w:rFonts w:ascii="Times New Roman" w:hAnsi="Times New Roman" w:eastAsia="黑体" w:cs="Times New Roman"/>
          <w:color w:val="000000"/>
          <w:szCs w:val="21"/>
        </w:rPr>
      </w:pPr>
    </w:p>
    <w:p>
      <w:pPr>
        <w:spacing w:line="440" w:lineRule="exact"/>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snapToGrid w:val="0"/>
        <w:spacing w:line="440" w:lineRule="exact"/>
        <w:rPr>
          <w:rFonts w:ascii="Times New Roman" w:hAnsi="Times New Roman" w:cs="Times New Roman"/>
          <w:color w:val="000000"/>
          <w:szCs w:val="21"/>
        </w:rPr>
      </w:pPr>
      <w:r>
        <w:rPr>
          <w:rFonts w:ascii="Times New Roman" w:hAnsi="Times New Roman" w:cs="Times New Roman"/>
          <w:color w:val="000000"/>
          <w:szCs w:val="21"/>
        </w:rPr>
        <w:t>3.1依据标准</w:t>
      </w:r>
    </w:p>
    <w:p>
      <w:pPr>
        <w:widowControl w:val="0"/>
        <w:wordWrap/>
        <w:adjustRightInd/>
        <w:snapToGrid w:val="0"/>
        <w:spacing w:line="440" w:lineRule="exact"/>
        <w:ind w:left="0" w:leftChars="0" w:right="0" w:firstLine="420" w:firstLineChars="200"/>
        <w:jc w:val="both"/>
        <w:textAlignment w:val="auto"/>
        <w:outlineLvl w:val="9"/>
        <w:rPr>
          <w:rFonts w:hint="eastAsia" w:ascii="Times New Roman" w:hAnsi="Times New Roman" w:cs="Times New Roman"/>
          <w:color w:val="000000"/>
          <w:szCs w:val="21"/>
        </w:rPr>
      </w:pPr>
      <w:r>
        <w:rPr>
          <w:rFonts w:hint="eastAsia" w:ascii="Times New Roman" w:hAnsi="Times New Roman" w:cs="Times New Roman"/>
          <w:color w:val="000000"/>
          <w:szCs w:val="21"/>
        </w:rPr>
        <w:t>GB/T 18006.1-2009《塑料一次性餐饮具通用技术要求》</w:t>
      </w:r>
    </w:p>
    <w:p>
      <w:pPr>
        <w:widowControl w:val="0"/>
        <w:wordWrap/>
        <w:adjustRightInd/>
        <w:snapToGrid w:val="0"/>
        <w:spacing w:line="440" w:lineRule="exact"/>
        <w:ind w:left="0" w:leftChars="0" w:right="0" w:firstLine="420" w:firstLineChars="200"/>
        <w:jc w:val="both"/>
        <w:textAlignment w:val="auto"/>
        <w:outlineLvl w:val="9"/>
        <w:rPr>
          <w:rFonts w:hint="eastAsia" w:ascii="Times New Roman" w:hAnsi="Times New Roman" w:cs="Times New Roman"/>
          <w:color w:val="000000"/>
          <w:szCs w:val="21"/>
        </w:rPr>
      </w:pPr>
      <w:r>
        <w:rPr>
          <w:rFonts w:hint="eastAsia" w:ascii="Times New Roman" w:hAnsi="Times New Roman" w:cs="Times New Roman"/>
          <w:color w:val="000000"/>
          <w:szCs w:val="21"/>
        </w:rPr>
        <w:fldChar w:fldCharType="begin"/>
      </w:r>
      <w:r>
        <w:rPr>
          <w:rFonts w:hint="eastAsia" w:ascii="Times New Roman" w:hAnsi="Times New Roman" w:cs="Times New Roman"/>
          <w:color w:val="000000"/>
          <w:szCs w:val="21"/>
        </w:rPr>
        <w:instrText xml:space="preserve"> HYPERLINK "http://192.168.0.253/ReportPreparationOfLF_T" </w:instrText>
      </w:r>
      <w:r>
        <w:rPr>
          <w:rFonts w:hint="eastAsia" w:ascii="Times New Roman" w:hAnsi="Times New Roman" w:cs="Times New Roman"/>
          <w:color w:val="000000"/>
          <w:szCs w:val="21"/>
        </w:rPr>
        <w:fldChar w:fldCharType="separate"/>
      </w:r>
      <w:r>
        <w:rPr>
          <w:rFonts w:hint="eastAsia" w:ascii="Times New Roman" w:hAnsi="Times New Roman" w:cs="Times New Roman"/>
          <w:color w:val="000000"/>
          <w:szCs w:val="21"/>
        </w:rPr>
        <w:t>GB/T 27590-2011《纸杯》</w:t>
      </w:r>
      <w:r>
        <w:rPr>
          <w:rFonts w:hint="eastAsia" w:ascii="Times New Roman" w:hAnsi="Times New Roman" w:cs="Times New Roman"/>
          <w:color w:val="000000"/>
          <w:szCs w:val="21"/>
        </w:rPr>
        <w:fldChar w:fldCharType="end"/>
      </w:r>
      <w:r>
        <w:rPr>
          <w:rFonts w:hint="eastAsia" w:ascii="Times New Roman" w:hAnsi="Times New Roman" w:cs="Times New Roman"/>
          <w:color w:val="000000"/>
          <w:szCs w:val="21"/>
        </w:rPr>
        <w:t xml:space="preserve">； </w:t>
      </w:r>
    </w:p>
    <w:p>
      <w:pPr>
        <w:widowControl w:val="0"/>
        <w:wordWrap/>
        <w:adjustRightInd/>
        <w:snapToGrid w:val="0"/>
        <w:spacing w:line="440" w:lineRule="exact"/>
        <w:ind w:left="0" w:leftChars="0" w:right="0" w:firstLine="420" w:firstLineChars="200"/>
        <w:jc w:val="both"/>
        <w:textAlignment w:val="auto"/>
        <w:outlineLvl w:val="9"/>
        <w:rPr>
          <w:rFonts w:hint="eastAsia" w:ascii="Times New Roman" w:hAnsi="Times New Roman" w:cs="Times New Roman"/>
          <w:color w:val="000000"/>
          <w:szCs w:val="21"/>
        </w:rPr>
      </w:pPr>
      <w:r>
        <w:rPr>
          <w:rFonts w:hint="eastAsia" w:ascii="Times New Roman" w:hAnsi="Times New Roman" w:cs="Times New Roman"/>
          <w:color w:val="000000"/>
          <w:szCs w:val="21"/>
        </w:rPr>
        <w:t>GB 4806.7-2016《食品安全国家标准 食品接触用塑料材料及制品》；</w:t>
      </w:r>
    </w:p>
    <w:p>
      <w:pPr>
        <w:widowControl w:val="0"/>
        <w:wordWrap/>
        <w:adjustRightInd/>
        <w:snapToGrid w:val="0"/>
        <w:spacing w:line="440" w:lineRule="exact"/>
        <w:ind w:left="0" w:leftChars="0" w:right="0" w:firstLine="420" w:firstLineChars="200"/>
        <w:jc w:val="both"/>
        <w:textAlignment w:val="auto"/>
        <w:outlineLvl w:val="9"/>
        <w:rPr>
          <w:rFonts w:hint="eastAsia" w:ascii="Times New Roman" w:hAnsi="Times New Roman" w:cs="Times New Roman"/>
          <w:color w:val="000000"/>
          <w:szCs w:val="21"/>
        </w:rPr>
      </w:pPr>
      <w:r>
        <w:rPr>
          <w:rFonts w:hint="eastAsia" w:ascii="Times New Roman" w:hAnsi="Times New Roman" w:cs="Times New Roman"/>
          <w:color w:val="000000"/>
          <w:szCs w:val="21"/>
        </w:rPr>
        <w:t>GB 4806.8-2016《食品安全国家标准 食品接触用纸和纸板材料及制品》；</w:t>
      </w:r>
    </w:p>
    <w:p>
      <w:pPr>
        <w:widowControl w:val="0"/>
        <w:wordWrap/>
        <w:adjustRightInd/>
        <w:snapToGrid w:val="0"/>
        <w:spacing w:line="440" w:lineRule="exact"/>
        <w:ind w:left="0" w:leftChars="0" w:right="0" w:firstLine="420" w:firstLineChars="200"/>
        <w:jc w:val="both"/>
        <w:textAlignment w:val="auto"/>
        <w:outlineLvl w:val="9"/>
        <w:rPr>
          <w:rFonts w:hint="eastAsia" w:ascii="Times New Roman" w:hAnsi="Times New Roman" w:cs="Times New Roman"/>
          <w:color w:val="000000"/>
          <w:szCs w:val="21"/>
        </w:rPr>
      </w:pPr>
      <w:r>
        <w:rPr>
          <w:rFonts w:hint="eastAsia" w:ascii="Times New Roman" w:hAnsi="Times New Roman" w:cs="Times New Roman"/>
          <w:color w:val="000000"/>
          <w:szCs w:val="21"/>
        </w:rPr>
        <w:fldChar w:fldCharType="begin"/>
      </w:r>
      <w:r>
        <w:rPr>
          <w:rFonts w:hint="eastAsia" w:ascii="Times New Roman" w:hAnsi="Times New Roman" w:cs="Times New Roman"/>
          <w:color w:val="000000"/>
          <w:szCs w:val="21"/>
        </w:rPr>
        <w:instrText xml:space="preserve"> HYPERLINK "http://192.168.0.253/ReportPreparationOfLF_T" </w:instrText>
      </w:r>
      <w:r>
        <w:rPr>
          <w:rFonts w:hint="eastAsia" w:ascii="Times New Roman" w:hAnsi="Times New Roman" w:cs="Times New Roman"/>
          <w:color w:val="000000"/>
          <w:szCs w:val="21"/>
        </w:rPr>
        <w:fldChar w:fldCharType="separate"/>
      </w:r>
      <w:r>
        <w:rPr>
          <w:rFonts w:hint="eastAsia" w:ascii="Times New Roman" w:hAnsi="Times New Roman" w:cs="Times New Roman"/>
          <w:color w:val="000000"/>
          <w:szCs w:val="21"/>
        </w:rPr>
        <w:t>GB/T 19790.2-2005《一次性筷子 第2部分:竹筷》</w:t>
      </w:r>
      <w:r>
        <w:rPr>
          <w:rFonts w:hint="eastAsia" w:ascii="Times New Roman" w:hAnsi="Times New Roman" w:cs="Times New Roman"/>
          <w:color w:val="000000"/>
          <w:szCs w:val="21"/>
        </w:rPr>
        <w:fldChar w:fldCharType="end"/>
      </w:r>
      <w:r>
        <w:rPr>
          <w:rFonts w:hint="eastAsia" w:ascii="Times New Roman" w:hAnsi="Times New Roman" w:cs="Times New Roman"/>
          <w:color w:val="000000"/>
          <w:szCs w:val="21"/>
        </w:rPr>
        <w:t>；</w:t>
      </w:r>
    </w:p>
    <w:p>
      <w:pPr>
        <w:widowControl w:val="0"/>
        <w:wordWrap/>
        <w:adjustRightInd/>
        <w:snapToGrid w:val="0"/>
        <w:spacing w:line="440" w:lineRule="exact"/>
        <w:ind w:left="0" w:leftChars="0" w:right="0" w:firstLine="420" w:firstLineChars="200"/>
        <w:jc w:val="both"/>
        <w:textAlignment w:val="auto"/>
        <w:outlineLvl w:val="9"/>
        <w:rPr>
          <w:rFonts w:hint="eastAsia" w:ascii="Times New Roman" w:hAnsi="Times New Roman" w:cs="Times New Roman"/>
          <w:color w:val="000000"/>
          <w:szCs w:val="21"/>
        </w:rPr>
      </w:pPr>
      <w:r>
        <w:rPr>
          <w:rFonts w:hint="eastAsia" w:ascii="Times New Roman" w:hAnsi="Times New Roman" w:cs="Times New Roman"/>
          <w:color w:val="000000"/>
          <w:szCs w:val="21"/>
        </w:rPr>
        <w:fldChar w:fldCharType="begin"/>
      </w:r>
      <w:r>
        <w:rPr>
          <w:rFonts w:hint="eastAsia" w:ascii="Times New Roman" w:hAnsi="Times New Roman" w:cs="Times New Roman"/>
          <w:color w:val="000000"/>
          <w:szCs w:val="21"/>
        </w:rPr>
        <w:instrText xml:space="preserve"> HYPERLINK "http://192.168.0.253/ReportPreparationOfLF_T" </w:instrText>
      </w:r>
      <w:r>
        <w:rPr>
          <w:rFonts w:hint="eastAsia" w:ascii="Times New Roman" w:hAnsi="Times New Roman" w:cs="Times New Roman"/>
          <w:color w:val="000000"/>
          <w:szCs w:val="21"/>
        </w:rPr>
        <w:fldChar w:fldCharType="separate"/>
      </w:r>
      <w:r>
        <w:rPr>
          <w:rFonts w:hint="eastAsia" w:ascii="Times New Roman" w:hAnsi="Times New Roman" w:cs="Times New Roman"/>
          <w:color w:val="000000"/>
          <w:szCs w:val="21"/>
        </w:rPr>
        <w:t>GB/T 27591-2011《纸碗》</w:t>
      </w:r>
      <w:r>
        <w:rPr>
          <w:rFonts w:hint="eastAsia" w:ascii="Times New Roman" w:hAnsi="Times New Roman" w:cs="Times New Roman"/>
          <w:color w:val="000000"/>
          <w:szCs w:val="21"/>
        </w:rPr>
        <w:fldChar w:fldCharType="end"/>
      </w:r>
      <w:r>
        <w:rPr>
          <w:rFonts w:hint="eastAsia" w:ascii="Times New Roman" w:hAnsi="Times New Roman" w:cs="Times New Roman"/>
          <w:color w:val="000000"/>
          <w:szCs w:val="21"/>
        </w:rPr>
        <w:t>；</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snapToGrid w:val="0"/>
        <w:spacing w:line="440" w:lineRule="exact"/>
        <w:rPr>
          <w:rFonts w:ascii="Times New Roman" w:hAnsi="Times New Roman" w:cs="Times New Roman"/>
          <w:color w:val="000000"/>
          <w:szCs w:val="21"/>
        </w:rPr>
      </w:pPr>
      <w:r>
        <w:rPr>
          <w:rFonts w:ascii="Times New Roman" w:hAnsi="Times New Roman" w:cs="Times New Roman"/>
          <w:color w:val="000000"/>
          <w:szCs w:val="21"/>
        </w:rPr>
        <w:t>3.2判定原则</w:t>
      </w:r>
    </w:p>
    <w:p>
      <w:pPr>
        <w:snapToGrid w:val="0"/>
        <w:spacing w:line="440" w:lineRule="exact"/>
        <w:ind w:firstLine="420" w:firstLineChars="200"/>
      </w:pPr>
      <w: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Times New Roman" w:hAnsi="Times New Roman" w:eastAsia="仿宋_GB2312" w:cs="Times New Roman"/>
          <w:color w:val="000000"/>
          <w:kern w:val="0"/>
          <w:sz w:val="28"/>
          <w:szCs w:val="28"/>
        </w:rPr>
      </w:pPr>
      <w:r>
        <w:rPr>
          <w:rFonts w:ascii="Times New Roman" w:hAnsi="Times New Roman" w:cs="Times New Roman"/>
          <w:color w:val="000000"/>
          <w:szCs w:val="21"/>
        </w:rPr>
        <w:t>若被检产品明示的质量要求缺少本细则中检验项目依据的推荐性标准要求时，该项目不参与判定。</w:t>
      </w:r>
    </w:p>
    <w:sectPr>
      <w:headerReference r:id="rId4" w:type="default"/>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0"/>
        <w:sz w:val="18"/>
        <w:szCs w:val="18"/>
        <w:lang w:val="en-US" w:eastAsia="zh-CN" w:bidi="ar-SA"/>
      </w:rPr>
      <w:pict>
        <v:rect id="Quad Arrow 2049" o:spid="_x0000_s1025" style="position:absolute;left:0;margin-top:0pt;height:10.35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PAGE  \* MERGEFORMAT </w:instrText>
                </w:r>
                <w:r>
                  <w:rPr>
                    <w:rFonts w:ascii="Times New Roman" w:hAnsi="Times New Roman" w:cs="Times New Roman"/>
                    <w:sz w:val="18"/>
                  </w:rPr>
                  <w:fldChar w:fldCharType="separate"/>
                </w:r>
                <w:r>
                  <w:rPr>
                    <w:rFonts w:ascii="Times New Roman" w:hAnsi="Times New Roman" w:cs="Times New Roman"/>
                    <w:sz w:val="18"/>
                  </w:rPr>
                  <w:t>5</w:t>
                </w:r>
                <w:r>
                  <w:rPr>
                    <w:rFonts w:ascii="Times New Roman" w:hAnsi="Times New Roman" w:cs="Times New Roman"/>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kwMjg2MzM2YzU0YmM3MzcyYTY5NmY3NGMzOTdhZjQifQ=="/>
  </w:docVars>
  <w:rsids>
    <w:rsidRoot w:val="00172A27"/>
    <w:rsid w:val="0000220E"/>
    <w:rsid w:val="000363F2"/>
    <w:rsid w:val="00037A5E"/>
    <w:rsid w:val="0004098A"/>
    <w:rsid w:val="00044462"/>
    <w:rsid w:val="00054578"/>
    <w:rsid w:val="00066D80"/>
    <w:rsid w:val="00085F08"/>
    <w:rsid w:val="00087F44"/>
    <w:rsid w:val="00090404"/>
    <w:rsid w:val="00094C82"/>
    <w:rsid w:val="000A0119"/>
    <w:rsid w:val="000E1EA7"/>
    <w:rsid w:val="001029DA"/>
    <w:rsid w:val="00141325"/>
    <w:rsid w:val="00160760"/>
    <w:rsid w:val="00172A27"/>
    <w:rsid w:val="00187CF5"/>
    <w:rsid w:val="001B10A4"/>
    <w:rsid w:val="001B4024"/>
    <w:rsid w:val="001B65C7"/>
    <w:rsid w:val="001C7687"/>
    <w:rsid w:val="001C76A0"/>
    <w:rsid w:val="001E5A12"/>
    <w:rsid w:val="001F02C6"/>
    <w:rsid w:val="0020662E"/>
    <w:rsid w:val="00206E72"/>
    <w:rsid w:val="0021421A"/>
    <w:rsid w:val="002329EB"/>
    <w:rsid w:val="00235390"/>
    <w:rsid w:val="00243D89"/>
    <w:rsid w:val="00252B90"/>
    <w:rsid w:val="002722AD"/>
    <w:rsid w:val="00287856"/>
    <w:rsid w:val="00294F78"/>
    <w:rsid w:val="002A172B"/>
    <w:rsid w:val="002B17F3"/>
    <w:rsid w:val="002C15A1"/>
    <w:rsid w:val="002D11CA"/>
    <w:rsid w:val="002E33FF"/>
    <w:rsid w:val="002E53C1"/>
    <w:rsid w:val="002E6819"/>
    <w:rsid w:val="002F561E"/>
    <w:rsid w:val="002F6657"/>
    <w:rsid w:val="003055EB"/>
    <w:rsid w:val="00321350"/>
    <w:rsid w:val="00335D1F"/>
    <w:rsid w:val="003501A2"/>
    <w:rsid w:val="003519CC"/>
    <w:rsid w:val="0035550A"/>
    <w:rsid w:val="00363F8A"/>
    <w:rsid w:val="00373A93"/>
    <w:rsid w:val="00374EFB"/>
    <w:rsid w:val="00396F86"/>
    <w:rsid w:val="003A59E1"/>
    <w:rsid w:val="003B6B06"/>
    <w:rsid w:val="003B7C3A"/>
    <w:rsid w:val="003C1D8F"/>
    <w:rsid w:val="004233F4"/>
    <w:rsid w:val="00432817"/>
    <w:rsid w:val="00434C55"/>
    <w:rsid w:val="004427C8"/>
    <w:rsid w:val="00443D10"/>
    <w:rsid w:val="0045643E"/>
    <w:rsid w:val="00463620"/>
    <w:rsid w:val="00473C6F"/>
    <w:rsid w:val="004C481C"/>
    <w:rsid w:val="004C6409"/>
    <w:rsid w:val="004E06B0"/>
    <w:rsid w:val="00502E08"/>
    <w:rsid w:val="00511C4F"/>
    <w:rsid w:val="0051594D"/>
    <w:rsid w:val="005313EE"/>
    <w:rsid w:val="00532BA3"/>
    <w:rsid w:val="00560F30"/>
    <w:rsid w:val="00561BF0"/>
    <w:rsid w:val="00563B83"/>
    <w:rsid w:val="00564022"/>
    <w:rsid w:val="00575747"/>
    <w:rsid w:val="005849E5"/>
    <w:rsid w:val="00593E05"/>
    <w:rsid w:val="00595170"/>
    <w:rsid w:val="005972E7"/>
    <w:rsid w:val="005A0266"/>
    <w:rsid w:val="005B35C8"/>
    <w:rsid w:val="005B5A3B"/>
    <w:rsid w:val="005B7957"/>
    <w:rsid w:val="005C7C93"/>
    <w:rsid w:val="005D785E"/>
    <w:rsid w:val="005E4D9D"/>
    <w:rsid w:val="005E540A"/>
    <w:rsid w:val="005F4CBA"/>
    <w:rsid w:val="0060542D"/>
    <w:rsid w:val="0060612F"/>
    <w:rsid w:val="00614F79"/>
    <w:rsid w:val="00622532"/>
    <w:rsid w:val="00673DC1"/>
    <w:rsid w:val="00674415"/>
    <w:rsid w:val="00681F55"/>
    <w:rsid w:val="0069248F"/>
    <w:rsid w:val="006B429A"/>
    <w:rsid w:val="006C5117"/>
    <w:rsid w:val="006D0F12"/>
    <w:rsid w:val="006D5FDF"/>
    <w:rsid w:val="006D7F3F"/>
    <w:rsid w:val="006E143C"/>
    <w:rsid w:val="006F2559"/>
    <w:rsid w:val="007007C9"/>
    <w:rsid w:val="007105B0"/>
    <w:rsid w:val="00711980"/>
    <w:rsid w:val="007221A4"/>
    <w:rsid w:val="00727E04"/>
    <w:rsid w:val="007349E5"/>
    <w:rsid w:val="007448B6"/>
    <w:rsid w:val="0076133C"/>
    <w:rsid w:val="00762D24"/>
    <w:rsid w:val="007755ED"/>
    <w:rsid w:val="007955DE"/>
    <w:rsid w:val="007A207F"/>
    <w:rsid w:val="007D711F"/>
    <w:rsid w:val="007D7C97"/>
    <w:rsid w:val="007D7DAE"/>
    <w:rsid w:val="007F3223"/>
    <w:rsid w:val="007F3933"/>
    <w:rsid w:val="008050F4"/>
    <w:rsid w:val="00815921"/>
    <w:rsid w:val="00821437"/>
    <w:rsid w:val="00840BA5"/>
    <w:rsid w:val="00846DA8"/>
    <w:rsid w:val="00856B2A"/>
    <w:rsid w:val="00856F6A"/>
    <w:rsid w:val="00860E80"/>
    <w:rsid w:val="008A4668"/>
    <w:rsid w:val="008D1D3C"/>
    <w:rsid w:val="008E22BE"/>
    <w:rsid w:val="008F5A6C"/>
    <w:rsid w:val="009224F9"/>
    <w:rsid w:val="00936A62"/>
    <w:rsid w:val="00944380"/>
    <w:rsid w:val="0095370B"/>
    <w:rsid w:val="009560AC"/>
    <w:rsid w:val="0096366F"/>
    <w:rsid w:val="009878D7"/>
    <w:rsid w:val="009960FE"/>
    <w:rsid w:val="009B474E"/>
    <w:rsid w:val="009B4AE8"/>
    <w:rsid w:val="009D17C2"/>
    <w:rsid w:val="009D7932"/>
    <w:rsid w:val="009E0F21"/>
    <w:rsid w:val="009E3B65"/>
    <w:rsid w:val="009F44A9"/>
    <w:rsid w:val="00A212FA"/>
    <w:rsid w:val="00A33DCA"/>
    <w:rsid w:val="00A4593C"/>
    <w:rsid w:val="00A46982"/>
    <w:rsid w:val="00A61092"/>
    <w:rsid w:val="00A7082C"/>
    <w:rsid w:val="00A72690"/>
    <w:rsid w:val="00A81572"/>
    <w:rsid w:val="00A84A1E"/>
    <w:rsid w:val="00A956BE"/>
    <w:rsid w:val="00A979D8"/>
    <w:rsid w:val="00AA5B66"/>
    <w:rsid w:val="00AB4E3F"/>
    <w:rsid w:val="00AC43E2"/>
    <w:rsid w:val="00AC64BE"/>
    <w:rsid w:val="00AC6E9E"/>
    <w:rsid w:val="00B02823"/>
    <w:rsid w:val="00B02FB8"/>
    <w:rsid w:val="00B03342"/>
    <w:rsid w:val="00B1178A"/>
    <w:rsid w:val="00B13DF4"/>
    <w:rsid w:val="00B2617E"/>
    <w:rsid w:val="00B33193"/>
    <w:rsid w:val="00B3728B"/>
    <w:rsid w:val="00B465B6"/>
    <w:rsid w:val="00B56E65"/>
    <w:rsid w:val="00B726A3"/>
    <w:rsid w:val="00B96189"/>
    <w:rsid w:val="00B96254"/>
    <w:rsid w:val="00BA1DFD"/>
    <w:rsid w:val="00BD4F20"/>
    <w:rsid w:val="00BE07F5"/>
    <w:rsid w:val="00BE6A5E"/>
    <w:rsid w:val="00BF46FF"/>
    <w:rsid w:val="00BF4DD8"/>
    <w:rsid w:val="00C02621"/>
    <w:rsid w:val="00C339C1"/>
    <w:rsid w:val="00C36CF2"/>
    <w:rsid w:val="00C43E8D"/>
    <w:rsid w:val="00C64AF2"/>
    <w:rsid w:val="00C65B18"/>
    <w:rsid w:val="00C70BD9"/>
    <w:rsid w:val="00C810DA"/>
    <w:rsid w:val="00CA18BC"/>
    <w:rsid w:val="00CA3870"/>
    <w:rsid w:val="00CD4E16"/>
    <w:rsid w:val="00CE6C12"/>
    <w:rsid w:val="00CF494B"/>
    <w:rsid w:val="00D00D6E"/>
    <w:rsid w:val="00D11200"/>
    <w:rsid w:val="00D133A6"/>
    <w:rsid w:val="00D169E6"/>
    <w:rsid w:val="00D17400"/>
    <w:rsid w:val="00D17561"/>
    <w:rsid w:val="00D24B06"/>
    <w:rsid w:val="00D3485D"/>
    <w:rsid w:val="00D3785C"/>
    <w:rsid w:val="00D46141"/>
    <w:rsid w:val="00D52452"/>
    <w:rsid w:val="00D6601F"/>
    <w:rsid w:val="00D74731"/>
    <w:rsid w:val="00D80E9E"/>
    <w:rsid w:val="00DB6589"/>
    <w:rsid w:val="00DC355D"/>
    <w:rsid w:val="00DD03B2"/>
    <w:rsid w:val="00DE49F1"/>
    <w:rsid w:val="00DF0948"/>
    <w:rsid w:val="00E04312"/>
    <w:rsid w:val="00E1017E"/>
    <w:rsid w:val="00E543B9"/>
    <w:rsid w:val="00E6770F"/>
    <w:rsid w:val="00EA23D8"/>
    <w:rsid w:val="00EB73F5"/>
    <w:rsid w:val="00EC71D1"/>
    <w:rsid w:val="00ED12C2"/>
    <w:rsid w:val="00ED4EF4"/>
    <w:rsid w:val="00EE6070"/>
    <w:rsid w:val="00EF1399"/>
    <w:rsid w:val="00EF1781"/>
    <w:rsid w:val="00EF2D24"/>
    <w:rsid w:val="00EF59BD"/>
    <w:rsid w:val="00EF74F8"/>
    <w:rsid w:val="00F040F0"/>
    <w:rsid w:val="00F07536"/>
    <w:rsid w:val="00F07E21"/>
    <w:rsid w:val="00F24C07"/>
    <w:rsid w:val="00F27406"/>
    <w:rsid w:val="00F3381E"/>
    <w:rsid w:val="00F341DF"/>
    <w:rsid w:val="00F4435D"/>
    <w:rsid w:val="00F50042"/>
    <w:rsid w:val="00F576FA"/>
    <w:rsid w:val="00F6080B"/>
    <w:rsid w:val="00F62AF4"/>
    <w:rsid w:val="00F63630"/>
    <w:rsid w:val="00F64E28"/>
    <w:rsid w:val="00F81128"/>
    <w:rsid w:val="00F86308"/>
    <w:rsid w:val="00FD5BDC"/>
    <w:rsid w:val="00FD673A"/>
    <w:rsid w:val="00FE1797"/>
    <w:rsid w:val="00FE43DE"/>
    <w:rsid w:val="00FF3D22"/>
    <w:rsid w:val="03420B6E"/>
    <w:rsid w:val="034315CF"/>
    <w:rsid w:val="03AB3C55"/>
    <w:rsid w:val="03EB6CC5"/>
    <w:rsid w:val="0527276B"/>
    <w:rsid w:val="052A0788"/>
    <w:rsid w:val="057E4E3A"/>
    <w:rsid w:val="05A306A3"/>
    <w:rsid w:val="05EE3E15"/>
    <w:rsid w:val="0660171D"/>
    <w:rsid w:val="06F66E47"/>
    <w:rsid w:val="071E7B51"/>
    <w:rsid w:val="071F2356"/>
    <w:rsid w:val="07B96286"/>
    <w:rsid w:val="086C7AD9"/>
    <w:rsid w:val="08C71214"/>
    <w:rsid w:val="091F17F6"/>
    <w:rsid w:val="099F0BE2"/>
    <w:rsid w:val="09B27B45"/>
    <w:rsid w:val="0ADD615D"/>
    <w:rsid w:val="0BA4728A"/>
    <w:rsid w:val="0BAC6727"/>
    <w:rsid w:val="0D9E37BA"/>
    <w:rsid w:val="0DD52A84"/>
    <w:rsid w:val="0F470958"/>
    <w:rsid w:val="0FE74C65"/>
    <w:rsid w:val="10990BCE"/>
    <w:rsid w:val="10B52CC0"/>
    <w:rsid w:val="10CB5DDD"/>
    <w:rsid w:val="115060E6"/>
    <w:rsid w:val="11BA4909"/>
    <w:rsid w:val="12875300"/>
    <w:rsid w:val="12D85563"/>
    <w:rsid w:val="12F37975"/>
    <w:rsid w:val="142B3002"/>
    <w:rsid w:val="154121BD"/>
    <w:rsid w:val="168843E6"/>
    <w:rsid w:val="17180F31"/>
    <w:rsid w:val="18531198"/>
    <w:rsid w:val="18D17EB7"/>
    <w:rsid w:val="19060993"/>
    <w:rsid w:val="1A154011"/>
    <w:rsid w:val="1A261379"/>
    <w:rsid w:val="1A4F6C6F"/>
    <w:rsid w:val="1AC83A48"/>
    <w:rsid w:val="1B9D6088"/>
    <w:rsid w:val="1C1740F4"/>
    <w:rsid w:val="1D2439AB"/>
    <w:rsid w:val="1D4A581B"/>
    <w:rsid w:val="1D6E3F3B"/>
    <w:rsid w:val="1D7B75D7"/>
    <w:rsid w:val="1E094535"/>
    <w:rsid w:val="1F2247BF"/>
    <w:rsid w:val="1FA54E17"/>
    <w:rsid w:val="214B7494"/>
    <w:rsid w:val="2169379A"/>
    <w:rsid w:val="228A54D1"/>
    <w:rsid w:val="23A114E9"/>
    <w:rsid w:val="24BC6C98"/>
    <w:rsid w:val="25426764"/>
    <w:rsid w:val="2548254D"/>
    <w:rsid w:val="25B22F1C"/>
    <w:rsid w:val="2620001C"/>
    <w:rsid w:val="263B2391"/>
    <w:rsid w:val="2665552A"/>
    <w:rsid w:val="267619F4"/>
    <w:rsid w:val="276F2606"/>
    <w:rsid w:val="27B941DA"/>
    <w:rsid w:val="29301B61"/>
    <w:rsid w:val="29391F4A"/>
    <w:rsid w:val="2A161CFE"/>
    <w:rsid w:val="2A6C697C"/>
    <w:rsid w:val="2A7F46D8"/>
    <w:rsid w:val="2AB27959"/>
    <w:rsid w:val="2BD53C6E"/>
    <w:rsid w:val="2C342EB0"/>
    <w:rsid w:val="2CD71218"/>
    <w:rsid w:val="2D33329E"/>
    <w:rsid w:val="2D8A7A97"/>
    <w:rsid w:val="2DB620F8"/>
    <w:rsid w:val="2DC04470"/>
    <w:rsid w:val="2DE14792"/>
    <w:rsid w:val="2E18643C"/>
    <w:rsid w:val="2E4A2816"/>
    <w:rsid w:val="2EAF2A67"/>
    <w:rsid w:val="2EC6048E"/>
    <w:rsid w:val="30B322E9"/>
    <w:rsid w:val="30EA3B02"/>
    <w:rsid w:val="313531CB"/>
    <w:rsid w:val="3138396F"/>
    <w:rsid w:val="31435CAE"/>
    <w:rsid w:val="31C313F0"/>
    <w:rsid w:val="31C6348B"/>
    <w:rsid w:val="31F2138C"/>
    <w:rsid w:val="326726C4"/>
    <w:rsid w:val="36AF77B4"/>
    <w:rsid w:val="371E0D83"/>
    <w:rsid w:val="3762046C"/>
    <w:rsid w:val="38611B76"/>
    <w:rsid w:val="38727FED"/>
    <w:rsid w:val="3931470C"/>
    <w:rsid w:val="3A265F1F"/>
    <w:rsid w:val="3A934088"/>
    <w:rsid w:val="3B934FC1"/>
    <w:rsid w:val="3BA04226"/>
    <w:rsid w:val="3C79654A"/>
    <w:rsid w:val="3CA83A9D"/>
    <w:rsid w:val="3CD04BCF"/>
    <w:rsid w:val="3E1E1B64"/>
    <w:rsid w:val="3E2F5776"/>
    <w:rsid w:val="3E8B45DA"/>
    <w:rsid w:val="3EB83DCD"/>
    <w:rsid w:val="3F421126"/>
    <w:rsid w:val="3F981AB8"/>
    <w:rsid w:val="407B2714"/>
    <w:rsid w:val="40F0452A"/>
    <w:rsid w:val="41204246"/>
    <w:rsid w:val="41C1669E"/>
    <w:rsid w:val="44514694"/>
    <w:rsid w:val="44E05F49"/>
    <w:rsid w:val="452D0822"/>
    <w:rsid w:val="458D067B"/>
    <w:rsid w:val="45F76D59"/>
    <w:rsid w:val="46B44D75"/>
    <w:rsid w:val="46DB28CC"/>
    <w:rsid w:val="48E36992"/>
    <w:rsid w:val="49C55BD3"/>
    <w:rsid w:val="4BFB0768"/>
    <w:rsid w:val="4CFE3307"/>
    <w:rsid w:val="4E1F33C5"/>
    <w:rsid w:val="4E5F16BB"/>
    <w:rsid w:val="4E860FA1"/>
    <w:rsid w:val="4F373BAB"/>
    <w:rsid w:val="4FCF573A"/>
    <w:rsid w:val="5001795C"/>
    <w:rsid w:val="50366423"/>
    <w:rsid w:val="50D67249"/>
    <w:rsid w:val="521119EC"/>
    <w:rsid w:val="52245352"/>
    <w:rsid w:val="526861E8"/>
    <w:rsid w:val="527D57C5"/>
    <w:rsid w:val="54411FC1"/>
    <w:rsid w:val="544E2698"/>
    <w:rsid w:val="54DF361A"/>
    <w:rsid w:val="56335700"/>
    <w:rsid w:val="57073D5C"/>
    <w:rsid w:val="57A77326"/>
    <w:rsid w:val="58ED72C2"/>
    <w:rsid w:val="58EF44A1"/>
    <w:rsid w:val="59006DB8"/>
    <w:rsid w:val="59267A29"/>
    <w:rsid w:val="59441517"/>
    <w:rsid w:val="59E977F5"/>
    <w:rsid w:val="5A8B48C0"/>
    <w:rsid w:val="5BB5102B"/>
    <w:rsid w:val="5CA130D7"/>
    <w:rsid w:val="5D3F2988"/>
    <w:rsid w:val="5EAE0524"/>
    <w:rsid w:val="600902F1"/>
    <w:rsid w:val="607B4673"/>
    <w:rsid w:val="60B43818"/>
    <w:rsid w:val="61992A8D"/>
    <w:rsid w:val="61BE1BE0"/>
    <w:rsid w:val="61F9478A"/>
    <w:rsid w:val="62262809"/>
    <w:rsid w:val="625A4C21"/>
    <w:rsid w:val="625A70D2"/>
    <w:rsid w:val="629846B9"/>
    <w:rsid w:val="62F316FB"/>
    <w:rsid w:val="62FF08DB"/>
    <w:rsid w:val="63D0037C"/>
    <w:rsid w:val="651D7AC2"/>
    <w:rsid w:val="65907399"/>
    <w:rsid w:val="66160E39"/>
    <w:rsid w:val="66277044"/>
    <w:rsid w:val="662A6EC1"/>
    <w:rsid w:val="66E40B00"/>
    <w:rsid w:val="672406A3"/>
    <w:rsid w:val="680E79E7"/>
    <w:rsid w:val="68831E44"/>
    <w:rsid w:val="68D54286"/>
    <w:rsid w:val="691B69CA"/>
    <w:rsid w:val="69210676"/>
    <w:rsid w:val="699C300C"/>
    <w:rsid w:val="69D46176"/>
    <w:rsid w:val="6A041D89"/>
    <w:rsid w:val="6A064B62"/>
    <w:rsid w:val="6A566CE7"/>
    <w:rsid w:val="6A6F7CF1"/>
    <w:rsid w:val="6A752975"/>
    <w:rsid w:val="6AAD336C"/>
    <w:rsid w:val="6B470C97"/>
    <w:rsid w:val="6B705295"/>
    <w:rsid w:val="6C482A9E"/>
    <w:rsid w:val="6C5A7282"/>
    <w:rsid w:val="6C9877A3"/>
    <w:rsid w:val="6D771751"/>
    <w:rsid w:val="6D9E6983"/>
    <w:rsid w:val="6DF167FB"/>
    <w:rsid w:val="6F2D28CB"/>
    <w:rsid w:val="6F407C43"/>
    <w:rsid w:val="6F854881"/>
    <w:rsid w:val="70506986"/>
    <w:rsid w:val="72B66778"/>
    <w:rsid w:val="73B2720E"/>
    <w:rsid w:val="73BD67A5"/>
    <w:rsid w:val="73C96E71"/>
    <w:rsid w:val="7548780A"/>
    <w:rsid w:val="768D1B33"/>
    <w:rsid w:val="77435A7B"/>
    <w:rsid w:val="77925712"/>
    <w:rsid w:val="788406DA"/>
    <w:rsid w:val="78C250A9"/>
    <w:rsid w:val="78DB4D9F"/>
    <w:rsid w:val="78E67D28"/>
    <w:rsid w:val="793D0567"/>
    <w:rsid w:val="7A7B0935"/>
    <w:rsid w:val="7B6371D7"/>
    <w:rsid w:val="7C863648"/>
    <w:rsid w:val="7CA73E5D"/>
    <w:rsid w:val="7D07694A"/>
    <w:rsid w:val="7DB279F6"/>
    <w:rsid w:val="7E7E52B7"/>
    <w:rsid w:val="7EAB2839"/>
    <w:rsid w:val="7EBB7774"/>
    <w:rsid w:val="7ED04CBC"/>
    <w:rsid w:val="7ED53FCD"/>
    <w:rsid w:val="7FC34D9A"/>
    <w:rsid w:val="7FC92D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9">
    <w:name w:val="Default Paragraph Font"/>
    <w:unhideWhenUsed/>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3">
    <w:name w:val="annotation subject"/>
    <w:basedOn w:val="4"/>
    <w:next w:val="4"/>
    <w:link w:val="18"/>
    <w:unhideWhenUsed/>
    <w:qFormat/>
    <w:uiPriority w:val="99"/>
    <w:rPr>
      <w:b/>
      <w:bCs/>
      <w:kern w:val="2"/>
      <w:sz w:val="21"/>
      <w:szCs w:val="22"/>
    </w:rPr>
  </w:style>
  <w:style w:type="paragraph" w:styleId="4">
    <w:name w:val="annotation text"/>
    <w:basedOn w:val="1"/>
    <w:link w:val="20"/>
    <w:qFormat/>
    <w:uiPriority w:val="0"/>
    <w:pPr>
      <w:jc w:val="left"/>
    </w:pPr>
    <w:rPr>
      <w:rFonts w:cs="Times New Roman"/>
      <w:kern w:val="0"/>
      <w:sz w:val="20"/>
      <w:szCs w:val="21"/>
    </w:rPr>
  </w:style>
  <w:style w:type="paragraph" w:styleId="5">
    <w:name w:val="Balloon Text"/>
    <w:basedOn w:val="1"/>
    <w:link w:val="22"/>
    <w:unhideWhenUsed/>
    <w:qFormat/>
    <w:uiPriority w:val="99"/>
    <w:rPr>
      <w:rFonts w:cs="Times New Roman"/>
      <w:kern w:val="0"/>
      <w:sz w:val="18"/>
      <w:szCs w:val="18"/>
    </w:rPr>
  </w:style>
  <w:style w:type="paragraph" w:styleId="6">
    <w:name w:val="footer"/>
    <w:basedOn w:val="1"/>
    <w:link w:val="21"/>
    <w:unhideWhenUsed/>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rPr>
  </w:style>
  <w:style w:type="character" w:styleId="11">
    <w:name w:val="page number"/>
    <w:basedOn w:val="9"/>
    <w:unhideWhenUsed/>
    <w:qFormat/>
    <w:uiPriority w:val="99"/>
    <w:rPr/>
  </w:style>
  <w:style w:type="character" w:styleId="12">
    <w:name w:val="Hyperlink"/>
    <w:basedOn w:val="9"/>
    <w:unhideWhenUsed/>
    <w:uiPriority w:val="0"/>
    <w:rPr>
      <w:color w:val="0000FF"/>
      <w:u w:val="single"/>
    </w:rPr>
  </w:style>
  <w:style w:type="character" w:styleId="13">
    <w:name w:val="annotation reference"/>
    <w:qFormat/>
    <w:uiPriority w:val="0"/>
    <w:rPr>
      <w:sz w:val="21"/>
      <w:szCs w:val="21"/>
    </w:rPr>
  </w:style>
  <w:style w:type="table" w:styleId="15">
    <w:name w:val="Table Grid"/>
    <w:basedOn w:val="14"/>
    <w:qFormat/>
    <w:uiPriority w:val="3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6">
    <w:name w:val="修订1"/>
    <w:unhideWhenUsed/>
    <w:qFormat/>
    <w:uiPriority w:val="99"/>
    <w:rPr>
      <w:rFonts w:ascii="Calibri" w:hAnsi="Calibri" w:eastAsia="宋体" w:cs="Calibri"/>
      <w:kern w:val="2"/>
      <w:sz w:val="21"/>
      <w:szCs w:val="22"/>
      <w:lang w:val="en-US" w:eastAsia="zh-CN" w:bidi="ar-SA"/>
    </w:rPr>
  </w:style>
  <w:style w:type="paragraph" w:customStyle="1" w:styleId="17">
    <w:name w:val="列表段落1"/>
    <w:basedOn w:val="1"/>
    <w:qFormat/>
    <w:uiPriority w:val="34"/>
    <w:pPr>
      <w:ind w:firstLine="420" w:firstLineChars="200"/>
    </w:pPr>
  </w:style>
  <w:style w:type="character" w:customStyle="1" w:styleId="18">
    <w:name w:val="批注主题 字符"/>
    <w:link w:val="3"/>
    <w:semiHidden/>
    <w:qFormat/>
    <w:uiPriority w:val="99"/>
    <w:rPr>
      <w:rFonts w:ascii="Calibri" w:hAnsi="Calibri" w:eastAsia="宋体" w:cs="Calibri"/>
      <w:b/>
      <w:bCs/>
      <w:kern w:val="2"/>
      <w:sz w:val="21"/>
      <w:szCs w:val="22"/>
    </w:rPr>
  </w:style>
  <w:style w:type="character" w:customStyle="1" w:styleId="19">
    <w:name w:val="页眉 字符"/>
    <w:link w:val="7"/>
    <w:qFormat/>
    <w:uiPriority w:val="99"/>
    <w:rPr>
      <w:sz w:val="18"/>
      <w:szCs w:val="18"/>
    </w:rPr>
  </w:style>
  <w:style w:type="character" w:customStyle="1" w:styleId="20">
    <w:name w:val="批注文字 字符"/>
    <w:link w:val="4"/>
    <w:qFormat/>
    <w:uiPriority w:val="0"/>
    <w:rPr>
      <w:rFonts w:ascii="Calibri" w:hAnsi="Calibri" w:eastAsia="宋体" w:cs="Calibri"/>
      <w:szCs w:val="21"/>
    </w:rPr>
  </w:style>
  <w:style w:type="character" w:customStyle="1" w:styleId="21">
    <w:name w:val="页脚 字符"/>
    <w:link w:val="6"/>
    <w:qFormat/>
    <w:uiPriority w:val="99"/>
    <w:rPr>
      <w:sz w:val="18"/>
      <w:szCs w:val="18"/>
    </w:rPr>
  </w:style>
  <w:style w:type="character" w:customStyle="1" w:styleId="22">
    <w:name w:val="批注框文本 字符"/>
    <w:link w:val="5"/>
    <w:semiHidden/>
    <w:qFormat/>
    <w:uiPriority w:val="99"/>
    <w:rPr>
      <w:sz w:val="18"/>
      <w:szCs w:val="18"/>
    </w:rPr>
  </w:style>
  <w:style w:type="character" w:customStyle="1" w:styleId="23">
    <w:name w:val="font21"/>
    <w:basedOn w:val="9"/>
    <w:uiPriority w:val="0"/>
    <w:rPr>
      <w:rFonts w:hint="default" w:ascii="Times New Roman" w:hAnsi="Times New Roman" w:cs="Times New Roman"/>
      <w:color w:val="000000"/>
      <w:sz w:val="20"/>
      <w:szCs w:val="20"/>
      <w:u w:val="none"/>
    </w:rPr>
  </w:style>
  <w:style w:type="character" w:customStyle="1" w:styleId="24">
    <w:name w:val="font1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683</Words>
  <Characters>3896</Characters>
  <Lines>32</Lines>
  <Paragraphs>9</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2025-03-27T08:56:00Z</dcterms:created>
  <dc:creator>longdaxingye01@outlook.com</dc:creator>
  <cp:lastModifiedBy>孙晓刚</cp:lastModifiedBy>
  <cp:lastPrinted>2023-05-06T07:04:00Z</cp:lastPrinted>
  <dcterms:modified xsi:type="dcterms:W3CDTF">2025-05-30T03:03:32Z</dcterms:modified>
  <dc:title>北京市学生用品产品质量监督抽查实施细则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61DFF3FC6AEC42D192D6EB1F0A20B98A</vt:lpwstr>
  </property>
</Properties>
</file>