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44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2025年北京市</w:t>
      </w:r>
      <w:r>
        <w:rPr>
          <w:rFonts w:hint="eastAsia" w:ascii="方正小标宋简体" w:hAnsi="方正小标宋简体" w:eastAsia="方正小标宋简体" w:cs="方正小标宋简体"/>
          <w:color w:val="000000"/>
          <w:sz w:val="32"/>
          <w:szCs w:val="32"/>
          <w:lang w:eastAsia="zh-CN"/>
        </w:rPr>
        <w:t>东城区</w:t>
      </w:r>
      <w:r>
        <w:rPr>
          <w:rFonts w:hint="eastAsia" w:ascii="方正小标宋简体" w:hAnsi="方正小标宋简体" w:eastAsia="方正小标宋简体" w:cs="方正小标宋简体"/>
          <w:color w:val="000000"/>
          <w:sz w:val="32"/>
          <w:szCs w:val="32"/>
        </w:rPr>
        <w:t>玩具产品质量监督抽查实施细则</w:t>
      </w:r>
    </w:p>
    <w:p>
      <w:pPr>
        <w:snapToGrid w:val="0"/>
        <w:spacing w:line="440" w:lineRule="exact"/>
        <w:rPr>
          <w:rFonts w:ascii="Times New Roman" w:hAnsi="Times New Roman" w:eastAsia="黑体"/>
          <w:color w:val="000000"/>
          <w:szCs w:val="21"/>
        </w:rPr>
      </w:pPr>
    </w:p>
    <w:p>
      <w:pPr>
        <w:snapToGrid w:val="0"/>
        <w:spacing w:line="440" w:lineRule="exact"/>
        <w:rPr>
          <w:rFonts w:ascii="Times New Roman" w:hAnsi="Times New Roman" w:eastAsia="黑体"/>
          <w:color w:val="000000"/>
          <w:szCs w:val="21"/>
        </w:rPr>
      </w:pPr>
      <w:r>
        <w:rPr>
          <w:rFonts w:ascii="Times New Roman" w:hAnsi="Times New Roman" w:eastAsia="黑体"/>
          <w:color w:val="000000"/>
          <w:szCs w:val="21"/>
        </w:rPr>
        <w:t>1 抽样方法</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以随机抽样的方式在被抽样生产者、销售者的待销产品中抽取。</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随机数一般可使用随机数表等方法产生。</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抽样基数满足抽样数量即可，所抽取的每种产品（每种产品抽样数量为2个或3个）中颜色、图案、外形完全相同的样品至少为2个。产品抽样数量详见下表：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20"/>
        <w:gridCol w:w="1558"/>
        <w:gridCol w:w="1853"/>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76" w:type="dxa"/>
            <w:vAlign w:val="center"/>
          </w:tcPr>
          <w:p>
            <w:pPr>
              <w:jc w:val="center"/>
              <w:rPr>
                <w:rFonts w:ascii="Times New Roman" w:hAnsi="Times New Roman"/>
              </w:rPr>
            </w:pPr>
            <w:r>
              <w:rPr>
                <w:rFonts w:ascii="Times New Roman" w:hAnsi="Times New Roman"/>
              </w:rPr>
              <w:t>序号</w:t>
            </w:r>
          </w:p>
        </w:tc>
        <w:tc>
          <w:tcPr>
            <w:tcW w:w="3120" w:type="dxa"/>
            <w:vAlign w:val="center"/>
          </w:tcPr>
          <w:p>
            <w:pPr>
              <w:jc w:val="center"/>
              <w:rPr>
                <w:rFonts w:ascii="Times New Roman" w:hAnsi="Times New Roman"/>
              </w:rPr>
            </w:pPr>
            <w:r>
              <w:rPr>
                <w:rFonts w:ascii="Times New Roman" w:hAnsi="Times New Roman"/>
              </w:rPr>
              <w:t>玩具类别</w:t>
            </w:r>
          </w:p>
        </w:tc>
        <w:tc>
          <w:tcPr>
            <w:tcW w:w="1558" w:type="dxa"/>
            <w:vAlign w:val="center"/>
          </w:tcPr>
          <w:p>
            <w:pPr>
              <w:jc w:val="center"/>
              <w:rPr>
                <w:rFonts w:ascii="Times New Roman" w:hAnsi="Times New Roman"/>
              </w:rPr>
            </w:pPr>
            <w:r>
              <w:rPr>
                <w:rFonts w:ascii="Times New Roman" w:hAnsi="Times New Roman"/>
              </w:rPr>
              <w:t>抽样数量</w:t>
            </w:r>
          </w:p>
          <w:p>
            <w:pPr>
              <w:jc w:val="center"/>
              <w:rPr>
                <w:rFonts w:ascii="Times New Roman" w:hAnsi="Times New Roman"/>
              </w:rPr>
            </w:pPr>
            <w:r>
              <w:rPr>
                <w:rFonts w:ascii="Times New Roman" w:hAnsi="Times New Roman"/>
              </w:rPr>
              <w:t>（个）</w:t>
            </w:r>
          </w:p>
        </w:tc>
        <w:tc>
          <w:tcPr>
            <w:tcW w:w="1853" w:type="dxa"/>
            <w:vAlign w:val="center"/>
          </w:tcPr>
          <w:p>
            <w:pPr>
              <w:jc w:val="center"/>
              <w:rPr>
                <w:rFonts w:ascii="Times New Roman" w:hAnsi="Times New Roman"/>
              </w:rPr>
            </w:pPr>
            <w:r>
              <w:rPr>
                <w:rFonts w:ascii="Times New Roman" w:hAnsi="Times New Roman"/>
              </w:rPr>
              <w:t>检验用样品数量（个）</w:t>
            </w:r>
          </w:p>
        </w:tc>
        <w:tc>
          <w:tcPr>
            <w:tcW w:w="1853" w:type="dxa"/>
            <w:vAlign w:val="center"/>
          </w:tcPr>
          <w:p>
            <w:pPr>
              <w:jc w:val="center"/>
              <w:rPr>
                <w:rFonts w:ascii="Times New Roman" w:hAnsi="Times New Roman"/>
              </w:rPr>
            </w:pPr>
            <w:r>
              <w:rPr>
                <w:rFonts w:ascii="Times New Roman" w:hAnsi="Times New Roman"/>
              </w:rPr>
              <w:t>备用样品数量</w:t>
            </w:r>
          </w:p>
          <w:p>
            <w:pPr>
              <w:jc w:val="center"/>
              <w:rPr>
                <w:rFonts w:ascii="Times New Roman" w:hAnsi="Times New Roman"/>
              </w:rPr>
            </w:pPr>
            <w:r>
              <w:rPr>
                <w:rFonts w:ascii="Times New Roman" w:hAnsi="Times New Roma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76" w:type="dxa"/>
            <w:vAlign w:val="center"/>
          </w:tcPr>
          <w:p>
            <w:pPr>
              <w:jc w:val="center"/>
              <w:rPr>
                <w:rFonts w:ascii="Times New Roman" w:hAnsi="Times New Roman"/>
              </w:rPr>
            </w:pPr>
            <w:r>
              <w:rPr>
                <w:rFonts w:ascii="Times New Roman" w:hAnsi="Times New Roman"/>
              </w:rPr>
              <w:t>1</w:t>
            </w:r>
          </w:p>
        </w:tc>
        <w:tc>
          <w:tcPr>
            <w:tcW w:w="3120" w:type="dxa"/>
            <w:vAlign w:val="center"/>
          </w:tcPr>
          <w:p>
            <w:pPr>
              <w:jc w:val="left"/>
              <w:rPr>
                <w:rFonts w:ascii="Times New Roman" w:hAnsi="Times New Roman"/>
              </w:rPr>
            </w:pPr>
            <w:r>
              <w:rPr>
                <w:rFonts w:ascii="Times New Roman" w:hAnsi="Times New Roman"/>
              </w:rPr>
              <w:t>塑胶玩具（非乘骑车辆玩具）</w:t>
            </w:r>
          </w:p>
        </w:tc>
        <w:tc>
          <w:tcPr>
            <w:tcW w:w="1558" w:type="dxa"/>
            <w:vAlign w:val="center"/>
          </w:tcPr>
          <w:p>
            <w:pPr>
              <w:jc w:val="center"/>
              <w:rPr>
                <w:rFonts w:ascii="Times New Roman" w:hAnsi="Times New Roman"/>
              </w:rPr>
            </w:pPr>
            <w:r>
              <w:rPr>
                <w:rFonts w:ascii="Times New Roman" w:hAnsi="Times New Roman"/>
              </w:rPr>
              <w:t>3</w:t>
            </w:r>
          </w:p>
        </w:tc>
        <w:tc>
          <w:tcPr>
            <w:tcW w:w="1853" w:type="dxa"/>
            <w:vAlign w:val="center"/>
          </w:tcPr>
          <w:p>
            <w:pPr>
              <w:jc w:val="center"/>
              <w:rPr>
                <w:rFonts w:ascii="Times New Roman" w:hAnsi="Times New Roman"/>
              </w:rPr>
            </w:pPr>
            <w:r>
              <w:rPr>
                <w:rFonts w:ascii="Times New Roman" w:hAnsi="Times New Roman"/>
              </w:rPr>
              <w:t>2</w:t>
            </w:r>
          </w:p>
        </w:tc>
        <w:tc>
          <w:tcPr>
            <w:tcW w:w="1853" w:type="dxa"/>
            <w:vAlign w:val="center"/>
          </w:tcPr>
          <w:p>
            <w:pPr>
              <w:jc w:val="center"/>
              <w:rPr>
                <w:rFonts w:ascii="Times New Roman" w:hAnsi="Times New Roman"/>
              </w:rPr>
            </w:pPr>
            <w:r>
              <w:rPr>
                <w:rFonts w:ascii="Times New Roman" w:hAnsi="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76" w:type="dxa"/>
            <w:vAlign w:val="center"/>
          </w:tcPr>
          <w:p>
            <w:pPr>
              <w:jc w:val="center"/>
              <w:rPr>
                <w:rFonts w:ascii="Times New Roman" w:hAnsi="Times New Roman"/>
              </w:rPr>
            </w:pPr>
            <w:r>
              <w:rPr>
                <w:rFonts w:ascii="Times New Roman" w:hAnsi="Times New Roman"/>
              </w:rPr>
              <w:t>2</w:t>
            </w:r>
          </w:p>
        </w:tc>
        <w:tc>
          <w:tcPr>
            <w:tcW w:w="3120" w:type="dxa"/>
            <w:vAlign w:val="center"/>
          </w:tcPr>
          <w:p>
            <w:pPr>
              <w:jc w:val="left"/>
              <w:rPr>
                <w:rFonts w:ascii="Times New Roman" w:hAnsi="Times New Roman"/>
              </w:rPr>
            </w:pPr>
            <w:r>
              <w:rPr>
                <w:rFonts w:ascii="Times New Roman" w:hAnsi="Times New Roman"/>
              </w:rPr>
              <w:t>塑胶玩具（乘骑车辆玩具）</w:t>
            </w:r>
          </w:p>
        </w:tc>
        <w:tc>
          <w:tcPr>
            <w:tcW w:w="1558" w:type="dxa"/>
            <w:vAlign w:val="center"/>
          </w:tcPr>
          <w:p>
            <w:pPr>
              <w:jc w:val="center"/>
              <w:rPr>
                <w:rFonts w:ascii="Times New Roman" w:hAnsi="Times New Roman"/>
              </w:rPr>
            </w:pPr>
            <w:r>
              <w:rPr>
                <w:rFonts w:ascii="Times New Roman" w:hAnsi="Times New Roman"/>
              </w:rPr>
              <w:t>2</w:t>
            </w:r>
          </w:p>
        </w:tc>
        <w:tc>
          <w:tcPr>
            <w:tcW w:w="1853" w:type="dxa"/>
            <w:vAlign w:val="center"/>
          </w:tcPr>
          <w:p>
            <w:pPr>
              <w:jc w:val="center"/>
              <w:rPr>
                <w:rFonts w:ascii="Times New Roman" w:hAnsi="Times New Roman"/>
              </w:rPr>
            </w:pPr>
            <w:r>
              <w:rPr>
                <w:rFonts w:ascii="Times New Roman" w:hAnsi="Times New Roman"/>
              </w:rPr>
              <w:t>1</w:t>
            </w:r>
          </w:p>
        </w:tc>
        <w:tc>
          <w:tcPr>
            <w:tcW w:w="1853" w:type="dxa"/>
            <w:vAlign w:val="center"/>
          </w:tcPr>
          <w:p>
            <w:pPr>
              <w:jc w:val="center"/>
              <w:rPr>
                <w:rFonts w:ascii="Times New Roman" w:hAnsi="Times New Roman"/>
              </w:rPr>
            </w:pPr>
            <w:r>
              <w:rPr>
                <w:rFonts w:ascii="Times New Roman" w:hAnsi="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76" w:type="dxa"/>
            <w:vAlign w:val="center"/>
          </w:tcPr>
          <w:p>
            <w:pPr>
              <w:jc w:val="center"/>
              <w:rPr>
                <w:rFonts w:hint="eastAsia" w:ascii="Times New Roman" w:hAnsi="Times New Roman" w:eastAsia="宋体"/>
                <w:lang w:eastAsia="zh-CN"/>
              </w:rPr>
            </w:pPr>
            <w:r>
              <w:rPr>
                <w:rFonts w:hint="eastAsia" w:ascii="Times New Roman" w:hAnsi="Times New Roman"/>
                <w:lang w:val="en-US" w:eastAsia="zh-CN"/>
              </w:rPr>
              <w:t>3</w:t>
            </w:r>
          </w:p>
        </w:tc>
        <w:tc>
          <w:tcPr>
            <w:tcW w:w="3120" w:type="dxa"/>
            <w:vAlign w:val="center"/>
          </w:tcPr>
          <w:p>
            <w:pPr>
              <w:jc w:val="left"/>
              <w:rPr>
                <w:rFonts w:ascii="Times New Roman" w:hAnsi="Times New Roman"/>
              </w:rPr>
            </w:pPr>
            <w:r>
              <w:rPr>
                <w:rFonts w:hint="eastAsia" w:ascii="Times New Roman" w:hAnsi="Times New Roman"/>
              </w:rPr>
              <w:t>毛绒布制玩具</w:t>
            </w:r>
          </w:p>
        </w:tc>
        <w:tc>
          <w:tcPr>
            <w:tcW w:w="1558" w:type="dxa"/>
            <w:vAlign w:val="center"/>
          </w:tcPr>
          <w:p>
            <w:pPr>
              <w:jc w:val="center"/>
              <w:rPr>
                <w:rFonts w:ascii="Times New Roman" w:hAnsi="Times New Roman"/>
              </w:rPr>
            </w:pPr>
            <w:r>
              <w:rPr>
                <w:rFonts w:hint="eastAsia" w:ascii="Times New Roman" w:hAnsi="Times New Roman"/>
              </w:rPr>
              <w:t>3</w:t>
            </w:r>
          </w:p>
        </w:tc>
        <w:tc>
          <w:tcPr>
            <w:tcW w:w="1853" w:type="dxa"/>
            <w:vAlign w:val="center"/>
          </w:tcPr>
          <w:p>
            <w:pPr>
              <w:jc w:val="center"/>
              <w:rPr>
                <w:rFonts w:ascii="Times New Roman" w:hAnsi="Times New Roman"/>
              </w:rPr>
            </w:pPr>
            <w:r>
              <w:rPr>
                <w:rFonts w:hint="eastAsia" w:ascii="Times New Roman" w:hAnsi="Times New Roman"/>
              </w:rPr>
              <w:t>2</w:t>
            </w:r>
          </w:p>
        </w:tc>
        <w:tc>
          <w:tcPr>
            <w:tcW w:w="1853" w:type="dxa"/>
            <w:vAlign w:val="center"/>
          </w:tcPr>
          <w:p>
            <w:pPr>
              <w:jc w:val="center"/>
              <w:rPr>
                <w:rFonts w:ascii="Times New Roman" w:hAnsi="Times New Roman"/>
              </w:rPr>
            </w:pPr>
            <w:r>
              <w:rPr>
                <w:rFonts w:hint="eastAsia" w:ascii="Times New Roman" w:hAnsi="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76" w:type="dxa"/>
            <w:vAlign w:val="center"/>
          </w:tcPr>
          <w:p>
            <w:pPr>
              <w:jc w:val="center"/>
              <w:rPr>
                <w:rFonts w:hint="eastAsia" w:ascii="Times New Roman" w:hAnsi="Times New Roman" w:eastAsia="宋体"/>
                <w:lang w:eastAsia="zh-CN"/>
              </w:rPr>
            </w:pPr>
            <w:r>
              <w:rPr>
                <w:rFonts w:hint="eastAsia" w:ascii="Times New Roman" w:hAnsi="Times New Roman"/>
                <w:lang w:val="en-US" w:eastAsia="zh-CN"/>
              </w:rPr>
              <w:t>4</w:t>
            </w:r>
          </w:p>
        </w:tc>
        <w:tc>
          <w:tcPr>
            <w:tcW w:w="3120" w:type="dxa"/>
            <w:vAlign w:val="center"/>
          </w:tcPr>
          <w:p>
            <w:pPr>
              <w:jc w:val="left"/>
              <w:rPr>
                <w:rFonts w:ascii="Times New Roman" w:hAnsi="Times New Roman"/>
              </w:rPr>
            </w:pPr>
            <w:r>
              <w:rPr>
                <w:rFonts w:ascii="Times New Roman" w:hAnsi="Times New Roman"/>
              </w:rPr>
              <w:t>电玩具（非乘骑车辆玩具）</w:t>
            </w:r>
          </w:p>
        </w:tc>
        <w:tc>
          <w:tcPr>
            <w:tcW w:w="1558" w:type="dxa"/>
            <w:vAlign w:val="center"/>
          </w:tcPr>
          <w:p>
            <w:pPr>
              <w:jc w:val="center"/>
              <w:rPr>
                <w:rFonts w:ascii="Times New Roman" w:hAnsi="Times New Roman"/>
              </w:rPr>
            </w:pPr>
            <w:r>
              <w:rPr>
                <w:rFonts w:ascii="Times New Roman" w:hAnsi="Times New Roman"/>
              </w:rPr>
              <w:t>3</w:t>
            </w:r>
          </w:p>
        </w:tc>
        <w:tc>
          <w:tcPr>
            <w:tcW w:w="1853" w:type="dxa"/>
            <w:vAlign w:val="center"/>
          </w:tcPr>
          <w:p>
            <w:pPr>
              <w:jc w:val="center"/>
              <w:rPr>
                <w:rFonts w:ascii="Times New Roman" w:hAnsi="Times New Roman"/>
              </w:rPr>
            </w:pPr>
            <w:r>
              <w:rPr>
                <w:rFonts w:ascii="Times New Roman" w:hAnsi="Times New Roman"/>
              </w:rPr>
              <w:t>2</w:t>
            </w:r>
          </w:p>
        </w:tc>
        <w:tc>
          <w:tcPr>
            <w:tcW w:w="1853" w:type="dxa"/>
            <w:vAlign w:val="center"/>
          </w:tcPr>
          <w:p>
            <w:pPr>
              <w:jc w:val="center"/>
              <w:rPr>
                <w:rFonts w:ascii="Times New Roman" w:hAnsi="Times New Roman"/>
              </w:rPr>
            </w:pPr>
            <w:r>
              <w:rPr>
                <w:rFonts w:ascii="Times New Roman" w:hAnsi="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76" w:type="dxa"/>
            <w:vAlign w:val="center"/>
          </w:tcPr>
          <w:p>
            <w:pPr>
              <w:jc w:val="center"/>
              <w:rPr>
                <w:rFonts w:hint="eastAsia" w:ascii="Times New Roman" w:hAnsi="Times New Roman" w:eastAsia="宋体"/>
                <w:lang w:eastAsia="zh-CN"/>
              </w:rPr>
            </w:pPr>
            <w:r>
              <w:rPr>
                <w:rFonts w:hint="eastAsia" w:ascii="Times New Roman" w:hAnsi="Times New Roman"/>
                <w:lang w:val="en-US" w:eastAsia="zh-CN"/>
              </w:rPr>
              <w:t>5</w:t>
            </w:r>
          </w:p>
        </w:tc>
        <w:tc>
          <w:tcPr>
            <w:tcW w:w="3120" w:type="dxa"/>
            <w:vAlign w:val="center"/>
          </w:tcPr>
          <w:p>
            <w:pPr>
              <w:jc w:val="left"/>
              <w:rPr>
                <w:rFonts w:ascii="Times New Roman" w:hAnsi="Times New Roman"/>
              </w:rPr>
            </w:pPr>
            <w:r>
              <w:rPr>
                <w:rFonts w:ascii="Times New Roman" w:hAnsi="Times New Roman"/>
              </w:rPr>
              <w:t>电玩具（乘骑车辆玩具）</w:t>
            </w:r>
          </w:p>
        </w:tc>
        <w:tc>
          <w:tcPr>
            <w:tcW w:w="1558" w:type="dxa"/>
            <w:vAlign w:val="center"/>
          </w:tcPr>
          <w:p>
            <w:pPr>
              <w:jc w:val="center"/>
              <w:rPr>
                <w:rFonts w:ascii="Times New Roman" w:hAnsi="Times New Roman"/>
              </w:rPr>
            </w:pPr>
            <w:r>
              <w:rPr>
                <w:rFonts w:ascii="Times New Roman" w:hAnsi="Times New Roman"/>
              </w:rPr>
              <w:t>2</w:t>
            </w:r>
          </w:p>
        </w:tc>
        <w:tc>
          <w:tcPr>
            <w:tcW w:w="1853" w:type="dxa"/>
            <w:vAlign w:val="center"/>
          </w:tcPr>
          <w:p>
            <w:pPr>
              <w:jc w:val="center"/>
              <w:rPr>
                <w:rFonts w:ascii="Times New Roman" w:hAnsi="Times New Roman"/>
              </w:rPr>
            </w:pPr>
            <w:r>
              <w:rPr>
                <w:rFonts w:ascii="Times New Roman" w:hAnsi="Times New Roman"/>
              </w:rPr>
              <w:t>1</w:t>
            </w:r>
          </w:p>
        </w:tc>
        <w:tc>
          <w:tcPr>
            <w:tcW w:w="1853" w:type="dxa"/>
            <w:vAlign w:val="center"/>
          </w:tcPr>
          <w:p>
            <w:pPr>
              <w:jc w:val="center"/>
              <w:rPr>
                <w:rFonts w:ascii="Times New Roman" w:hAnsi="Times New Roman"/>
              </w:rPr>
            </w:pPr>
            <w:r>
              <w:rPr>
                <w:rFonts w:ascii="Times New Roman" w:hAnsi="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060" w:type="dxa"/>
            <w:gridSpan w:val="5"/>
            <w:tcMar>
              <w:top w:w="57" w:type="dxa"/>
              <w:bottom w:w="57" w:type="dxa"/>
            </w:tcMar>
            <w:vAlign w:val="center"/>
          </w:tcPr>
          <w:p>
            <w:pPr>
              <w:jc w:val="left"/>
              <w:rPr>
                <w:rFonts w:ascii="Times New Roman" w:hAnsi="Times New Roman"/>
              </w:rPr>
            </w:pPr>
            <w:r>
              <w:rPr>
                <w:rFonts w:ascii="Times New Roman" w:hAnsi="Times New Roman"/>
              </w:rPr>
              <w:t>备注：当市场上销售的产品抽样基数不足3个时，在满足检验需求的前提下，可降低抽样数量至2个，其中检验用样品1个，备用样品1个。</w:t>
            </w:r>
          </w:p>
        </w:tc>
      </w:tr>
    </w:tbl>
    <w:p>
      <w:pPr>
        <w:snapToGrid w:val="0"/>
        <w:spacing w:line="440" w:lineRule="exact"/>
        <w:rPr>
          <w:rFonts w:ascii="Times New Roman" w:hAnsi="Times New Roman" w:eastAsia="黑体"/>
          <w:color w:val="000000"/>
          <w:szCs w:val="21"/>
        </w:rPr>
      </w:pPr>
    </w:p>
    <w:p>
      <w:pPr>
        <w:snapToGrid w:val="0"/>
        <w:spacing w:line="440" w:lineRule="exact"/>
        <w:rPr>
          <w:rFonts w:ascii="Times New Roman" w:hAnsi="Times New Roman" w:eastAsia="黑体"/>
          <w:color w:val="000000"/>
          <w:szCs w:val="21"/>
        </w:rPr>
      </w:pPr>
      <w:r>
        <w:rPr>
          <w:rFonts w:ascii="Times New Roman" w:hAnsi="Times New Roman" w:eastAsia="黑体"/>
          <w:color w:val="000000"/>
          <w:szCs w:val="21"/>
        </w:rPr>
        <w:t>2 检验依据</w:t>
      </w:r>
    </w:p>
    <w:p>
      <w:pPr>
        <w:snapToGrid w:val="0"/>
        <w:spacing w:line="440" w:lineRule="exact"/>
        <w:rPr>
          <w:rFonts w:ascii="Times New Roman" w:hAnsi="Times New Roman"/>
          <w:color w:val="000000"/>
          <w:szCs w:val="21"/>
        </w:rPr>
      </w:pPr>
      <w:r>
        <w:rPr>
          <w:rFonts w:ascii="Times New Roman" w:hAnsi="Times New Roman"/>
          <w:color w:val="000000"/>
          <w:szCs w:val="21"/>
        </w:rPr>
        <w:t>2.1 塑胶玩具</w:t>
      </w:r>
    </w:p>
    <w:tbl>
      <w:tblPr>
        <w:tblStyle w:val="17"/>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2744"/>
        <w:gridCol w:w="2745"/>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tblHeader/>
          <w:jc w:val="center"/>
        </w:trPr>
        <w:tc>
          <w:tcPr>
            <w:tcW w:w="724" w:type="dxa"/>
            <w:tcMar>
              <w:left w:w="57" w:type="dxa"/>
              <w:right w:w="57" w:type="dxa"/>
            </w:tcMar>
            <w:vAlign w:val="center"/>
          </w:tcPr>
          <w:p>
            <w:pPr>
              <w:jc w:val="center"/>
              <w:rPr>
                <w:rFonts w:ascii="Times New Roman" w:hAnsi="Times New Roman"/>
              </w:rPr>
            </w:pPr>
            <w:r>
              <w:rPr>
                <w:rFonts w:ascii="Times New Roman" w:hAnsi="Times New Roman"/>
              </w:rPr>
              <w:t>序号</w:t>
            </w:r>
          </w:p>
        </w:tc>
        <w:tc>
          <w:tcPr>
            <w:tcW w:w="2744" w:type="dxa"/>
            <w:tcMar>
              <w:left w:w="57" w:type="dxa"/>
              <w:right w:w="57" w:type="dxa"/>
            </w:tcMar>
            <w:vAlign w:val="center"/>
          </w:tcPr>
          <w:p>
            <w:pPr>
              <w:jc w:val="center"/>
              <w:rPr>
                <w:rFonts w:ascii="Times New Roman" w:hAnsi="Times New Roman"/>
              </w:rPr>
            </w:pPr>
            <w:r>
              <w:rPr>
                <w:rFonts w:ascii="Times New Roman" w:hAnsi="Times New Roman"/>
              </w:rPr>
              <w:t>检验项目</w:t>
            </w:r>
          </w:p>
        </w:tc>
        <w:tc>
          <w:tcPr>
            <w:tcW w:w="2745" w:type="dxa"/>
            <w:tcMar>
              <w:left w:w="57" w:type="dxa"/>
              <w:right w:w="57" w:type="dxa"/>
            </w:tcMar>
            <w:vAlign w:val="top"/>
          </w:tcPr>
          <w:p>
            <w:pPr>
              <w:jc w:val="center"/>
              <w:rPr>
                <w:rFonts w:ascii="Times New Roman" w:hAnsi="Times New Roman"/>
              </w:rPr>
            </w:pPr>
            <w:r>
              <w:rPr>
                <w:szCs w:val="21"/>
              </w:rPr>
              <w:t>检验依据</w:t>
            </w:r>
          </w:p>
        </w:tc>
        <w:tc>
          <w:tcPr>
            <w:tcW w:w="2745" w:type="dxa"/>
            <w:tcMar>
              <w:left w:w="57" w:type="dxa"/>
              <w:right w:w="57" w:type="dxa"/>
            </w:tcMar>
            <w:vAlign w:val="top"/>
          </w:tcPr>
          <w:p>
            <w:pPr>
              <w:jc w:val="center"/>
              <w:rPr>
                <w:rFonts w:ascii="Times New Roman" w:hAnsi="Times New Roman"/>
              </w:rPr>
            </w:pPr>
            <w:r>
              <w:rPr>
                <w:rFonts w:ascii="Times New Roman" w:hAnsi="Times New Roma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8958" w:type="dxa"/>
            <w:gridSpan w:val="4"/>
            <w:tcMar>
              <w:left w:w="57" w:type="dxa"/>
              <w:right w:w="57" w:type="dxa"/>
            </w:tcMar>
            <w:vAlign w:val="top"/>
          </w:tcPr>
          <w:p>
            <w:pPr>
              <w:jc w:val="left"/>
              <w:rPr>
                <w:rFonts w:ascii="Times New Roman" w:hAnsi="Times New Roman"/>
              </w:rPr>
            </w:pPr>
            <w:r>
              <w:rPr>
                <w:rFonts w:ascii="Times New Roman" w:hAnsi="Times New Roman"/>
              </w:rPr>
              <w:t>一</w:t>
            </w:r>
            <w:r>
              <w:rPr>
                <w:rFonts w:hint="eastAsia" w:ascii="Times New Roman" w:hAnsi="Times New Roman"/>
              </w:rPr>
              <w:t>、</w:t>
            </w:r>
            <w:r>
              <w:rPr>
                <w:rFonts w:ascii="Times New Roman" w:hAnsi="Times New Roman"/>
              </w:rPr>
              <w:t>机械与物理性能</w:t>
            </w:r>
            <w:r>
              <w:rPr>
                <w:rFonts w:hint="eastAsia" w:ascii="Times New Roman" w:hAnsi="Times New Roman"/>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1"/>
              </w:numPr>
              <w:jc w:val="center"/>
              <w:rPr>
                <w:rFonts w:ascii="Times New Roman" w:hAnsi="Times New Roman"/>
              </w:rPr>
            </w:pPr>
          </w:p>
        </w:tc>
        <w:tc>
          <w:tcPr>
            <w:tcW w:w="2744" w:type="dxa"/>
            <w:tcMar>
              <w:left w:w="57" w:type="dxa"/>
              <w:right w:w="57" w:type="dxa"/>
            </w:tcMar>
            <w:vAlign w:val="center"/>
          </w:tcPr>
          <w:p>
            <w:pPr>
              <w:pStyle w:val="6"/>
              <w:jc w:val="center"/>
              <w:rPr>
                <w:rFonts w:ascii="Times New Roman" w:hAnsi="Times New Roman"/>
                <w:bCs/>
                <w:sz w:val="21"/>
                <w:szCs w:val="21"/>
                <w:highlight w:val="none"/>
                <w:lang w:val="en-US"/>
              </w:rPr>
            </w:pPr>
            <w:r>
              <w:rPr>
                <w:rFonts w:ascii="Times New Roman" w:hAnsi="Times New Roman"/>
                <w:bCs/>
                <w:sz w:val="21"/>
                <w:szCs w:val="21"/>
                <w:highlight w:val="none"/>
                <w:lang w:val="en-US"/>
              </w:rPr>
              <w:t>材料</w:t>
            </w:r>
          </w:p>
        </w:tc>
        <w:tc>
          <w:tcPr>
            <w:tcW w:w="2745" w:type="dxa"/>
            <w:tcMar>
              <w:left w:w="57" w:type="dxa"/>
              <w:right w:w="57" w:type="dxa"/>
            </w:tcMar>
            <w:vAlign w:val="center"/>
          </w:tcPr>
          <w:p>
            <w:pPr>
              <w:pStyle w:val="6"/>
              <w:jc w:val="center"/>
              <w:rPr>
                <w:rFonts w:ascii="Times New Roman" w:hAnsi="Times New Roman"/>
                <w:bCs/>
                <w:sz w:val="21"/>
                <w:szCs w:val="21"/>
              </w:rPr>
            </w:pPr>
            <w:r>
              <w:rPr>
                <w:rFonts w:ascii="Times New Roman" w:hAnsi="Times New Roman"/>
                <w:bCs/>
                <w:sz w:val="21"/>
                <w:szCs w:val="21"/>
              </w:rPr>
              <w:t>GB 6675.2—2014（含第1号修改单）</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1"/>
              </w:numPr>
              <w:jc w:val="center"/>
              <w:rPr>
                <w:rFonts w:ascii="Times New Roman" w:hAnsi="Times New Roman"/>
              </w:rPr>
            </w:pPr>
          </w:p>
        </w:tc>
        <w:tc>
          <w:tcPr>
            <w:tcW w:w="2744" w:type="dxa"/>
            <w:tcMar>
              <w:left w:w="57" w:type="dxa"/>
              <w:right w:w="57" w:type="dxa"/>
            </w:tcMar>
            <w:vAlign w:val="center"/>
          </w:tcPr>
          <w:p>
            <w:pPr>
              <w:pStyle w:val="6"/>
              <w:jc w:val="center"/>
              <w:rPr>
                <w:rFonts w:ascii="Times New Roman" w:hAnsi="Times New Roman"/>
                <w:bCs/>
                <w:sz w:val="21"/>
                <w:szCs w:val="21"/>
                <w:highlight w:val="none"/>
                <w:lang w:val="en-US"/>
              </w:rPr>
            </w:pPr>
            <w:r>
              <w:rPr>
                <w:rFonts w:ascii="Times New Roman" w:hAnsi="Times New Roman"/>
                <w:bCs/>
                <w:sz w:val="21"/>
                <w:szCs w:val="21"/>
                <w:highlight w:val="none"/>
                <w:lang w:val="en-US"/>
              </w:rPr>
              <w:t>小零件</w:t>
            </w:r>
          </w:p>
        </w:tc>
        <w:tc>
          <w:tcPr>
            <w:tcW w:w="2745" w:type="dxa"/>
            <w:tcMar>
              <w:left w:w="57" w:type="dxa"/>
              <w:right w:w="57" w:type="dxa"/>
            </w:tcMar>
            <w:vAlign w:val="center"/>
          </w:tcPr>
          <w:p>
            <w:pPr>
              <w:pStyle w:val="6"/>
              <w:jc w:val="center"/>
              <w:rPr>
                <w:rFonts w:ascii="Times New Roman" w:hAnsi="Times New Roman"/>
                <w:bCs/>
                <w:sz w:val="21"/>
                <w:szCs w:val="21"/>
              </w:rPr>
            </w:pPr>
            <w:r>
              <w:rPr>
                <w:rFonts w:ascii="Times New Roman" w:hAnsi="Times New Roman"/>
                <w:bCs/>
                <w:sz w:val="21"/>
                <w:szCs w:val="21"/>
              </w:rPr>
              <w:t>GB 6675.2—2014（含第1号修改单）</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1"/>
              </w:numPr>
              <w:jc w:val="center"/>
              <w:rPr>
                <w:rFonts w:ascii="Times New Roman" w:hAnsi="Times New Roman"/>
              </w:rPr>
            </w:pPr>
          </w:p>
        </w:tc>
        <w:tc>
          <w:tcPr>
            <w:tcW w:w="2744" w:type="dxa"/>
            <w:tcMar>
              <w:left w:w="57" w:type="dxa"/>
              <w:right w:w="57" w:type="dxa"/>
            </w:tcMar>
            <w:vAlign w:val="center"/>
          </w:tcPr>
          <w:p>
            <w:pPr>
              <w:pStyle w:val="6"/>
              <w:jc w:val="center"/>
              <w:rPr>
                <w:rFonts w:ascii="Times New Roman" w:hAnsi="Times New Roman"/>
                <w:bCs/>
                <w:sz w:val="21"/>
                <w:szCs w:val="21"/>
                <w:highlight w:val="none"/>
                <w:lang w:val="en-US"/>
              </w:rPr>
            </w:pPr>
            <w:r>
              <w:rPr>
                <w:rFonts w:ascii="Times New Roman" w:hAnsi="Times New Roman"/>
                <w:bCs/>
                <w:sz w:val="21"/>
                <w:szCs w:val="21"/>
                <w:highlight w:val="none"/>
                <w:lang w:val="en-US"/>
              </w:rPr>
              <w:t>小球</w:t>
            </w:r>
          </w:p>
        </w:tc>
        <w:tc>
          <w:tcPr>
            <w:tcW w:w="2745" w:type="dxa"/>
            <w:tcMar>
              <w:left w:w="57" w:type="dxa"/>
              <w:right w:w="57" w:type="dxa"/>
            </w:tcMar>
            <w:vAlign w:val="center"/>
          </w:tcPr>
          <w:p>
            <w:pPr>
              <w:pStyle w:val="6"/>
              <w:jc w:val="center"/>
              <w:rPr>
                <w:rFonts w:ascii="Times New Roman" w:hAnsi="Times New Roman"/>
                <w:bCs/>
                <w:sz w:val="21"/>
                <w:szCs w:val="21"/>
              </w:rPr>
            </w:pPr>
            <w:r>
              <w:rPr>
                <w:rFonts w:ascii="Times New Roman" w:hAnsi="Times New Roman"/>
                <w:bCs/>
                <w:sz w:val="21"/>
                <w:szCs w:val="21"/>
              </w:rPr>
              <w:t>GB 6675.2—2014（含第1号修改单）</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1"/>
              </w:numPr>
              <w:jc w:val="center"/>
              <w:rPr>
                <w:rFonts w:ascii="Times New Roman" w:hAnsi="Times New Roman"/>
              </w:rPr>
            </w:pPr>
          </w:p>
        </w:tc>
        <w:tc>
          <w:tcPr>
            <w:tcW w:w="2744" w:type="dxa"/>
            <w:tcMar>
              <w:left w:w="57" w:type="dxa"/>
              <w:right w:w="57" w:type="dxa"/>
            </w:tcMar>
            <w:vAlign w:val="center"/>
          </w:tcPr>
          <w:p>
            <w:pPr>
              <w:pStyle w:val="6"/>
              <w:jc w:val="center"/>
              <w:rPr>
                <w:rFonts w:ascii="Times New Roman" w:hAnsi="Times New Roman"/>
                <w:bCs/>
                <w:sz w:val="21"/>
                <w:szCs w:val="21"/>
                <w:highlight w:val="none"/>
                <w:lang w:val="en-US"/>
              </w:rPr>
            </w:pPr>
            <w:r>
              <w:rPr>
                <w:rFonts w:ascii="Times New Roman" w:hAnsi="Times New Roman"/>
                <w:bCs/>
                <w:sz w:val="21"/>
                <w:szCs w:val="21"/>
                <w:highlight w:val="none"/>
                <w:lang w:val="en-US"/>
              </w:rPr>
              <w:t>功能性锐利边缘</w:t>
            </w:r>
          </w:p>
        </w:tc>
        <w:tc>
          <w:tcPr>
            <w:tcW w:w="2745" w:type="dxa"/>
            <w:tcMar>
              <w:left w:w="57" w:type="dxa"/>
              <w:right w:w="57" w:type="dxa"/>
            </w:tcMar>
            <w:vAlign w:val="center"/>
          </w:tcPr>
          <w:p>
            <w:pPr>
              <w:pStyle w:val="6"/>
              <w:jc w:val="center"/>
              <w:rPr>
                <w:rFonts w:ascii="Times New Roman" w:hAnsi="Times New Roman"/>
                <w:bCs/>
                <w:sz w:val="21"/>
                <w:szCs w:val="21"/>
              </w:rPr>
            </w:pPr>
            <w:r>
              <w:rPr>
                <w:rFonts w:ascii="Times New Roman" w:hAnsi="Times New Roman"/>
                <w:bCs/>
                <w:sz w:val="21"/>
                <w:szCs w:val="21"/>
              </w:rPr>
              <w:t>GB 6675.2—2014（含第1号修改单）</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1"/>
              </w:numPr>
              <w:jc w:val="center"/>
              <w:rPr>
                <w:rFonts w:ascii="Times New Roman" w:hAnsi="Times New Roman"/>
              </w:rPr>
            </w:pPr>
          </w:p>
        </w:tc>
        <w:tc>
          <w:tcPr>
            <w:tcW w:w="2744" w:type="dxa"/>
            <w:tcMar>
              <w:left w:w="57" w:type="dxa"/>
              <w:right w:w="57" w:type="dxa"/>
            </w:tcMar>
            <w:vAlign w:val="center"/>
          </w:tcPr>
          <w:p>
            <w:pPr>
              <w:pStyle w:val="6"/>
              <w:jc w:val="center"/>
              <w:rPr>
                <w:rFonts w:ascii="Times New Roman" w:hAnsi="Times New Roman"/>
                <w:bCs/>
                <w:sz w:val="21"/>
                <w:szCs w:val="21"/>
                <w:highlight w:val="none"/>
                <w:lang w:val="en-US"/>
              </w:rPr>
            </w:pPr>
            <w:r>
              <w:rPr>
                <w:rFonts w:ascii="Times New Roman" w:hAnsi="Times New Roman"/>
                <w:bCs/>
                <w:sz w:val="21"/>
                <w:szCs w:val="21"/>
                <w:highlight w:val="none"/>
                <w:lang w:val="en-US"/>
              </w:rPr>
              <w:t>模塑玩具边缘</w:t>
            </w:r>
          </w:p>
        </w:tc>
        <w:tc>
          <w:tcPr>
            <w:tcW w:w="2745" w:type="dxa"/>
            <w:tcMar>
              <w:left w:w="57" w:type="dxa"/>
              <w:right w:w="57" w:type="dxa"/>
            </w:tcMar>
            <w:vAlign w:val="center"/>
          </w:tcPr>
          <w:p>
            <w:pPr>
              <w:pStyle w:val="6"/>
              <w:jc w:val="center"/>
              <w:rPr>
                <w:rFonts w:ascii="Times New Roman" w:hAnsi="Times New Roman"/>
                <w:bCs/>
                <w:sz w:val="21"/>
                <w:szCs w:val="21"/>
              </w:rPr>
            </w:pPr>
            <w:r>
              <w:rPr>
                <w:rFonts w:ascii="Times New Roman" w:hAnsi="Times New Roman"/>
                <w:bCs/>
                <w:sz w:val="21"/>
                <w:szCs w:val="21"/>
              </w:rPr>
              <w:t>GB 6675.2—2014（含第1号修改单）</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1"/>
              </w:numPr>
              <w:jc w:val="center"/>
              <w:rPr>
                <w:rFonts w:ascii="Times New Roman" w:hAnsi="Times New Roman"/>
              </w:rPr>
            </w:pPr>
          </w:p>
        </w:tc>
        <w:tc>
          <w:tcPr>
            <w:tcW w:w="2744" w:type="dxa"/>
            <w:tcMar>
              <w:left w:w="57" w:type="dxa"/>
              <w:right w:w="57" w:type="dxa"/>
            </w:tcMar>
            <w:vAlign w:val="center"/>
          </w:tcPr>
          <w:p>
            <w:pPr>
              <w:pStyle w:val="6"/>
              <w:jc w:val="center"/>
              <w:rPr>
                <w:rFonts w:ascii="Times New Roman" w:hAnsi="Times New Roman"/>
                <w:bCs/>
                <w:sz w:val="21"/>
                <w:szCs w:val="21"/>
                <w:highlight w:val="none"/>
                <w:lang w:val="en-US"/>
              </w:rPr>
            </w:pPr>
            <w:r>
              <w:rPr>
                <w:rFonts w:ascii="Times New Roman" w:hAnsi="Times New Roman"/>
                <w:bCs/>
                <w:sz w:val="21"/>
                <w:szCs w:val="21"/>
                <w:highlight w:val="none"/>
                <w:lang w:val="en-US"/>
              </w:rPr>
              <w:t>功能性锐利尖端</w:t>
            </w:r>
          </w:p>
        </w:tc>
        <w:tc>
          <w:tcPr>
            <w:tcW w:w="2745" w:type="dxa"/>
            <w:tcMar>
              <w:left w:w="57" w:type="dxa"/>
              <w:right w:w="57" w:type="dxa"/>
            </w:tcMar>
            <w:vAlign w:val="center"/>
          </w:tcPr>
          <w:p>
            <w:pPr>
              <w:pStyle w:val="6"/>
              <w:jc w:val="center"/>
              <w:rPr>
                <w:rFonts w:ascii="Times New Roman" w:hAnsi="Times New Roman"/>
                <w:bCs/>
                <w:sz w:val="21"/>
                <w:szCs w:val="21"/>
              </w:rPr>
            </w:pPr>
            <w:r>
              <w:rPr>
                <w:rFonts w:ascii="Times New Roman" w:hAnsi="Times New Roman"/>
                <w:bCs/>
                <w:sz w:val="21"/>
                <w:szCs w:val="21"/>
              </w:rPr>
              <w:t>GB 6675.2—2014（含第1号修改单）</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1"/>
              </w:numPr>
              <w:jc w:val="center"/>
              <w:rPr>
                <w:rFonts w:ascii="Times New Roman" w:hAnsi="Times New Roman"/>
              </w:rPr>
            </w:pPr>
          </w:p>
        </w:tc>
        <w:tc>
          <w:tcPr>
            <w:tcW w:w="2744" w:type="dxa"/>
            <w:tcMar>
              <w:left w:w="57" w:type="dxa"/>
              <w:right w:w="57" w:type="dxa"/>
            </w:tcMar>
            <w:vAlign w:val="center"/>
          </w:tcPr>
          <w:p>
            <w:pPr>
              <w:pStyle w:val="6"/>
              <w:jc w:val="center"/>
              <w:rPr>
                <w:rFonts w:ascii="Times New Roman" w:hAnsi="Times New Roman"/>
                <w:bCs/>
                <w:sz w:val="21"/>
                <w:szCs w:val="21"/>
                <w:highlight w:val="none"/>
                <w:lang w:val="en-US"/>
              </w:rPr>
            </w:pPr>
            <w:r>
              <w:rPr>
                <w:rFonts w:ascii="Times New Roman" w:hAnsi="Times New Roman"/>
                <w:bCs/>
                <w:sz w:val="21"/>
                <w:szCs w:val="21"/>
                <w:highlight w:val="none"/>
                <w:lang w:val="en-US"/>
              </w:rPr>
              <w:t>用于包装或玩具中的塑料袋或塑料薄膜</w:t>
            </w:r>
          </w:p>
        </w:tc>
        <w:tc>
          <w:tcPr>
            <w:tcW w:w="2745" w:type="dxa"/>
            <w:tcMar>
              <w:left w:w="57" w:type="dxa"/>
              <w:right w:w="57" w:type="dxa"/>
            </w:tcMar>
            <w:vAlign w:val="center"/>
          </w:tcPr>
          <w:p>
            <w:pPr>
              <w:pStyle w:val="6"/>
              <w:jc w:val="center"/>
              <w:rPr>
                <w:rFonts w:ascii="Times New Roman" w:hAnsi="Times New Roman"/>
                <w:bCs/>
                <w:sz w:val="21"/>
                <w:szCs w:val="21"/>
              </w:rPr>
            </w:pPr>
            <w:r>
              <w:rPr>
                <w:rFonts w:ascii="Times New Roman" w:hAnsi="Times New Roman"/>
                <w:bCs/>
                <w:sz w:val="21"/>
                <w:szCs w:val="21"/>
              </w:rPr>
              <w:t>GB 6675.2—2014（含第1号修改单）</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8958" w:type="dxa"/>
            <w:gridSpan w:val="4"/>
            <w:tcMar>
              <w:left w:w="57" w:type="dxa"/>
              <w:right w:w="57" w:type="dxa"/>
            </w:tcMar>
            <w:vAlign w:val="top"/>
          </w:tcPr>
          <w:p>
            <w:pPr>
              <w:rPr>
                <w:bCs/>
                <w:szCs w:val="21"/>
              </w:rPr>
            </w:pPr>
            <w:r>
              <w:rPr>
                <w:bCs/>
                <w:szCs w:val="21"/>
              </w:rPr>
              <w:t>四、特定元素的迁移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2"/>
              </w:numPr>
              <w:jc w:val="center"/>
              <w:rPr>
                <w:rFonts w:ascii="Times New Roman" w:hAnsi="Times New Roman"/>
              </w:rPr>
            </w:pPr>
          </w:p>
        </w:tc>
        <w:tc>
          <w:tcPr>
            <w:tcW w:w="2744" w:type="dxa"/>
            <w:tcMar>
              <w:left w:w="57" w:type="dxa"/>
              <w:right w:w="57" w:type="dxa"/>
            </w:tcMar>
            <w:vAlign w:val="center"/>
          </w:tcPr>
          <w:p>
            <w:pPr>
              <w:jc w:val="center"/>
              <w:rPr>
                <w:rFonts w:ascii="Times New Roman" w:hAnsi="Times New Roman"/>
              </w:rPr>
            </w:pPr>
            <w:r>
              <w:rPr>
                <w:bCs/>
                <w:szCs w:val="21"/>
              </w:rPr>
              <w:t>最大限量要求</w:t>
            </w:r>
          </w:p>
        </w:tc>
        <w:tc>
          <w:tcPr>
            <w:tcW w:w="2745" w:type="dxa"/>
            <w:tcMar>
              <w:left w:w="57" w:type="dxa"/>
              <w:right w:w="57" w:type="dxa"/>
            </w:tcMar>
            <w:vAlign w:val="top"/>
          </w:tcPr>
          <w:p>
            <w:pPr>
              <w:jc w:val="center"/>
              <w:rPr>
                <w:rFonts w:ascii="Times New Roman" w:hAnsi="Times New Roman"/>
              </w:rPr>
            </w:pPr>
            <w:r>
              <w:rPr>
                <w:rFonts w:ascii="Times New Roman" w:hAnsi="Times New Roman"/>
              </w:rPr>
              <w:t>GB 6675.4—2014</w:t>
            </w:r>
          </w:p>
        </w:tc>
        <w:tc>
          <w:tcPr>
            <w:tcW w:w="2745" w:type="dxa"/>
            <w:tcMar>
              <w:left w:w="57" w:type="dxa"/>
              <w:right w:w="57" w:type="dxa"/>
            </w:tcMar>
            <w:vAlign w:val="center"/>
          </w:tcPr>
          <w:p>
            <w:pPr>
              <w:jc w:val="center"/>
              <w:rPr>
                <w:rFonts w:ascii="Times New Roman" w:hAnsi="Times New Roman"/>
              </w:rPr>
            </w:pPr>
            <w:r>
              <w:rPr>
                <w:rFonts w:ascii="Times New Roman" w:hAnsi="Times New Roman"/>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8958" w:type="dxa"/>
            <w:gridSpan w:val="4"/>
            <w:tcMar>
              <w:left w:w="57" w:type="dxa"/>
              <w:right w:w="57" w:type="dxa"/>
            </w:tcMar>
            <w:vAlign w:val="top"/>
          </w:tcPr>
          <w:p>
            <w:pPr>
              <w:rPr>
                <w:bCs/>
                <w:szCs w:val="21"/>
              </w:rPr>
            </w:pPr>
            <w:r>
              <w:rPr>
                <w:rFonts w:ascii="Times New Roman" w:hAnsi="Times New Roman"/>
                <w:bCs/>
                <w:szCs w:val="21"/>
              </w:rPr>
              <w:t>五、增塑剂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3"/>
              </w:numPr>
              <w:jc w:val="center"/>
              <w:rPr>
                <w:rFonts w:ascii="Times New Roman" w:hAnsi="Times New Roman"/>
              </w:rPr>
            </w:pPr>
          </w:p>
        </w:tc>
        <w:tc>
          <w:tcPr>
            <w:tcW w:w="2744" w:type="dxa"/>
            <w:tcMar>
              <w:left w:w="57" w:type="dxa"/>
              <w:right w:w="57" w:type="dxa"/>
            </w:tcMar>
            <w:vAlign w:val="center"/>
          </w:tcPr>
          <w:p>
            <w:pPr>
              <w:jc w:val="center"/>
              <w:rPr>
                <w:rFonts w:ascii="Times New Roman" w:hAnsi="Times New Roman"/>
              </w:rPr>
            </w:pPr>
            <w:r>
              <w:rPr>
                <w:bCs/>
                <w:szCs w:val="21"/>
              </w:rPr>
              <w:t>限定增塑剂限量要求</w:t>
            </w:r>
          </w:p>
        </w:tc>
        <w:tc>
          <w:tcPr>
            <w:tcW w:w="2745" w:type="dxa"/>
            <w:tcMar>
              <w:left w:w="57" w:type="dxa"/>
              <w:right w:w="57" w:type="dxa"/>
            </w:tcMar>
            <w:vAlign w:val="top"/>
          </w:tcPr>
          <w:p>
            <w:pPr>
              <w:jc w:val="center"/>
              <w:rPr>
                <w:rFonts w:ascii="Times New Roman" w:hAnsi="Times New Roman"/>
              </w:rPr>
            </w:pPr>
            <w:r>
              <w:rPr>
                <w:rFonts w:hint="eastAsia" w:ascii="Times New Roman" w:hAnsi="Times New Roman"/>
              </w:rPr>
              <w:t>GB</w:t>
            </w:r>
            <w:r>
              <w:rPr>
                <w:rFonts w:ascii="Times New Roman" w:hAnsi="Times New Roman"/>
              </w:rPr>
              <w:t xml:space="preserve"> 6675.1—2014</w:t>
            </w:r>
          </w:p>
        </w:tc>
        <w:tc>
          <w:tcPr>
            <w:tcW w:w="2745" w:type="dxa"/>
            <w:tcMar>
              <w:left w:w="57" w:type="dxa"/>
              <w:right w:w="57" w:type="dxa"/>
            </w:tcMar>
            <w:vAlign w:val="center"/>
          </w:tcPr>
          <w:p>
            <w:pPr>
              <w:jc w:val="center"/>
              <w:rPr>
                <w:rFonts w:ascii="Times New Roman" w:hAnsi="Times New Roman"/>
              </w:rPr>
            </w:pPr>
            <w:r>
              <w:rPr>
                <w:rFonts w:ascii="Times New Roman" w:hAnsi="Times New Roman"/>
              </w:rPr>
              <w:t>GB/T 22048—2022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 w:hRule="atLeast"/>
          <w:jc w:val="center"/>
        </w:trPr>
        <w:tc>
          <w:tcPr>
            <w:tcW w:w="8958" w:type="dxa"/>
            <w:gridSpan w:val="4"/>
            <w:tcMar>
              <w:left w:w="57" w:type="dxa"/>
              <w:right w:w="57" w:type="dxa"/>
            </w:tcMar>
            <w:vAlign w:val="center"/>
          </w:tcPr>
          <w:p>
            <w:pPr>
              <w:rPr>
                <w:rFonts w:ascii="Times New Roman" w:hAnsi="Times New Roman"/>
              </w:rPr>
            </w:pPr>
            <w:r>
              <w:rPr>
                <w:rFonts w:hint="eastAsia" w:ascii="Times New Roman" w:hAnsi="Times New Roman"/>
              </w:rPr>
              <w:t>注：特定元素的迁移（最大限量要求）、限定增塑剂限量要求项目选取5种主要材料进行测试，优先选取软性材料、涂层等高风险材料；不足5种的按照实际材料数量测试。</w:t>
            </w:r>
          </w:p>
        </w:tc>
      </w:tr>
    </w:tbl>
    <w:p>
      <w:pPr>
        <w:snapToGrid w:val="0"/>
        <w:spacing w:line="440" w:lineRule="exact"/>
        <w:rPr>
          <w:rFonts w:ascii="Times New Roman" w:hAnsi="Times New Roman"/>
          <w:color w:val="000000"/>
          <w:szCs w:val="21"/>
        </w:rPr>
      </w:pPr>
    </w:p>
    <w:p>
      <w:pPr>
        <w:snapToGrid w:val="0"/>
        <w:spacing w:line="440" w:lineRule="exact"/>
        <w:rPr>
          <w:rFonts w:ascii="Times New Roman" w:hAnsi="Times New Roman"/>
          <w:color w:val="000000"/>
          <w:szCs w:val="21"/>
        </w:rPr>
      </w:pPr>
      <w:r>
        <w:rPr>
          <w:rFonts w:ascii="Times New Roman" w:hAnsi="Times New Roman"/>
          <w:color w:val="000000"/>
          <w:szCs w:val="21"/>
        </w:rPr>
        <w:t xml:space="preserve">2.2 </w:t>
      </w:r>
      <w:r>
        <w:rPr>
          <w:rFonts w:hint="eastAsia" w:ascii="Times New Roman" w:hAnsi="Times New Roman"/>
          <w:color w:val="000000"/>
          <w:szCs w:val="21"/>
        </w:rPr>
        <w:t>毛绒布制</w:t>
      </w:r>
      <w:r>
        <w:rPr>
          <w:rFonts w:ascii="Times New Roman" w:hAnsi="Times New Roman"/>
          <w:color w:val="000000"/>
          <w:szCs w:val="21"/>
        </w:rPr>
        <w:t>玩具</w:t>
      </w:r>
    </w:p>
    <w:tbl>
      <w:tblPr>
        <w:tblStyle w:val="17"/>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2744"/>
        <w:gridCol w:w="2745"/>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tblHeader/>
          <w:jc w:val="center"/>
        </w:trPr>
        <w:tc>
          <w:tcPr>
            <w:tcW w:w="724" w:type="dxa"/>
            <w:tcMar>
              <w:left w:w="57" w:type="dxa"/>
              <w:right w:w="57" w:type="dxa"/>
            </w:tcMar>
            <w:vAlign w:val="center"/>
          </w:tcPr>
          <w:p>
            <w:pPr>
              <w:jc w:val="center"/>
              <w:rPr>
                <w:rFonts w:ascii="Times New Roman" w:hAnsi="Times New Roman"/>
              </w:rPr>
            </w:pPr>
            <w:r>
              <w:rPr>
                <w:rFonts w:ascii="Times New Roman" w:hAnsi="Times New Roman"/>
              </w:rPr>
              <w:t>序号</w:t>
            </w:r>
          </w:p>
        </w:tc>
        <w:tc>
          <w:tcPr>
            <w:tcW w:w="2744" w:type="dxa"/>
            <w:tcMar>
              <w:left w:w="57" w:type="dxa"/>
              <w:right w:w="57" w:type="dxa"/>
            </w:tcMar>
            <w:vAlign w:val="center"/>
          </w:tcPr>
          <w:p>
            <w:pPr>
              <w:jc w:val="center"/>
              <w:rPr>
                <w:rFonts w:ascii="Times New Roman" w:hAnsi="Times New Roman"/>
              </w:rPr>
            </w:pPr>
            <w:r>
              <w:rPr>
                <w:rFonts w:ascii="Times New Roman" w:hAnsi="Times New Roman"/>
              </w:rPr>
              <w:t>检验项目</w:t>
            </w:r>
          </w:p>
        </w:tc>
        <w:tc>
          <w:tcPr>
            <w:tcW w:w="2745" w:type="dxa"/>
            <w:tcMar>
              <w:left w:w="57" w:type="dxa"/>
              <w:right w:w="57" w:type="dxa"/>
            </w:tcMar>
            <w:vAlign w:val="center"/>
          </w:tcPr>
          <w:p>
            <w:pPr>
              <w:jc w:val="center"/>
              <w:rPr>
                <w:rFonts w:ascii="Times New Roman" w:hAnsi="Times New Roman"/>
              </w:rPr>
            </w:pPr>
            <w:r>
              <w:rPr>
                <w:rFonts w:hint="eastAsia" w:ascii="Times New Roman" w:hAnsi="Times New Roman"/>
              </w:rPr>
              <w:t>检测依据</w:t>
            </w:r>
          </w:p>
        </w:tc>
        <w:tc>
          <w:tcPr>
            <w:tcW w:w="2745" w:type="dxa"/>
            <w:tcMar>
              <w:left w:w="57" w:type="dxa"/>
              <w:right w:w="57" w:type="dxa"/>
            </w:tcMar>
            <w:vAlign w:val="center"/>
          </w:tcPr>
          <w:p>
            <w:pPr>
              <w:jc w:val="center"/>
              <w:rPr>
                <w:rFonts w:ascii="Times New Roman" w:hAnsi="Times New Roman"/>
              </w:rPr>
            </w:pPr>
            <w:r>
              <w:rPr>
                <w:rFonts w:ascii="Times New Roman" w:hAnsi="Times New Roma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8958" w:type="dxa"/>
            <w:gridSpan w:val="4"/>
            <w:tcMar>
              <w:left w:w="57" w:type="dxa"/>
              <w:right w:w="57" w:type="dxa"/>
            </w:tcMar>
            <w:vAlign w:val="center"/>
          </w:tcPr>
          <w:p>
            <w:pPr>
              <w:numPr>
                <w:numId w:val="0"/>
              </w:numPr>
              <w:rPr>
                <w:rFonts w:hint="eastAsia" w:ascii="Times New Roman" w:hAnsi="Times New Roman"/>
              </w:rPr>
            </w:pPr>
            <w:r>
              <w:rPr>
                <w:rFonts w:hint="eastAsia" w:ascii="Times New Roman" w:hAnsi="Times New Roman"/>
                <w:lang w:eastAsia="zh-CN"/>
              </w:rPr>
              <w:t>一、</w:t>
            </w:r>
            <w:r>
              <w:rPr>
                <w:rFonts w:ascii="Times New Roman" w:hAnsi="Times New Roman"/>
              </w:rPr>
              <w:t>机械与物理性能</w:t>
            </w:r>
            <w:r>
              <w:rPr>
                <w:rFonts w:hint="eastAsia" w:ascii="Times New Roman" w:hAnsi="Times New Roman"/>
              </w:rPr>
              <w:t>（正常使用</w:t>
            </w:r>
            <w:r>
              <w:rPr>
                <w:rFonts w:hint="eastAsia" w:ascii="Times New Roman" w:hAnsi="Times New Roman"/>
                <w:lang w:eastAsia="zh-CN"/>
              </w:rPr>
              <w:t>、</w:t>
            </w:r>
            <w:r>
              <w:rPr>
                <w:bCs/>
                <w:szCs w:val="21"/>
              </w:rPr>
              <w:t>可预见的合理滥用</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4"/>
              </w:numPr>
              <w:jc w:val="center"/>
              <w:rPr>
                <w:rFonts w:ascii="Times New Roman" w:hAnsi="Times New Roman"/>
              </w:rPr>
            </w:pPr>
          </w:p>
        </w:tc>
        <w:tc>
          <w:tcPr>
            <w:tcW w:w="2744" w:type="dxa"/>
            <w:tcMar>
              <w:left w:w="57" w:type="dxa"/>
              <w:right w:w="57" w:type="dxa"/>
            </w:tcMar>
            <w:vAlign w:val="center"/>
          </w:tcPr>
          <w:p>
            <w:pPr>
              <w:pStyle w:val="6"/>
              <w:jc w:val="center"/>
              <w:rPr>
                <w:rFonts w:ascii="Times New Roman" w:hAnsi="Times New Roman"/>
                <w:bCs/>
                <w:sz w:val="21"/>
                <w:szCs w:val="21"/>
                <w:highlight w:val="none"/>
                <w:lang w:val="en-US"/>
              </w:rPr>
            </w:pPr>
            <w:r>
              <w:rPr>
                <w:rFonts w:ascii="Times New Roman" w:hAnsi="Times New Roman"/>
                <w:bCs/>
                <w:sz w:val="21"/>
                <w:szCs w:val="21"/>
                <w:highlight w:val="none"/>
                <w:lang w:val="en-US"/>
              </w:rPr>
              <w:t>材料</w:t>
            </w:r>
          </w:p>
        </w:tc>
        <w:tc>
          <w:tcPr>
            <w:tcW w:w="2745" w:type="dxa"/>
            <w:tcMar>
              <w:left w:w="57" w:type="dxa"/>
              <w:right w:w="57" w:type="dxa"/>
            </w:tcMar>
            <w:vAlign w:val="center"/>
          </w:tcPr>
          <w:p>
            <w:pPr>
              <w:pStyle w:val="6"/>
              <w:jc w:val="center"/>
              <w:rPr>
                <w:rFonts w:ascii="Times New Roman" w:hAnsi="Times New Roman"/>
                <w:bCs/>
                <w:sz w:val="21"/>
                <w:szCs w:val="21"/>
              </w:rPr>
            </w:pPr>
            <w:r>
              <w:rPr>
                <w:rFonts w:ascii="Times New Roman" w:hAnsi="Times New Roman"/>
                <w:bCs/>
                <w:sz w:val="21"/>
                <w:szCs w:val="21"/>
              </w:rPr>
              <w:t>GB 6675.2—2014（含第1号修改单）</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numPr>
                <w:ilvl w:val="0"/>
                <w:numId w:val="4"/>
              </w:numPr>
              <w:jc w:val="center"/>
              <w:rPr>
                <w:rFonts w:ascii="Times New Roman" w:hAnsi="Times New Roman"/>
              </w:rPr>
            </w:pPr>
          </w:p>
        </w:tc>
        <w:tc>
          <w:tcPr>
            <w:tcW w:w="274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
              <w:jc w:val="center"/>
              <w:rPr>
                <w:rFonts w:ascii="Times New Roman" w:hAnsi="Times New Roman"/>
                <w:bCs/>
                <w:sz w:val="21"/>
                <w:szCs w:val="21"/>
                <w:highlight w:val="none"/>
                <w:lang w:val="en-US"/>
              </w:rPr>
            </w:pPr>
            <w:r>
              <w:rPr>
                <w:rFonts w:ascii="Times New Roman" w:hAnsi="Times New Roman"/>
                <w:bCs/>
                <w:sz w:val="21"/>
                <w:szCs w:val="21"/>
                <w:highlight w:val="none"/>
                <w:lang w:val="en-US"/>
              </w:rPr>
              <w:t>模塑玩具边缘</w:t>
            </w:r>
          </w:p>
        </w:tc>
        <w:tc>
          <w:tcPr>
            <w:tcW w:w="274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
              <w:jc w:val="center"/>
              <w:rPr>
                <w:rFonts w:ascii="Times New Roman" w:hAnsi="Times New Roman"/>
                <w:bCs/>
                <w:sz w:val="21"/>
                <w:szCs w:val="21"/>
              </w:rPr>
            </w:pPr>
            <w:r>
              <w:rPr>
                <w:rFonts w:ascii="Times New Roman" w:hAnsi="Times New Roman"/>
                <w:bCs/>
                <w:sz w:val="21"/>
                <w:szCs w:val="21"/>
              </w:rPr>
              <w:t>GB 6675.2—2014（含第1号修改单）</w:t>
            </w:r>
          </w:p>
        </w:tc>
        <w:tc>
          <w:tcPr>
            <w:tcW w:w="274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numPr>
                <w:ilvl w:val="0"/>
                <w:numId w:val="4"/>
              </w:numPr>
              <w:jc w:val="center"/>
              <w:rPr>
                <w:rFonts w:ascii="Times New Roman" w:hAnsi="Times New Roman"/>
              </w:rPr>
            </w:pPr>
          </w:p>
        </w:tc>
        <w:tc>
          <w:tcPr>
            <w:tcW w:w="274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
              <w:jc w:val="center"/>
              <w:rPr>
                <w:rFonts w:ascii="Times New Roman" w:hAnsi="Times New Roman"/>
                <w:bCs/>
                <w:sz w:val="21"/>
                <w:szCs w:val="21"/>
                <w:highlight w:val="none"/>
                <w:lang w:val="en-US"/>
              </w:rPr>
            </w:pPr>
            <w:r>
              <w:rPr>
                <w:rFonts w:ascii="Times New Roman" w:hAnsi="Times New Roman"/>
                <w:bCs/>
                <w:sz w:val="21"/>
                <w:szCs w:val="21"/>
                <w:highlight w:val="none"/>
                <w:lang w:val="en-US"/>
              </w:rPr>
              <w:t>用于包装或玩具中的塑料袋或塑料薄膜</w:t>
            </w:r>
          </w:p>
        </w:tc>
        <w:tc>
          <w:tcPr>
            <w:tcW w:w="274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
              <w:jc w:val="center"/>
              <w:rPr>
                <w:rFonts w:ascii="Times New Roman" w:hAnsi="Times New Roman"/>
                <w:bCs/>
                <w:sz w:val="21"/>
                <w:szCs w:val="21"/>
              </w:rPr>
            </w:pPr>
            <w:r>
              <w:rPr>
                <w:rFonts w:ascii="Times New Roman" w:hAnsi="Times New Roman"/>
                <w:bCs/>
                <w:sz w:val="21"/>
                <w:szCs w:val="21"/>
              </w:rPr>
              <w:t>GB 6675.2—2014（含第1号修改单）</w:t>
            </w:r>
          </w:p>
        </w:tc>
        <w:tc>
          <w:tcPr>
            <w:tcW w:w="274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8958" w:type="dxa"/>
            <w:gridSpan w:val="4"/>
            <w:tcMar>
              <w:left w:w="57" w:type="dxa"/>
              <w:right w:w="57" w:type="dxa"/>
            </w:tcMar>
            <w:vAlign w:val="center"/>
          </w:tcPr>
          <w:p>
            <w:pPr>
              <w:rPr>
                <w:rFonts w:ascii="Times New Roman" w:hAnsi="Times New Roman"/>
              </w:rPr>
            </w:pPr>
            <w:r>
              <w:rPr>
                <w:rFonts w:hint="eastAsia"/>
                <w:bCs/>
                <w:szCs w:val="21"/>
                <w:lang w:eastAsia="zh-CN"/>
              </w:rPr>
              <w:t>二</w:t>
            </w:r>
            <w:r>
              <w:rPr>
                <w:bCs/>
                <w:szCs w:val="21"/>
              </w:rPr>
              <w:t>、易燃性能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5"/>
              </w:numPr>
              <w:jc w:val="center"/>
              <w:rPr>
                <w:rFonts w:ascii="Times New Roman" w:hAnsi="Times New Roman"/>
              </w:rPr>
            </w:pPr>
          </w:p>
        </w:tc>
        <w:tc>
          <w:tcPr>
            <w:tcW w:w="2744" w:type="dxa"/>
            <w:tcMar>
              <w:left w:w="57" w:type="dxa"/>
              <w:right w:w="57" w:type="dxa"/>
            </w:tcMar>
            <w:vAlign w:val="center"/>
          </w:tcPr>
          <w:p>
            <w:pPr>
              <w:jc w:val="center"/>
              <w:rPr>
                <w:rFonts w:ascii="Times New Roman" w:hAnsi="Times New Roman"/>
              </w:rPr>
            </w:pPr>
            <w:r>
              <w:rPr>
                <w:rFonts w:ascii="Times New Roman" w:hAnsi="Times New Roman"/>
              </w:rPr>
              <w:t>一般要求</w:t>
            </w:r>
          </w:p>
        </w:tc>
        <w:tc>
          <w:tcPr>
            <w:tcW w:w="2745" w:type="dxa"/>
            <w:tcMar>
              <w:left w:w="57" w:type="dxa"/>
              <w:right w:w="57" w:type="dxa"/>
            </w:tcMar>
            <w:vAlign w:val="center"/>
          </w:tcPr>
          <w:p>
            <w:pPr>
              <w:jc w:val="center"/>
              <w:rPr>
                <w:rFonts w:ascii="Times New Roman" w:hAnsi="Times New Roman"/>
              </w:rPr>
            </w:pPr>
            <w:r>
              <w:rPr>
                <w:rFonts w:ascii="Times New Roman" w:hAnsi="Times New Roman"/>
              </w:rPr>
              <w:t>GB 6675.3—2014</w:t>
            </w:r>
          </w:p>
        </w:tc>
        <w:tc>
          <w:tcPr>
            <w:tcW w:w="2745" w:type="dxa"/>
            <w:tcMar>
              <w:left w:w="57" w:type="dxa"/>
              <w:right w:w="57" w:type="dxa"/>
            </w:tcMar>
            <w:vAlign w:val="center"/>
          </w:tcPr>
          <w:p>
            <w:pPr>
              <w:jc w:val="center"/>
              <w:rPr>
                <w:rFonts w:ascii="Times New Roman" w:hAnsi="Times New Roman"/>
              </w:rPr>
            </w:pPr>
            <w:r>
              <w:rPr>
                <w:rFonts w:ascii="Times New Roman" w:hAnsi="Times New Roman"/>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 w:hRule="atLeast"/>
          <w:jc w:val="center"/>
        </w:trPr>
        <w:tc>
          <w:tcPr>
            <w:tcW w:w="724" w:type="dxa"/>
            <w:tcMar>
              <w:left w:w="57" w:type="dxa"/>
              <w:right w:w="57" w:type="dxa"/>
            </w:tcMar>
            <w:vAlign w:val="center"/>
          </w:tcPr>
          <w:p>
            <w:pPr>
              <w:numPr>
                <w:ilvl w:val="0"/>
                <w:numId w:val="5"/>
              </w:numPr>
              <w:jc w:val="center"/>
              <w:rPr>
                <w:rFonts w:ascii="Times New Roman" w:hAnsi="Times New Roman"/>
              </w:rPr>
            </w:pPr>
          </w:p>
        </w:tc>
        <w:tc>
          <w:tcPr>
            <w:tcW w:w="2744" w:type="dxa"/>
            <w:tcMar>
              <w:left w:w="57" w:type="dxa"/>
              <w:right w:w="57" w:type="dxa"/>
            </w:tcMar>
            <w:vAlign w:val="center"/>
          </w:tcPr>
          <w:p>
            <w:pPr>
              <w:jc w:val="center"/>
              <w:rPr>
                <w:rFonts w:ascii="Times New Roman" w:hAnsi="Times New Roman"/>
              </w:rPr>
            </w:pPr>
            <w:r>
              <w:rPr>
                <w:rFonts w:ascii="Times New Roman" w:hAnsi="Times New Roman"/>
              </w:rPr>
              <w:t>具有毛绒或纺织表面的软体填充玩具</w:t>
            </w:r>
            <w:r>
              <w:rPr>
                <w:rFonts w:hint="eastAsia" w:ascii="Times New Roman" w:hAnsi="Times New Roman"/>
              </w:rPr>
              <w:t>（动物和娃娃等）</w:t>
            </w:r>
          </w:p>
        </w:tc>
        <w:tc>
          <w:tcPr>
            <w:tcW w:w="2745" w:type="dxa"/>
            <w:tcMar>
              <w:left w:w="57" w:type="dxa"/>
              <w:right w:w="57" w:type="dxa"/>
            </w:tcMar>
            <w:vAlign w:val="center"/>
          </w:tcPr>
          <w:p>
            <w:pPr>
              <w:jc w:val="center"/>
            </w:pPr>
            <w:r>
              <w:rPr>
                <w:rFonts w:ascii="Times New Roman" w:hAnsi="Times New Roman"/>
              </w:rPr>
              <w:t>GB 6675.3—2014</w:t>
            </w:r>
          </w:p>
        </w:tc>
        <w:tc>
          <w:tcPr>
            <w:tcW w:w="2745" w:type="dxa"/>
            <w:tcMar>
              <w:left w:w="57" w:type="dxa"/>
              <w:right w:w="57" w:type="dxa"/>
            </w:tcMar>
            <w:vAlign w:val="center"/>
          </w:tcPr>
          <w:p>
            <w:pPr>
              <w:jc w:val="center"/>
              <w:rPr>
                <w:rFonts w:ascii="Times New Roman" w:hAnsi="Times New Roman"/>
              </w:rPr>
            </w:pPr>
            <w:r>
              <w:rPr>
                <w:rFonts w:ascii="Times New Roman" w:hAnsi="Times New Roman"/>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8958" w:type="dxa"/>
            <w:gridSpan w:val="4"/>
            <w:tcMar>
              <w:left w:w="57" w:type="dxa"/>
              <w:right w:w="57" w:type="dxa"/>
            </w:tcMar>
            <w:vAlign w:val="center"/>
          </w:tcPr>
          <w:p>
            <w:pPr>
              <w:rPr>
                <w:bCs/>
                <w:szCs w:val="21"/>
              </w:rPr>
            </w:pPr>
            <w:r>
              <w:rPr>
                <w:rFonts w:hint="eastAsia"/>
                <w:bCs/>
                <w:szCs w:val="21"/>
                <w:lang w:eastAsia="zh-CN"/>
              </w:rPr>
              <w:t>三</w:t>
            </w:r>
            <w:r>
              <w:rPr>
                <w:bCs/>
                <w:szCs w:val="21"/>
              </w:rPr>
              <w:t>、特定元素的迁移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6"/>
              </w:numPr>
              <w:jc w:val="center"/>
              <w:rPr>
                <w:rFonts w:ascii="Times New Roman" w:hAnsi="Times New Roman"/>
              </w:rPr>
            </w:pPr>
          </w:p>
        </w:tc>
        <w:tc>
          <w:tcPr>
            <w:tcW w:w="2744" w:type="dxa"/>
            <w:tcMar>
              <w:left w:w="57" w:type="dxa"/>
              <w:right w:w="57" w:type="dxa"/>
            </w:tcMar>
            <w:vAlign w:val="center"/>
          </w:tcPr>
          <w:p>
            <w:pPr>
              <w:jc w:val="center"/>
              <w:rPr>
                <w:rFonts w:ascii="Times New Roman" w:hAnsi="Times New Roman"/>
              </w:rPr>
            </w:pPr>
            <w:r>
              <w:rPr>
                <w:bCs/>
                <w:szCs w:val="21"/>
              </w:rPr>
              <w:t>最大限量要求</w:t>
            </w:r>
          </w:p>
        </w:tc>
        <w:tc>
          <w:tcPr>
            <w:tcW w:w="2745" w:type="dxa"/>
            <w:tcMar>
              <w:left w:w="57" w:type="dxa"/>
              <w:right w:w="57" w:type="dxa"/>
            </w:tcMar>
            <w:vAlign w:val="center"/>
          </w:tcPr>
          <w:p>
            <w:pPr>
              <w:jc w:val="center"/>
              <w:rPr>
                <w:rFonts w:ascii="Times New Roman" w:hAnsi="Times New Roman"/>
              </w:rPr>
            </w:pPr>
            <w:r>
              <w:rPr>
                <w:rFonts w:ascii="Times New Roman" w:hAnsi="Times New Roman"/>
              </w:rPr>
              <w:t>GB 6675.4—2014</w:t>
            </w:r>
          </w:p>
        </w:tc>
        <w:tc>
          <w:tcPr>
            <w:tcW w:w="2745" w:type="dxa"/>
            <w:tcMar>
              <w:left w:w="57" w:type="dxa"/>
              <w:right w:w="57" w:type="dxa"/>
            </w:tcMar>
            <w:vAlign w:val="center"/>
          </w:tcPr>
          <w:p>
            <w:pPr>
              <w:jc w:val="center"/>
              <w:rPr>
                <w:rFonts w:ascii="Times New Roman" w:hAnsi="Times New Roman"/>
              </w:rPr>
            </w:pPr>
            <w:r>
              <w:rPr>
                <w:rFonts w:ascii="Times New Roman" w:hAnsi="Times New Roman"/>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8958" w:type="dxa"/>
            <w:gridSpan w:val="4"/>
            <w:tcMar>
              <w:left w:w="57" w:type="dxa"/>
              <w:right w:w="57" w:type="dxa"/>
            </w:tcMar>
            <w:vAlign w:val="center"/>
          </w:tcPr>
          <w:p>
            <w:pPr>
              <w:rPr>
                <w:bCs/>
                <w:szCs w:val="21"/>
              </w:rPr>
            </w:pPr>
            <w:r>
              <w:rPr>
                <w:rFonts w:hint="eastAsia" w:ascii="Times New Roman" w:hAnsi="Times New Roman"/>
                <w:bCs/>
                <w:szCs w:val="21"/>
                <w:lang w:eastAsia="zh-CN"/>
              </w:rPr>
              <w:t>四</w:t>
            </w:r>
            <w:r>
              <w:rPr>
                <w:rFonts w:ascii="Times New Roman" w:hAnsi="Times New Roman"/>
                <w:bCs/>
                <w:szCs w:val="21"/>
              </w:rPr>
              <w:t>、增塑剂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7"/>
              </w:numPr>
              <w:jc w:val="center"/>
              <w:rPr>
                <w:rFonts w:ascii="Times New Roman" w:hAnsi="Times New Roman"/>
              </w:rPr>
            </w:pPr>
          </w:p>
        </w:tc>
        <w:tc>
          <w:tcPr>
            <w:tcW w:w="2744" w:type="dxa"/>
            <w:tcMar>
              <w:left w:w="57" w:type="dxa"/>
              <w:right w:w="57" w:type="dxa"/>
            </w:tcMar>
            <w:vAlign w:val="center"/>
          </w:tcPr>
          <w:p>
            <w:pPr>
              <w:jc w:val="center"/>
              <w:rPr>
                <w:rFonts w:ascii="Times New Roman" w:hAnsi="Times New Roman"/>
              </w:rPr>
            </w:pPr>
            <w:r>
              <w:rPr>
                <w:bCs/>
                <w:szCs w:val="21"/>
              </w:rPr>
              <w:t>限定增塑剂限量要求</w:t>
            </w:r>
          </w:p>
        </w:tc>
        <w:tc>
          <w:tcPr>
            <w:tcW w:w="2745" w:type="dxa"/>
            <w:tcMar>
              <w:left w:w="57" w:type="dxa"/>
              <w:right w:w="57" w:type="dxa"/>
            </w:tcMar>
            <w:vAlign w:val="center"/>
          </w:tcPr>
          <w:p>
            <w:pPr>
              <w:jc w:val="center"/>
              <w:rPr>
                <w:rFonts w:ascii="Times New Roman" w:hAnsi="Times New Roman"/>
              </w:rPr>
            </w:pPr>
            <w:r>
              <w:rPr>
                <w:rFonts w:hint="eastAsia" w:ascii="Times New Roman" w:hAnsi="Times New Roman"/>
              </w:rPr>
              <w:t>GB</w:t>
            </w:r>
            <w:r>
              <w:rPr>
                <w:rFonts w:ascii="Times New Roman" w:hAnsi="Times New Roman"/>
              </w:rPr>
              <w:t xml:space="preserve"> 6675.1—2014</w:t>
            </w:r>
          </w:p>
        </w:tc>
        <w:tc>
          <w:tcPr>
            <w:tcW w:w="2745" w:type="dxa"/>
            <w:tcMar>
              <w:left w:w="57" w:type="dxa"/>
              <w:right w:w="57" w:type="dxa"/>
            </w:tcMar>
            <w:vAlign w:val="center"/>
          </w:tcPr>
          <w:p>
            <w:pPr>
              <w:jc w:val="center"/>
              <w:rPr>
                <w:rFonts w:ascii="Times New Roman" w:hAnsi="Times New Roman"/>
              </w:rPr>
            </w:pPr>
            <w:r>
              <w:rPr>
                <w:rFonts w:ascii="Times New Roman" w:hAnsi="Times New Roman"/>
              </w:rPr>
              <w:t>GB/T 22048—2022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 w:hRule="atLeast"/>
          <w:jc w:val="center"/>
        </w:trPr>
        <w:tc>
          <w:tcPr>
            <w:tcW w:w="8958" w:type="dxa"/>
            <w:gridSpan w:val="4"/>
            <w:tcMar>
              <w:left w:w="57" w:type="dxa"/>
              <w:right w:w="57" w:type="dxa"/>
            </w:tcMar>
            <w:vAlign w:val="center"/>
          </w:tcPr>
          <w:p>
            <w:pPr>
              <w:rPr>
                <w:rFonts w:ascii="Times New Roman" w:hAnsi="Times New Roman"/>
              </w:rPr>
            </w:pPr>
            <w:r>
              <w:rPr>
                <w:rFonts w:hint="eastAsia" w:ascii="Times New Roman" w:hAnsi="Times New Roman"/>
              </w:rPr>
              <w:t>注：特定元素的迁移（最大限量要求）、限定增塑剂限量要求项目选取5种主要材料进行测试，优先选取软性材料、涂层等高风险材料；不足5种的按照实际材料数量测试。</w:t>
            </w:r>
          </w:p>
        </w:tc>
      </w:tr>
    </w:tbl>
    <w:p>
      <w:pPr>
        <w:snapToGrid w:val="0"/>
        <w:spacing w:line="440" w:lineRule="exact"/>
        <w:rPr>
          <w:rFonts w:ascii="Times New Roman" w:hAnsi="Times New Roman"/>
          <w:color w:val="000000"/>
          <w:szCs w:val="21"/>
        </w:rPr>
      </w:pPr>
    </w:p>
    <w:p>
      <w:pPr>
        <w:snapToGrid w:val="0"/>
        <w:spacing w:line="440" w:lineRule="exact"/>
        <w:rPr>
          <w:rFonts w:ascii="Times New Roman" w:hAnsi="Times New Roman"/>
          <w:color w:val="000000"/>
          <w:szCs w:val="21"/>
        </w:rPr>
      </w:pPr>
      <w:r>
        <w:rPr>
          <w:rFonts w:ascii="Times New Roman" w:hAnsi="Times New Roman"/>
          <w:color w:val="000000"/>
          <w:szCs w:val="21"/>
        </w:rPr>
        <w:t>2.3 电玩具</w:t>
      </w:r>
    </w:p>
    <w:tbl>
      <w:tblPr>
        <w:tblStyle w:val="17"/>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2744"/>
        <w:gridCol w:w="2745"/>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tblHeader/>
          <w:jc w:val="center"/>
        </w:trPr>
        <w:tc>
          <w:tcPr>
            <w:tcW w:w="724" w:type="dxa"/>
            <w:tcMar>
              <w:left w:w="57" w:type="dxa"/>
              <w:right w:w="57" w:type="dxa"/>
            </w:tcMar>
            <w:vAlign w:val="center"/>
          </w:tcPr>
          <w:p>
            <w:pPr>
              <w:jc w:val="center"/>
              <w:rPr>
                <w:rFonts w:ascii="Times New Roman" w:hAnsi="Times New Roman"/>
              </w:rPr>
            </w:pPr>
            <w:r>
              <w:rPr>
                <w:rFonts w:ascii="Times New Roman" w:hAnsi="Times New Roman"/>
              </w:rPr>
              <w:t>序号</w:t>
            </w:r>
          </w:p>
        </w:tc>
        <w:tc>
          <w:tcPr>
            <w:tcW w:w="2744" w:type="dxa"/>
            <w:tcMar>
              <w:left w:w="57" w:type="dxa"/>
              <w:right w:w="57" w:type="dxa"/>
            </w:tcMar>
            <w:vAlign w:val="center"/>
          </w:tcPr>
          <w:p>
            <w:pPr>
              <w:jc w:val="center"/>
              <w:rPr>
                <w:rFonts w:ascii="Times New Roman" w:hAnsi="Times New Roman"/>
              </w:rPr>
            </w:pPr>
            <w:r>
              <w:rPr>
                <w:rFonts w:ascii="Times New Roman" w:hAnsi="Times New Roman"/>
              </w:rPr>
              <w:t>检验项目</w:t>
            </w:r>
          </w:p>
        </w:tc>
        <w:tc>
          <w:tcPr>
            <w:tcW w:w="2745" w:type="dxa"/>
            <w:tcMar>
              <w:left w:w="57" w:type="dxa"/>
              <w:right w:w="57" w:type="dxa"/>
            </w:tcMar>
            <w:vAlign w:val="center"/>
          </w:tcPr>
          <w:p>
            <w:pPr>
              <w:jc w:val="center"/>
              <w:rPr>
                <w:rFonts w:ascii="Times New Roman" w:hAnsi="Times New Roman"/>
              </w:rPr>
            </w:pPr>
            <w:r>
              <w:rPr>
                <w:rFonts w:hint="eastAsia" w:ascii="Times New Roman" w:hAnsi="Times New Roman"/>
              </w:rPr>
              <w:t>检测依据</w:t>
            </w:r>
          </w:p>
        </w:tc>
        <w:tc>
          <w:tcPr>
            <w:tcW w:w="2745" w:type="dxa"/>
            <w:tcMar>
              <w:left w:w="57" w:type="dxa"/>
              <w:right w:w="57" w:type="dxa"/>
            </w:tcMar>
            <w:vAlign w:val="center"/>
          </w:tcPr>
          <w:p>
            <w:pPr>
              <w:jc w:val="center"/>
              <w:rPr>
                <w:rFonts w:ascii="Times New Roman" w:hAnsi="Times New Roman"/>
              </w:rPr>
            </w:pPr>
            <w:r>
              <w:rPr>
                <w:rFonts w:ascii="Times New Roman" w:hAnsi="Times New Roma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8958" w:type="dxa"/>
            <w:gridSpan w:val="4"/>
            <w:tcMar>
              <w:left w:w="57" w:type="dxa"/>
              <w:right w:w="57" w:type="dxa"/>
            </w:tcMar>
            <w:vAlign w:val="center"/>
          </w:tcPr>
          <w:p>
            <w:pPr>
              <w:numPr>
                <w:ilvl w:val="0"/>
                <w:numId w:val="8"/>
              </w:numPr>
              <w:rPr>
                <w:rFonts w:hint="eastAsia" w:ascii="Times New Roman" w:hAnsi="Times New Roman"/>
              </w:rPr>
            </w:pPr>
            <w:r>
              <w:rPr>
                <w:rFonts w:ascii="Times New Roman" w:hAnsi="Times New Roman"/>
              </w:rPr>
              <w:t>机械与物理性能</w:t>
            </w:r>
            <w:r>
              <w:rPr>
                <w:rFonts w:hint="eastAsia" w:ascii="Times New Roman" w:hAnsi="Times New Roman"/>
              </w:rPr>
              <w:t>（正常使用）</w:t>
            </w:r>
          </w:p>
          <w:p>
            <w:pPr>
              <w:numPr>
                <w:numId w:val="0"/>
              </w:numPr>
              <w:rPr>
                <w:rFonts w:hint="eastAsia" w:ascii="Times New Roman" w:hAnsi="Times New Roman"/>
              </w:rPr>
            </w:pPr>
            <w:r>
              <w:rPr>
                <w:rFonts w:hint="eastAsia" w:ascii="Times New Roman" w:hAnsi="Times New Roman"/>
              </w:rPr>
              <w:t>电性能（标识和说明、发热和非正常工作、工作温度下的电气强度、耐潮湿、室温下的电气强度、机械强度、结构）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9"/>
              </w:numPr>
              <w:jc w:val="center"/>
              <w:rPr>
                <w:rFonts w:ascii="Times New Roman" w:hAnsi="Times New Roman"/>
              </w:rPr>
            </w:pPr>
          </w:p>
        </w:tc>
        <w:tc>
          <w:tcPr>
            <w:tcW w:w="2744" w:type="dxa"/>
            <w:tcMar>
              <w:left w:w="57" w:type="dxa"/>
              <w:right w:w="57" w:type="dxa"/>
            </w:tcMar>
            <w:vAlign w:val="center"/>
          </w:tcPr>
          <w:p>
            <w:pPr>
              <w:pStyle w:val="6"/>
              <w:jc w:val="center"/>
              <w:rPr>
                <w:rFonts w:ascii="Times New Roman" w:hAnsi="Times New Roman"/>
                <w:bCs/>
                <w:color w:val="auto"/>
                <w:sz w:val="21"/>
                <w:szCs w:val="21"/>
                <w:highlight w:val="none"/>
                <w:lang w:val="en-US"/>
              </w:rPr>
            </w:pPr>
            <w:r>
              <w:rPr>
                <w:rFonts w:ascii="Times New Roman" w:hAnsi="Times New Roman"/>
                <w:bCs/>
                <w:color w:val="auto"/>
                <w:sz w:val="21"/>
                <w:szCs w:val="21"/>
                <w:highlight w:val="none"/>
                <w:lang w:val="en-US"/>
              </w:rPr>
              <w:t>材料</w:t>
            </w:r>
          </w:p>
        </w:tc>
        <w:tc>
          <w:tcPr>
            <w:tcW w:w="2745" w:type="dxa"/>
            <w:tcMar>
              <w:left w:w="57" w:type="dxa"/>
              <w:right w:w="57" w:type="dxa"/>
            </w:tcMar>
            <w:vAlign w:val="center"/>
          </w:tcPr>
          <w:p>
            <w:pPr>
              <w:pStyle w:val="6"/>
              <w:jc w:val="center"/>
              <w:rPr>
                <w:rFonts w:ascii="Times New Roman" w:hAnsi="Times New Roman"/>
                <w:bCs/>
                <w:sz w:val="21"/>
                <w:szCs w:val="21"/>
              </w:rPr>
            </w:pPr>
            <w:r>
              <w:rPr>
                <w:rFonts w:ascii="Times New Roman" w:hAnsi="Times New Roman"/>
                <w:bCs/>
                <w:sz w:val="21"/>
                <w:szCs w:val="21"/>
              </w:rPr>
              <w:t>GB 6675.2—2014（含第1号修改单）</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9"/>
              </w:numPr>
              <w:jc w:val="center"/>
              <w:rPr>
                <w:rFonts w:ascii="Times New Roman" w:hAnsi="Times New Roman"/>
              </w:rPr>
            </w:pPr>
          </w:p>
        </w:tc>
        <w:tc>
          <w:tcPr>
            <w:tcW w:w="2744" w:type="dxa"/>
            <w:tcMar>
              <w:left w:w="57" w:type="dxa"/>
              <w:right w:w="57" w:type="dxa"/>
            </w:tcMar>
            <w:vAlign w:val="center"/>
          </w:tcPr>
          <w:p>
            <w:pPr>
              <w:pStyle w:val="6"/>
              <w:jc w:val="center"/>
              <w:rPr>
                <w:rFonts w:ascii="Times New Roman" w:hAnsi="Times New Roman"/>
                <w:bCs/>
                <w:color w:val="auto"/>
                <w:sz w:val="21"/>
                <w:szCs w:val="21"/>
                <w:highlight w:val="none"/>
                <w:lang w:val="en-US"/>
              </w:rPr>
            </w:pPr>
            <w:r>
              <w:rPr>
                <w:rFonts w:ascii="Times New Roman" w:hAnsi="Times New Roman"/>
                <w:bCs/>
                <w:color w:val="auto"/>
                <w:sz w:val="21"/>
                <w:szCs w:val="21"/>
                <w:highlight w:val="none"/>
                <w:lang w:val="en-US"/>
              </w:rPr>
              <w:t>其他驱动机构</w:t>
            </w:r>
          </w:p>
        </w:tc>
        <w:tc>
          <w:tcPr>
            <w:tcW w:w="2745" w:type="dxa"/>
            <w:tcMar>
              <w:left w:w="57" w:type="dxa"/>
              <w:right w:w="57" w:type="dxa"/>
            </w:tcMar>
            <w:vAlign w:val="center"/>
          </w:tcPr>
          <w:p>
            <w:pPr>
              <w:pStyle w:val="6"/>
              <w:jc w:val="center"/>
              <w:rPr>
                <w:rFonts w:ascii="Times New Roman" w:hAnsi="Times New Roman"/>
                <w:bCs/>
                <w:sz w:val="21"/>
                <w:szCs w:val="21"/>
              </w:rPr>
            </w:pPr>
            <w:r>
              <w:rPr>
                <w:rFonts w:ascii="Times New Roman" w:hAnsi="Times New Roman"/>
                <w:bCs/>
                <w:sz w:val="21"/>
                <w:szCs w:val="21"/>
              </w:rPr>
              <w:t>GB 6675.2—2014（含第1号修改单）</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8958" w:type="dxa"/>
            <w:gridSpan w:val="4"/>
            <w:tcMar>
              <w:left w:w="57" w:type="dxa"/>
              <w:right w:w="57" w:type="dxa"/>
            </w:tcMar>
            <w:vAlign w:val="center"/>
          </w:tcPr>
          <w:p>
            <w:pPr>
              <w:rPr>
                <w:rFonts w:ascii="Times New Roman" w:hAnsi="Times New Roman"/>
                <w:color w:val="auto"/>
                <w:highlight w:val="none"/>
              </w:rPr>
            </w:pPr>
            <w:r>
              <w:rPr>
                <w:rFonts w:hint="eastAsia"/>
                <w:bCs/>
                <w:color w:val="auto"/>
                <w:szCs w:val="21"/>
                <w:highlight w:val="none"/>
                <w:lang w:eastAsia="zh-CN"/>
              </w:rPr>
              <w:t>二</w:t>
            </w:r>
            <w:r>
              <w:rPr>
                <w:bCs/>
                <w:color w:val="auto"/>
                <w:szCs w:val="21"/>
                <w:highlight w:val="none"/>
              </w:rPr>
              <w:t>、易燃性能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10"/>
              </w:numPr>
              <w:jc w:val="center"/>
              <w:rPr>
                <w:rFonts w:ascii="Times New Roman" w:hAnsi="Times New Roman"/>
              </w:rPr>
            </w:pPr>
          </w:p>
        </w:tc>
        <w:tc>
          <w:tcPr>
            <w:tcW w:w="2744" w:type="dxa"/>
            <w:tcMar>
              <w:left w:w="57" w:type="dxa"/>
              <w:right w:w="57" w:type="dxa"/>
            </w:tcMar>
            <w:vAlign w:val="center"/>
          </w:tcPr>
          <w:p>
            <w:pPr>
              <w:jc w:val="center"/>
              <w:rPr>
                <w:rFonts w:ascii="Times New Roman" w:hAnsi="Times New Roman"/>
                <w:color w:val="auto"/>
                <w:highlight w:val="none"/>
              </w:rPr>
            </w:pPr>
            <w:r>
              <w:rPr>
                <w:rFonts w:ascii="Times New Roman" w:hAnsi="Times New Roman"/>
                <w:color w:val="auto"/>
                <w:highlight w:val="none"/>
              </w:rPr>
              <w:t>一般要求</w:t>
            </w:r>
          </w:p>
        </w:tc>
        <w:tc>
          <w:tcPr>
            <w:tcW w:w="2745" w:type="dxa"/>
            <w:tcMar>
              <w:left w:w="57" w:type="dxa"/>
              <w:right w:w="57" w:type="dxa"/>
            </w:tcMar>
            <w:vAlign w:val="center"/>
          </w:tcPr>
          <w:p>
            <w:pPr>
              <w:jc w:val="center"/>
              <w:rPr>
                <w:rFonts w:ascii="Times New Roman" w:hAnsi="Times New Roman"/>
              </w:rPr>
            </w:pPr>
            <w:r>
              <w:rPr>
                <w:rFonts w:ascii="Times New Roman" w:hAnsi="Times New Roman"/>
              </w:rPr>
              <w:t>GB 6675.3—2014</w:t>
            </w:r>
          </w:p>
        </w:tc>
        <w:tc>
          <w:tcPr>
            <w:tcW w:w="2745" w:type="dxa"/>
            <w:tcMar>
              <w:left w:w="57" w:type="dxa"/>
              <w:right w:w="57" w:type="dxa"/>
            </w:tcMar>
            <w:vAlign w:val="center"/>
          </w:tcPr>
          <w:p>
            <w:pPr>
              <w:jc w:val="center"/>
              <w:rPr>
                <w:rFonts w:ascii="Times New Roman" w:hAnsi="Times New Roman"/>
              </w:rPr>
            </w:pPr>
            <w:r>
              <w:rPr>
                <w:rFonts w:ascii="Times New Roman" w:hAnsi="Times New Roman"/>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8958" w:type="dxa"/>
            <w:gridSpan w:val="4"/>
            <w:tcMar>
              <w:left w:w="57" w:type="dxa"/>
              <w:right w:w="57" w:type="dxa"/>
            </w:tcMar>
            <w:vAlign w:val="center"/>
          </w:tcPr>
          <w:p>
            <w:pPr>
              <w:rPr>
                <w:bCs/>
                <w:color w:val="auto"/>
                <w:szCs w:val="21"/>
                <w:highlight w:val="none"/>
              </w:rPr>
            </w:pPr>
            <w:r>
              <w:rPr>
                <w:rFonts w:hint="eastAsia"/>
                <w:bCs/>
                <w:color w:val="auto"/>
                <w:szCs w:val="21"/>
                <w:highlight w:val="none"/>
                <w:lang w:eastAsia="zh-CN"/>
              </w:rPr>
              <w:t>三</w:t>
            </w:r>
            <w:r>
              <w:rPr>
                <w:bCs/>
                <w:color w:val="auto"/>
                <w:szCs w:val="21"/>
                <w:highlight w:val="none"/>
              </w:rPr>
              <w:t>、特定元素的迁移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6"/>
              </w:numPr>
              <w:jc w:val="center"/>
              <w:rPr>
                <w:rFonts w:ascii="Times New Roman" w:hAnsi="Times New Roman"/>
              </w:rPr>
            </w:pPr>
          </w:p>
        </w:tc>
        <w:tc>
          <w:tcPr>
            <w:tcW w:w="2744" w:type="dxa"/>
            <w:tcMar>
              <w:left w:w="57" w:type="dxa"/>
              <w:right w:w="57" w:type="dxa"/>
            </w:tcMar>
            <w:vAlign w:val="center"/>
          </w:tcPr>
          <w:p>
            <w:pPr>
              <w:jc w:val="center"/>
              <w:rPr>
                <w:rFonts w:ascii="Times New Roman" w:hAnsi="Times New Roman"/>
                <w:color w:val="auto"/>
                <w:highlight w:val="none"/>
              </w:rPr>
            </w:pPr>
            <w:r>
              <w:rPr>
                <w:bCs/>
                <w:color w:val="auto"/>
                <w:szCs w:val="21"/>
                <w:highlight w:val="none"/>
              </w:rPr>
              <w:t>最大限量要求</w:t>
            </w:r>
          </w:p>
        </w:tc>
        <w:tc>
          <w:tcPr>
            <w:tcW w:w="2745" w:type="dxa"/>
            <w:tcMar>
              <w:left w:w="57" w:type="dxa"/>
              <w:right w:w="57" w:type="dxa"/>
            </w:tcMar>
            <w:vAlign w:val="center"/>
          </w:tcPr>
          <w:p>
            <w:pPr>
              <w:jc w:val="center"/>
              <w:rPr>
                <w:rFonts w:ascii="Times New Roman" w:hAnsi="Times New Roman"/>
              </w:rPr>
            </w:pPr>
            <w:r>
              <w:rPr>
                <w:rFonts w:ascii="Times New Roman" w:hAnsi="Times New Roman"/>
              </w:rPr>
              <w:t>GB 6675.4—2014</w:t>
            </w:r>
          </w:p>
        </w:tc>
        <w:tc>
          <w:tcPr>
            <w:tcW w:w="2745" w:type="dxa"/>
            <w:tcMar>
              <w:left w:w="57" w:type="dxa"/>
              <w:right w:w="57" w:type="dxa"/>
            </w:tcMar>
            <w:vAlign w:val="center"/>
          </w:tcPr>
          <w:p>
            <w:pPr>
              <w:jc w:val="center"/>
              <w:rPr>
                <w:rFonts w:ascii="Times New Roman" w:hAnsi="Times New Roman"/>
              </w:rPr>
            </w:pPr>
            <w:r>
              <w:rPr>
                <w:rFonts w:ascii="Times New Roman" w:hAnsi="Times New Roman"/>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8958" w:type="dxa"/>
            <w:gridSpan w:val="4"/>
            <w:tcMar>
              <w:left w:w="57" w:type="dxa"/>
              <w:right w:w="57" w:type="dxa"/>
            </w:tcMar>
            <w:vAlign w:val="center"/>
          </w:tcPr>
          <w:p>
            <w:pPr>
              <w:rPr>
                <w:bCs/>
                <w:color w:val="auto"/>
                <w:szCs w:val="21"/>
                <w:highlight w:val="none"/>
              </w:rPr>
            </w:pPr>
            <w:r>
              <w:rPr>
                <w:rFonts w:hint="eastAsia" w:ascii="Times New Roman" w:hAnsi="Times New Roman"/>
                <w:bCs/>
                <w:color w:val="auto"/>
                <w:szCs w:val="21"/>
                <w:highlight w:val="none"/>
                <w:lang w:eastAsia="zh-CN"/>
              </w:rPr>
              <w:t>四</w:t>
            </w:r>
            <w:r>
              <w:rPr>
                <w:rFonts w:ascii="Times New Roman" w:hAnsi="Times New Roman"/>
                <w:bCs/>
                <w:color w:val="auto"/>
                <w:szCs w:val="21"/>
                <w:highlight w:val="none"/>
              </w:rPr>
              <w:t>、增塑剂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7"/>
              </w:numPr>
              <w:jc w:val="center"/>
              <w:rPr>
                <w:rFonts w:ascii="Times New Roman" w:hAnsi="Times New Roman"/>
              </w:rPr>
            </w:pPr>
          </w:p>
        </w:tc>
        <w:tc>
          <w:tcPr>
            <w:tcW w:w="2744" w:type="dxa"/>
            <w:tcMar>
              <w:left w:w="57" w:type="dxa"/>
              <w:right w:w="57" w:type="dxa"/>
            </w:tcMar>
            <w:vAlign w:val="center"/>
          </w:tcPr>
          <w:p>
            <w:pPr>
              <w:jc w:val="center"/>
              <w:rPr>
                <w:rFonts w:ascii="Times New Roman" w:hAnsi="Times New Roman"/>
                <w:color w:val="auto"/>
                <w:highlight w:val="none"/>
              </w:rPr>
            </w:pPr>
            <w:r>
              <w:rPr>
                <w:bCs/>
                <w:color w:val="auto"/>
                <w:szCs w:val="21"/>
                <w:highlight w:val="none"/>
              </w:rPr>
              <w:t>限定增塑剂限量要求</w:t>
            </w:r>
          </w:p>
        </w:tc>
        <w:tc>
          <w:tcPr>
            <w:tcW w:w="2745" w:type="dxa"/>
            <w:tcMar>
              <w:left w:w="57" w:type="dxa"/>
              <w:right w:w="57" w:type="dxa"/>
            </w:tcMar>
            <w:vAlign w:val="center"/>
          </w:tcPr>
          <w:p>
            <w:pPr>
              <w:jc w:val="center"/>
              <w:rPr>
                <w:rFonts w:ascii="Times New Roman" w:hAnsi="Times New Roman"/>
              </w:rPr>
            </w:pPr>
            <w:r>
              <w:rPr>
                <w:rFonts w:hint="eastAsia" w:ascii="Times New Roman" w:hAnsi="Times New Roman"/>
              </w:rPr>
              <w:t>GB</w:t>
            </w:r>
            <w:r>
              <w:rPr>
                <w:rFonts w:ascii="Times New Roman" w:hAnsi="Times New Roman"/>
              </w:rPr>
              <w:t xml:space="preserve"> 6675.1—2014</w:t>
            </w:r>
          </w:p>
        </w:tc>
        <w:tc>
          <w:tcPr>
            <w:tcW w:w="2745" w:type="dxa"/>
            <w:tcMar>
              <w:left w:w="57" w:type="dxa"/>
              <w:right w:w="57" w:type="dxa"/>
            </w:tcMar>
            <w:vAlign w:val="center"/>
          </w:tcPr>
          <w:p>
            <w:pPr>
              <w:jc w:val="center"/>
              <w:rPr>
                <w:rFonts w:ascii="Times New Roman" w:hAnsi="Times New Roman"/>
              </w:rPr>
            </w:pPr>
            <w:r>
              <w:rPr>
                <w:rFonts w:ascii="Times New Roman" w:hAnsi="Times New Roman"/>
              </w:rPr>
              <w:t>GB/T 22048—2022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8958" w:type="dxa"/>
            <w:gridSpan w:val="4"/>
            <w:tcMar>
              <w:left w:w="57" w:type="dxa"/>
              <w:right w:w="57" w:type="dxa"/>
            </w:tcMar>
            <w:vAlign w:val="center"/>
          </w:tcPr>
          <w:p>
            <w:pPr>
              <w:rPr>
                <w:bCs/>
                <w:color w:val="auto"/>
                <w:szCs w:val="21"/>
                <w:highlight w:val="none"/>
              </w:rPr>
            </w:pPr>
            <w:r>
              <w:rPr>
                <w:rFonts w:hint="eastAsia" w:ascii="Times New Roman" w:hAnsi="Times New Roman"/>
                <w:bCs/>
                <w:color w:val="auto"/>
                <w:szCs w:val="21"/>
                <w:highlight w:val="none"/>
                <w:lang w:eastAsia="zh-CN"/>
              </w:rPr>
              <w:t>五</w:t>
            </w:r>
            <w:r>
              <w:rPr>
                <w:rFonts w:ascii="Times New Roman" w:hAnsi="Times New Roman"/>
                <w:bCs/>
                <w:color w:val="auto"/>
                <w:szCs w:val="21"/>
                <w:highlight w:val="none"/>
              </w:rPr>
              <w:t>、电性能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11"/>
              </w:numPr>
              <w:jc w:val="center"/>
              <w:rPr>
                <w:rFonts w:ascii="Times New Roman" w:hAnsi="Times New Roman"/>
              </w:rPr>
            </w:pPr>
          </w:p>
        </w:tc>
        <w:tc>
          <w:tcPr>
            <w:tcW w:w="2744" w:type="dxa"/>
            <w:tcMar>
              <w:left w:w="57" w:type="dxa"/>
              <w:right w:w="57" w:type="dxa"/>
            </w:tcMar>
            <w:vAlign w:val="center"/>
          </w:tcPr>
          <w:p>
            <w:pPr>
              <w:jc w:val="center"/>
              <w:rPr>
                <w:bCs/>
                <w:color w:val="auto"/>
                <w:szCs w:val="21"/>
                <w:highlight w:val="none"/>
              </w:rPr>
            </w:pPr>
            <w:r>
              <w:rPr>
                <w:color w:val="auto"/>
                <w:kern w:val="0"/>
                <w:szCs w:val="21"/>
                <w:highlight w:val="none"/>
              </w:rPr>
              <w:t>标识和说明</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19865—2005（含第1号修改单）</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19865—2005（含第1号修改单）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11"/>
              </w:numPr>
              <w:jc w:val="center"/>
              <w:rPr>
                <w:rFonts w:ascii="Times New Roman" w:hAnsi="Times New Roman"/>
              </w:rPr>
            </w:pPr>
          </w:p>
        </w:tc>
        <w:tc>
          <w:tcPr>
            <w:tcW w:w="2744" w:type="dxa"/>
            <w:tcMar>
              <w:left w:w="57" w:type="dxa"/>
              <w:right w:w="57" w:type="dxa"/>
            </w:tcMar>
            <w:vAlign w:val="center"/>
          </w:tcPr>
          <w:p>
            <w:pPr>
              <w:jc w:val="center"/>
              <w:rPr>
                <w:bCs/>
                <w:color w:val="auto"/>
                <w:szCs w:val="21"/>
                <w:highlight w:val="none"/>
              </w:rPr>
            </w:pPr>
            <w:r>
              <w:rPr>
                <w:rFonts w:hint="eastAsia"/>
                <w:bCs/>
                <w:color w:val="auto"/>
                <w:szCs w:val="21"/>
                <w:highlight w:val="none"/>
              </w:rPr>
              <w:t>发热和非正常工作</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19865—2005（含第1号修改单）</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19865—2005（含第1号修改单）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11"/>
              </w:numPr>
              <w:jc w:val="center"/>
              <w:rPr>
                <w:rFonts w:ascii="Times New Roman" w:hAnsi="Times New Roman"/>
              </w:rPr>
            </w:pPr>
          </w:p>
        </w:tc>
        <w:tc>
          <w:tcPr>
            <w:tcW w:w="2744" w:type="dxa"/>
            <w:tcMar>
              <w:left w:w="57" w:type="dxa"/>
              <w:right w:w="57" w:type="dxa"/>
            </w:tcMar>
            <w:vAlign w:val="center"/>
          </w:tcPr>
          <w:p>
            <w:pPr>
              <w:jc w:val="center"/>
              <w:rPr>
                <w:bCs/>
                <w:color w:val="auto"/>
                <w:szCs w:val="21"/>
                <w:highlight w:val="none"/>
              </w:rPr>
            </w:pPr>
            <w:r>
              <w:rPr>
                <w:rFonts w:hint="eastAsia"/>
                <w:bCs/>
                <w:color w:val="auto"/>
                <w:szCs w:val="21"/>
                <w:highlight w:val="none"/>
              </w:rPr>
              <w:t>工作温度下的电气强度</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19865—2005（含第1号修改单）</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11"/>
              </w:numPr>
              <w:jc w:val="center"/>
              <w:rPr>
                <w:rFonts w:ascii="Times New Roman" w:hAnsi="Times New Roman"/>
              </w:rPr>
            </w:pPr>
          </w:p>
        </w:tc>
        <w:tc>
          <w:tcPr>
            <w:tcW w:w="2744" w:type="dxa"/>
            <w:tcMar>
              <w:left w:w="57" w:type="dxa"/>
              <w:right w:w="57" w:type="dxa"/>
            </w:tcMar>
            <w:vAlign w:val="center"/>
          </w:tcPr>
          <w:p>
            <w:pPr>
              <w:jc w:val="center"/>
              <w:rPr>
                <w:bCs/>
                <w:color w:val="auto"/>
                <w:szCs w:val="21"/>
                <w:highlight w:val="none"/>
              </w:rPr>
            </w:pPr>
            <w:r>
              <w:rPr>
                <w:rFonts w:hint="eastAsia"/>
                <w:bCs/>
                <w:color w:val="auto"/>
                <w:szCs w:val="21"/>
                <w:highlight w:val="none"/>
              </w:rPr>
              <w:t>耐潮湿</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19865—2005（含第1号修改单）</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11"/>
              </w:numPr>
              <w:jc w:val="center"/>
              <w:rPr>
                <w:rFonts w:ascii="Times New Roman" w:hAnsi="Times New Roman"/>
              </w:rPr>
            </w:pPr>
          </w:p>
        </w:tc>
        <w:tc>
          <w:tcPr>
            <w:tcW w:w="2744" w:type="dxa"/>
            <w:tcMar>
              <w:left w:w="57" w:type="dxa"/>
              <w:right w:w="57" w:type="dxa"/>
            </w:tcMar>
            <w:vAlign w:val="center"/>
          </w:tcPr>
          <w:p>
            <w:pPr>
              <w:jc w:val="center"/>
              <w:rPr>
                <w:bCs/>
                <w:color w:val="auto"/>
                <w:szCs w:val="21"/>
                <w:highlight w:val="none"/>
              </w:rPr>
            </w:pPr>
            <w:r>
              <w:rPr>
                <w:rFonts w:hint="eastAsia"/>
                <w:bCs/>
                <w:color w:val="auto"/>
                <w:szCs w:val="21"/>
                <w:highlight w:val="none"/>
              </w:rPr>
              <w:t>室温下的电气强度</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19865—2005（含第1号修改单）</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11"/>
              </w:numPr>
              <w:jc w:val="center"/>
              <w:rPr>
                <w:rFonts w:ascii="Times New Roman" w:hAnsi="Times New Roman"/>
              </w:rPr>
            </w:pPr>
          </w:p>
        </w:tc>
        <w:tc>
          <w:tcPr>
            <w:tcW w:w="2744" w:type="dxa"/>
            <w:tcMar>
              <w:left w:w="57" w:type="dxa"/>
              <w:right w:w="57" w:type="dxa"/>
            </w:tcMar>
            <w:vAlign w:val="center"/>
          </w:tcPr>
          <w:p>
            <w:pPr>
              <w:jc w:val="center"/>
              <w:rPr>
                <w:bCs/>
                <w:color w:val="auto"/>
                <w:szCs w:val="21"/>
                <w:highlight w:val="none"/>
              </w:rPr>
            </w:pPr>
            <w:r>
              <w:rPr>
                <w:rFonts w:hint="eastAsia"/>
                <w:bCs/>
                <w:color w:val="auto"/>
                <w:szCs w:val="21"/>
                <w:highlight w:val="none"/>
              </w:rPr>
              <w:t>机械强度</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19865—2005（含第1号修改单）</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11"/>
              </w:numPr>
              <w:jc w:val="center"/>
              <w:rPr>
                <w:rFonts w:ascii="Times New Roman" w:hAnsi="Times New Roman"/>
              </w:rPr>
            </w:pPr>
          </w:p>
        </w:tc>
        <w:tc>
          <w:tcPr>
            <w:tcW w:w="2744" w:type="dxa"/>
            <w:tcMar>
              <w:left w:w="57" w:type="dxa"/>
              <w:right w:w="57" w:type="dxa"/>
            </w:tcMar>
            <w:vAlign w:val="center"/>
          </w:tcPr>
          <w:p>
            <w:pPr>
              <w:jc w:val="center"/>
              <w:rPr>
                <w:bCs/>
                <w:color w:val="auto"/>
                <w:szCs w:val="21"/>
                <w:highlight w:val="none"/>
              </w:rPr>
            </w:pPr>
            <w:r>
              <w:rPr>
                <w:rFonts w:hint="eastAsia"/>
                <w:bCs/>
                <w:color w:val="auto"/>
                <w:szCs w:val="21"/>
                <w:highlight w:val="none"/>
              </w:rPr>
              <w:t>结构</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19865—2005（含第1号修改单）</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 w:hRule="atLeast"/>
          <w:jc w:val="center"/>
        </w:trPr>
        <w:tc>
          <w:tcPr>
            <w:tcW w:w="8958" w:type="dxa"/>
            <w:gridSpan w:val="4"/>
            <w:tcMar>
              <w:left w:w="57" w:type="dxa"/>
              <w:right w:w="57" w:type="dxa"/>
            </w:tcMar>
            <w:vAlign w:val="center"/>
          </w:tcPr>
          <w:p>
            <w:pPr>
              <w:rPr>
                <w:rFonts w:ascii="Times New Roman" w:hAnsi="Times New Roman"/>
              </w:rPr>
            </w:pPr>
            <w:r>
              <w:rPr>
                <w:rFonts w:hint="eastAsia" w:ascii="Times New Roman" w:hAnsi="Times New Roman"/>
              </w:rPr>
              <w:t>注：特定元素的迁移（最大限量要求）、限定增塑剂限量要求项目选取5种主要材料进行测试，优先选取软性材料、涂层等高风险材料；不足5种的按照实际材料数量测试。</w:t>
            </w:r>
          </w:p>
        </w:tc>
      </w:tr>
    </w:tbl>
    <w:p>
      <w:pPr>
        <w:snapToGrid w:val="0"/>
        <w:spacing w:line="440" w:lineRule="exact"/>
        <w:ind w:firstLine="420" w:firstLineChars="200"/>
        <w:rPr>
          <w:rFonts w:ascii="Times New Roman" w:hAnsi="Times New Roman"/>
          <w:color w:val="000000"/>
          <w:szCs w:val="21"/>
        </w:rPr>
      </w:pPr>
    </w:p>
    <w:p>
      <w:pPr>
        <w:snapToGrid w:val="0"/>
        <w:spacing w:line="440" w:lineRule="exact"/>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lang w:val="en-US" w:eastAsia="zh-CN"/>
        </w:rPr>
        <w:t>4</w:t>
      </w:r>
      <w:r>
        <w:rPr>
          <w:rFonts w:ascii="Times New Roman" w:hAnsi="Times New Roman"/>
          <w:color w:val="000000"/>
          <w:szCs w:val="21"/>
        </w:rPr>
        <w:t xml:space="preserve"> </w:t>
      </w:r>
      <w:r>
        <w:rPr>
          <w:rFonts w:hint="eastAsia" w:ascii="Times New Roman" w:hAnsi="Times New Roman"/>
          <w:color w:val="000000"/>
          <w:szCs w:val="21"/>
          <w:lang w:eastAsia="zh-CN"/>
        </w:rPr>
        <w:t>乐高</w:t>
      </w:r>
    </w:p>
    <w:tbl>
      <w:tblPr>
        <w:tblStyle w:val="17"/>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2744"/>
        <w:gridCol w:w="2745"/>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tblHeader/>
          <w:jc w:val="center"/>
        </w:trPr>
        <w:tc>
          <w:tcPr>
            <w:tcW w:w="724" w:type="dxa"/>
            <w:tcMar>
              <w:left w:w="57" w:type="dxa"/>
              <w:right w:w="57" w:type="dxa"/>
            </w:tcMar>
            <w:vAlign w:val="center"/>
          </w:tcPr>
          <w:p>
            <w:pPr>
              <w:jc w:val="center"/>
              <w:rPr>
                <w:rFonts w:ascii="Times New Roman" w:hAnsi="Times New Roman"/>
              </w:rPr>
            </w:pPr>
            <w:r>
              <w:rPr>
                <w:rFonts w:ascii="Times New Roman" w:hAnsi="Times New Roman"/>
              </w:rPr>
              <w:t>序号</w:t>
            </w:r>
          </w:p>
        </w:tc>
        <w:tc>
          <w:tcPr>
            <w:tcW w:w="2744" w:type="dxa"/>
            <w:tcMar>
              <w:left w:w="57" w:type="dxa"/>
              <w:right w:w="57" w:type="dxa"/>
            </w:tcMar>
            <w:vAlign w:val="center"/>
          </w:tcPr>
          <w:p>
            <w:pPr>
              <w:jc w:val="center"/>
              <w:rPr>
                <w:rFonts w:ascii="Times New Roman" w:hAnsi="Times New Roman"/>
              </w:rPr>
            </w:pPr>
            <w:r>
              <w:rPr>
                <w:rFonts w:ascii="Times New Roman" w:hAnsi="Times New Roman"/>
              </w:rPr>
              <w:t>检验项目</w:t>
            </w:r>
          </w:p>
        </w:tc>
        <w:tc>
          <w:tcPr>
            <w:tcW w:w="2745" w:type="dxa"/>
            <w:tcMar>
              <w:left w:w="57" w:type="dxa"/>
              <w:right w:w="57" w:type="dxa"/>
            </w:tcMar>
            <w:vAlign w:val="center"/>
          </w:tcPr>
          <w:p>
            <w:pPr>
              <w:jc w:val="center"/>
              <w:rPr>
                <w:rFonts w:ascii="Times New Roman" w:hAnsi="Times New Roman"/>
              </w:rPr>
            </w:pPr>
            <w:r>
              <w:rPr>
                <w:rFonts w:hint="eastAsia" w:ascii="Times New Roman" w:hAnsi="Times New Roman"/>
              </w:rPr>
              <w:t>检测依据</w:t>
            </w:r>
          </w:p>
        </w:tc>
        <w:tc>
          <w:tcPr>
            <w:tcW w:w="2745" w:type="dxa"/>
            <w:tcMar>
              <w:left w:w="57" w:type="dxa"/>
              <w:right w:w="57" w:type="dxa"/>
            </w:tcMar>
            <w:vAlign w:val="center"/>
          </w:tcPr>
          <w:p>
            <w:pPr>
              <w:jc w:val="center"/>
              <w:rPr>
                <w:rFonts w:ascii="Times New Roman" w:hAnsi="Times New Roman"/>
              </w:rPr>
            </w:pPr>
            <w:r>
              <w:rPr>
                <w:rFonts w:ascii="Times New Roman" w:hAnsi="Times New Roma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8958" w:type="dxa"/>
            <w:gridSpan w:val="4"/>
            <w:tcMar>
              <w:left w:w="57" w:type="dxa"/>
              <w:right w:w="57" w:type="dxa"/>
            </w:tcMar>
            <w:vAlign w:val="center"/>
          </w:tcPr>
          <w:p>
            <w:pPr>
              <w:numPr>
                <w:ilvl w:val="0"/>
                <w:numId w:val="12"/>
              </w:numPr>
              <w:rPr>
                <w:rFonts w:hint="eastAsia" w:ascii="Times New Roman" w:hAnsi="Times New Roman"/>
              </w:rPr>
            </w:pPr>
            <w:r>
              <w:rPr>
                <w:rFonts w:ascii="Times New Roman" w:hAnsi="Times New Roman"/>
              </w:rPr>
              <w:t>机械与物理性能</w:t>
            </w:r>
            <w:r>
              <w:rPr>
                <w:rFonts w:hint="eastAsia" w:ascii="Times New Roman" w:hAnsi="Times New Roman"/>
              </w:rPr>
              <w:t>（正常使用</w:t>
            </w:r>
            <w:r>
              <w:rPr>
                <w:rFonts w:hint="eastAsia" w:ascii="Times New Roman" w:hAnsi="Times New Roman"/>
                <w:lang w:eastAsia="zh-CN"/>
              </w:rPr>
              <w:t>、</w:t>
            </w:r>
            <w:r>
              <w:rPr>
                <w:bCs/>
                <w:szCs w:val="21"/>
              </w:rPr>
              <w:t>可预见的合理滥用</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4"/>
              </w:numPr>
              <w:jc w:val="center"/>
              <w:rPr>
                <w:rFonts w:ascii="Times New Roman" w:hAnsi="Times New Roman"/>
              </w:rPr>
            </w:pPr>
          </w:p>
        </w:tc>
        <w:tc>
          <w:tcPr>
            <w:tcW w:w="2744" w:type="dxa"/>
            <w:tcMar>
              <w:left w:w="57" w:type="dxa"/>
              <w:right w:w="57" w:type="dxa"/>
            </w:tcMar>
            <w:vAlign w:val="center"/>
          </w:tcPr>
          <w:p>
            <w:pPr>
              <w:pStyle w:val="6"/>
              <w:jc w:val="center"/>
              <w:rPr>
                <w:rFonts w:ascii="Times New Roman" w:hAnsi="Times New Roman"/>
                <w:bCs/>
                <w:sz w:val="21"/>
                <w:szCs w:val="21"/>
                <w:highlight w:val="none"/>
                <w:lang w:val="en-US"/>
              </w:rPr>
            </w:pPr>
            <w:r>
              <w:rPr>
                <w:rFonts w:ascii="Times New Roman" w:hAnsi="Times New Roman"/>
                <w:bCs/>
                <w:sz w:val="21"/>
                <w:szCs w:val="21"/>
                <w:highlight w:val="none"/>
                <w:lang w:val="en-US"/>
              </w:rPr>
              <w:t>材料</w:t>
            </w:r>
          </w:p>
        </w:tc>
        <w:tc>
          <w:tcPr>
            <w:tcW w:w="2745" w:type="dxa"/>
            <w:tcMar>
              <w:left w:w="57" w:type="dxa"/>
              <w:right w:w="57" w:type="dxa"/>
            </w:tcMar>
            <w:vAlign w:val="center"/>
          </w:tcPr>
          <w:p>
            <w:pPr>
              <w:pStyle w:val="6"/>
              <w:jc w:val="center"/>
              <w:rPr>
                <w:rFonts w:ascii="Times New Roman" w:hAnsi="Times New Roman"/>
                <w:bCs/>
                <w:sz w:val="21"/>
                <w:szCs w:val="21"/>
              </w:rPr>
            </w:pPr>
            <w:r>
              <w:rPr>
                <w:rFonts w:ascii="Times New Roman" w:hAnsi="Times New Roman"/>
                <w:bCs/>
                <w:sz w:val="21"/>
                <w:szCs w:val="21"/>
              </w:rPr>
              <w:t>GB 6675.2—2014（含第1号修改单）</w:t>
            </w:r>
          </w:p>
        </w:tc>
        <w:tc>
          <w:tcPr>
            <w:tcW w:w="2745" w:type="dxa"/>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numPr>
                <w:ilvl w:val="0"/>
                <w:numId w:val="4"/>
              </w:numPr>
              <w:jc w:val="center"/>
              <w:rPr>
                <w:rFonts w:ascii="Times New Roman" w:hAnsi="Times New Roman"/>
              </w:rPr>
            </w:pPr>
          </w:p>
        </w:tc>
        <w:tc>
          <w:tcPr>
            <w:tcW w:w="274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
              <w:jc w:val="center"/>
              <w:rPr>
                <w:rFonts w:ascii="Times New Roman" w:hAnsi="Times New Roman"/>
                <w:bCs/>
                <w:sz w:val="21"/>
                <w:szCs w:val="21"/>
                <w:highlight w:val="none"/>
                <w:lang w:val="en-US"/>
              </w:rPr>
            </w:pPr>
            <w:r>
              <w:rPr>
                <w:rFonts w:hint="eastAsia" w:ascii="Times New Roman" w:hAnsi="Times New Roman"/>
                <w:sz w:val="21"/>
                <w:szCs w:val="21"/>
              </w:rPr>
              <w:t>小零件</w:t>
            </w:r>
          </w:p>
        </w:tc>
        <w:tc>
          <w:tcPr>
            <w:tcW w:w="274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
              <w:jc w:val="center"/>
              <w:rPr>
                <w:rFonts w:ascii="Times New Roman" w:hAnsi="Times New Roman"/>
                <w:bCs/>
                <w:sz w:val="21"/>
                <w:szCs w:val="21"/>
              </w:rPr>
            </w:pPr>
            <w:r>
              <w:rPr>
                <w:rFonts w:ascii="Times New Roman" w:hAnsi="Times New Roman"/>
                <w:bCs/>
                <w:sz w:val="21"/>
                <w:szCs w:val="21"/>
              </w:rPr>
              <w:t>GB 6675.2—2014（含第1号修改单）</w:t>
            </w:r>
          </w:p>
        </w:tc>
        <w:tc>
          <w:tcPr>
            <w:tcW w:w="274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numPr>
                <w:ilvl w:val="0"/>
                <w:numId w:val="4"/>
              </w:numPr>
              <w:jc w:val="center"/>
              <w:rPr>
                <w:rFonts w:ascii="Times New Roman" w:hAnsi="Times New Roman"/>
              </w:rPr>
            </w:pPr>
          </w:p>
        </w:tc>
        <w:tc>
          <w:tcPr>
            <w:tcW w:w="274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
              <w:jc w:val="center"/>
              <w:rPr>
                <w:rFonts w:ascii="Times New Roman" w:hAnsi="Times New Roman"/>
                <w:bCs/>
                <w:sz w:val="21"/>
                <w:szCs w:val="21"/>
                <w:highlight w:val="none"/>
                <w:lang w:val="en-US"/>
              </w:rPr>
            </w:pPr>
            <w:r>
              <w:rPr>
                <w:rFonts w:hint="eastAsia" w:ascii="Times New Roman" w:hAnsi="Times New Roman"/>
                <w:sz w:val="21"/>
                <w:szCs w:val="21"/>
              </w:rPr>
              <w:t>小球</w:t>
            </w:r>
          </w:p>
        </w:tc>
        <w:tc>
          <w:tcPr>
            <w:tcW w:w="274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
              <w:jc w:val="center"/>
              <w:rPr>
                <w:rFonts w:ascii="Times New Roman" w:hAnsi="Times New Roman"/>
                <w:bCs/>
                <w:sz w:val="21"/>
                <w:szCs w:val="21"/>
              </w:rPr>
            </w:pPr>
            <w:r>
              <w:rPr>
                <w:rFonts w:ascii="Times New Roman" w:hAnsi="Times New Roman"/>
                <w:bCs/>
                <w:sz w:val="21"/>
                <w:szCs w:val="21"/>
              </w:rPr>
              <w:t>GB 6675.2—2014（含第1号修改单）</w:t>
            </w:r>
          </w:p>
        </w:tc>
        <w:tc>
          <w:tcPr>
            <w:tcW w:w="274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numPr>
                <w:ilvl w:val="0"/>
                <w:numId w:val="4"/>
              </w:numPr>
              <w:jc w:val="center"/>
              <w:rPr>
                <w:rFonts w:ascii="Times New Roman" w:hAnsi="Times New Roman"/>
              </w:rPr>
            </w:pPr>
          </w:p>
        </w:tc>
        <w:tc>
          <w:tcPr>
            <w:tcW w:w="274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
              <w:jc w:val="center"/>
              <w:rPr>
                <w:rFonts w:hint="eastAsia" w:ascii="Times New Roman" w:hAnsi="Times New Roman"/>
                <w:sz w:val="21"/>
                <w:szCs w:val="21"/>
              </w:rPr>
            </w:pPr>
            <w:r>
              <w:rPr>
                <w:rFonts w:hint="eastAsia" w:ascii="Times New Roman" w:hAnsi="Times New Roman"/>
                <w:sz w:val="21"/>
                <w:szCs w:val="21"/>
              </w:rPr>
              <w:t>功能性锐利边缘</w:t>
            </w:r>
          </w:p>
        </w:tc>
        <w:tc>
          <w:tcPr>
            <w:tcW w:w="2745" w:type="dxa"/>
            <w:tcBorders>
              <w:top w:val="single" w:color="auto" w:sz="4" w:space="0"/>
              <w:left w:val="single" w:color="auto" w:sz="4" w:space="0"/>
              <w:bottom w:val="single" w:color="auto" w:sz="4" w:space="0"/>
              <w:right w:val="single" w:color="auto" w:sz="4" w:space="0"/>
            </w:tcBorders>
            <w:tcMar>
              <w:left w:w="57" w:type="dxa"/>
              <w:right w:w="57" w:type="dxa"/>
            </w:tcMar>
            <w:textDirection w:val="lrTb"/>
            <w:vAlign w:val="center"/>
          </w:tcPr>
          <w:p>
            <w:pPr>
              <w:pStyle w:val="6"/>
              <w:jc w:val="center"/>
              <w:rPr>
                <w:rFonts w:ascii="Times New Roman" w:hAnsi="Times New Roman"/>
                <w:bCs/>
                <w:sz w:val="21"/>
                <w:szCs w:val="21"/>
              </w:rPr>
            </w:pPr>
            <w:r>
              <w:rPr>
                <w:rFonts w:ascii="Times New Roman" w:hAnsi="Times New Roman"/>
                <w:bCs/>
                <w:sz w:val="21"/>
                <w:szCs w:val="21"/>
              </w:rPr>
              <w:t>GB 6675.2—2014（含第1号修改单）</w:t>
            </w:r>
          </w:p>
        </w:tc>
        <w:tc>
          <w:tcPr>
            <w:tcW w:w="2745" w:type="dxa"/>
            <w:tcBorders>
              <w:top w:val="single" w:color="auto" w:sz="4" w:space="0"/>
              <w:left w:val="single" w:color="auto" w:sz="4" w:space="0"/>
              <w:bottom w:val="single" w:color="auto" w:sz="4" w:space="0"/>
              <w:right w:val="single" w:color="auto" w:sz="4" w:space="0"/>
            </w:tcBorders>
            <w:tcMar>
              <w:left w:w="57" w:type="dxa"/>
              <w:right w:w="57" w:type="dxa"/>
            </w:tcMar>
            <w:textDirection w:val="lrTb"/>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numPr>
                <w:ilvl w:val="0"/>
                <w:numId w:val="4"/>
              </w:numPr>
              <w:jc w:val="center"/>
              <w:rPr>
                <w:rFonts w:ascii="Times New Roman" w:hAnsi="Times New Roman"/>
              </w:rPr>
            </w:pPr>
          </w:p>
        </w:tc>
        <w:tc>
          <w:tcPr>
            <w:tcW w:w="274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
              <w:jc w:val="center"/>
              <w:rPr>
                <w:rFonts w:hint="eastAsia" w:ascii="Times New Roman" w:hAnsi="Times New Roman"/>
                <w:sz w:val="21"/>
                <w:szCs w:val="21"/>
              </w:rPr>
            </w:pPr>
            <w:r>
              <w:rPr>
                <w:rFonts w:hint="eastAsia" w:ascii="Times New Roman" w:hAnsi="Times New Roman"/>
                <w:sz w:val="21"/>
                <w:szCs w:val="21"/>
              </w:rPr>
              <w:t>功能性锐利尖端</w:t>
            </w:r>
          </w:p>
        </w:tc>
        <w:tc>
          <w:tcPr>
            <w:tcW w:w="2745" w:type="dxa"/>
            <w:tcBorders>
              <w:top w:val="single" w:color="auto" w:sz="4" w:space="0"/>
              <w:left w:val="single" w:color="auto" w:sz="4" w:space="0"/>
              <w:bottom w:val="single" w:color="auto" w:sz="4" w:space="0"/>
              <w:right w:val="single" w:color="auto" w:sz="4" w:space="0"/>
            </w:tcBorders>
            <w:tcMar>
              <w:left w:w="57" w:type="dxa"/>
              <w:right w:w="57" w:type="dxa"/>
            </w:tcMar>
            <w:textDirection w:val="lrTb"/>
            <w:vAlign w:val="center"/>
          </w:tcPr>
          <w:p>
            <w:pPr>
              <w:pStyle w:val="6"/>
              <w:jc w:val="center"/>
              <w:rPr>
                <w:rFonts w:ascii="Times New Roman" w:hAnsi="Times New Roman"/>
                <w:bCs/>
                <w:sz w:val="21"/>
                <w:szCs w:val="21"/>
              </w:rPr>
            </w:pPr>
            <w:r>
              <w:rPr>
                <w:rFonts w:ascii="Times New Roman" w:hAnsi="Times New Roman"/>
                <w:bCs/>
                <w:sz w:val="21"/>
                <w:szCs w:val="21"/>
              </w:rPr>
              <w:t>GB 6675.2—2014（含第1号修改单）</w:t>
            </w:r>
          </w:p>
        </w:tc>
        <w:tc>
          <w:tcPr>
            <w:tcW w:w="2745" w:type="dxa"/>
            <w:tcBorders>
              <w:top w:val="single" w:color="auto" w:sz="4" w:space="0"/>
              <w:left w:val="single" w:color="auto" w:sz="4" w:space="0"/>
              <w:bottom w:val="single" w:color="auto" w:sz="4" w:space="0"/>
              <w:right w:val="single" w:color="auto" w:sz="4" w:space="0"/>
            </w:tcBorders>
            <w:tcMar>
              <w:left w:w="57" w:type="dxa"/>
              <w:right w:w="57" w:type="dxa"/>
            </w:tcMar>
            <w:textDirection w:val="lrTb"/>
            <w:vAlign w:val="center"/>
          </w:tcPr>
          <w:p>
            <w:pPr>
              <w:pStyle w:val="6"/>
              <w:spacing w:line="300" w:lineRule="exact"/>
              <w:jc w:val="center"/>
              <w:rPr>
                <w:rFonts w:ascii="Times New Roman" w:hAnsi="Times New Roman"/>
                <w:bCs/>
                <w:sz w:val="21"/>
                <w:szCs w:val="21"/>
              </w:rPr>
            </w:pPr>
            <w:r>
              <w:rPr>
                <w:rFonts w:ascii="Times New Roman" w:hAnsi="Times New Roman"/>
                <w:bCs/>
                <w:sz w:val="21"/>
                <w:szCs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8958" w:type="dxa"/>
            <w:gridSpan w:val="4"/>
            <w:tcMar>
              <w:left w:w="57" w:type="dxa"/>
              <w:right w:w="57" w:type="dxa"/>
            </w:tcMar>
            <w:vAlign w:val="center"/>
          </w:tcPr>
          <w:p>
            <w:pPr>
              <w:rPr>
                <w:rFonts w:ascii="Times New Roman" w:hAnsi="Times New Roman"/>
              </w:rPr>
            </w:pPr>
            <w:r>
              <w:rPr>
                <w:rFonts w:hint="eastAsia"/>
                <w:bCs/>
                <w:szCs w:val="21"/>
                <w:lang w:eastAsia="zh-CN"/>
              </w:rPr>
              <w:t>二</w:t>
            </w:r>
            <w:r>
              <w:rPr>
                <w:bCs/>
                <w:szCs w:val="21"/>
              </w:rPr>
              <w:t>、易燃性能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5"/>
              </w:numPr>
              <w:jc w:val="center"/>
              <w:rPr>
                <w:rFonts w:ascii="Times New Roman" w:hAnsi="Times New Roman"/>
              </w:rPr>
            </w:pPr>
          </w:p>
        </w:tc>
        <w:tc>
          <w:tcPr>
            <w:tcW w:w="2744" w:type="dxa"/>
            <w:tcMar>
              <w:left w:w="57" w:type="dxa"/>
              <w:right w:w="57" w:type="dxa"/>
            </w:tcMar>
            <w:vAlign w:val="center"/>
          </w:tcPr>
          <w:p>
            <w:pPr>
              <w:jc w:val="center"/>
              <w:rPr>
                <w:rFonts w:ascii="Times New Roman" w:hAnsi="Times New Roman"/>
              </w:rPr>
            </w:pPr>
            <w:r>
              <w:rPr>
                <w:rFonts w:ascii="Times New Roman" w:hAnsi="Times New Roman"/>
              </w:rPr>
              <w:t>一般要求</w:t>
            </w:r>
          </w:p>
        </w:tc>
        <w:tc>
          <w:tcPr>
            <w:tcW w:w="2745" w:type="dxa"/>
            <w:tcMar>
              <w:left w:w="57" w:type="dxa"/>
              <w:right w:w="57" w:type="dxa"/>
            </w:tcMar>
            <w:vAlign w:val="center"/>
          </w:tcPr>
          <w:p>
            <w:pPr>
              <w:jc w:val="center"/>
              <w:rPr>
                <w:rFonts w:ascii="Times New Roman" w:hAnsi="Times New Roman"/>
              </w:rPr>
            </w:pPr>
            <w:r>
              <w:rPr>
                <w:rFonts w:ascii="Times New Roman" w:hAnsi="Times New Roman"/>
              </w:rPr>
              <w:t>GB 6675.3—2014</w:t>
            </w:r>
          </w:p>
        </w:tc>
        <w:tc>
          <w:tcPr>
            <w:tcW w:w="2745" w:type="dxa"/>
            <w:tcMar>
              <w:left w:w="57" w:type="dxa"/>
              <w:right w:w="57" w:type="dxa"/>
            </w:tcMar>
            <w:vAlign w:val="center"/>
          </w:tcPr>
          <w:p>
            <w:pPr>
              <w:jc w:val="center"/>
              <w:rPr>
                <w:rFonts w:ascii="Times New Roman" w:hAnsi="Times New Roman"/>
              </w:rPr>
            </w:pPr>
            <w:r>
              <w:rPr>
                <w:rFonts w:ascii="Times New Roman" w:hAnsi="Times New Roman"/>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 w:hRule="atLeast"/>
          <w:jc w:val="center"/>
        </w:trPr>
        <w:tc>
          <w:tcPr>
            <w:tcW w:w="724" w:type="dxa"/>
            <w:tcMar>
              <w:left w:w="57" w:type="dxa"/>
              <w:right w:w="57" w:type="dxa"/>
            </w:tcMar>
            <w:vAlign w:val="center"/>
          </w:tcPr>
          <w:p>
            <w:pPr>
              <w:numPr>
                <w:ilvl w:val="0"/>
                <w:numId w:val="5"/>
              </w:numPr>
              <w:jc w:val="center"/>
              <w:rPr>
                <w:rFonts w:ascii="Times New Roman" w:hAnsi="Times New Roman"/>
              </w:rPr>
            </w:pPr>
          </w:p>
        </w:tc>
        <w:tc>
          <w:tcPr>
            <w:tcW w:w="2744" w:type="dxa"/>
            <w:tcMar>
              <w:left w:w="57" w:type="dxa"/>
              <w:right w:w="57" w:type="dxa"/>
            </w:tcMar>
            <w:vAlign w:val="center"/>
          </w:tcPr>
          <w:p>
            <w:pPr>
              <w:jc w:val="center"/>
              <w:rPr>
                <w:rFonts w:ascii="Times New Roman" w:hAnsi="Times New Roman"/>
              </w:rPr>
            </w:pPr>
            <w:r>
              <w:rPr>
                <w:rFonts w:ascii="Times New Roman" w:hAnsi="Times New Roman"/>
              </w:rPr>
              <w:t>具有毛绒或纺织表面的软体填充玩具</w:t>
            </w:r>
            <w:r>
              <w:rPr>
                <w:rFonts w:hint="eastAsia" w:ascii="Times New Roman" w:hAnsi="Times New Roman"/>
              </w:rPr>
              <w:t>（动物和娃娃等）</w:t>
            </w:r>
          </w:p>
        </w:tc>
        <w:tc>
          <w:tcPr>
            <w:tcW w:w="2745" w:type="dxa"/>
            <w:tcMar>
              <w:left w:w="57" w:type="dxa"/>
              <w:right w:w="57" w:type="dxa"/>
            </w:tcMar>
            <w:vAlign w:val="center"/>
          </w:tcPr>
          <w:p>
            <w:pPr>
              <w:jc w:val="center"/>
            </w:pPr>
            <w:r>
              <w:rPr>
                <w:rFonts w:ascii="Times New Roman" w:hAnsi="Times New Roman"/>
              </w:rPr>
              <w:t>GB 6675.3—2014</w:t>
            </w:r>
          </w:p>
        </w:tc>
        <w:tc>
          <w:tcPr>
            <w:tcW w:w="2745" w:type="dxa"/>
            <w:tcMar>
              <w:left w:w="57" w:type="dxa"/>
              <w:right w:w="57" w:type="dxa"/>
            </w:tcMar>
            <w:vAlign w:val="center"/>
          </w:tcPr>
          <w:p>
            <w:pPr>
              <w:jc w:val="center"/>
              <w:rPr>
                <w:rFonts w:ascii="Times New Roman" w:hAnsi="Times New Roman"/>
              </w:rPr>
            </w:pPr>
            <w:r>
              <w:rPr>
                <w:rFonts w:ascii="Times New Roman" w:hAnsi="Times New Roman"/>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8958" w:type="dxa"/>
            <w:gridSpan w:val="4"/>
            <w:tcMar>
              <w:left w:w="57" w:type="dxa"/>
              <w:right w:w="57" w:type="dxa"/>
            </w:tcMar>
            <w:vAlign w:val="center"/>
          </w:tcPr>
          <w:p>
            <w:pPr>
              <w:rPr>
                <w:bCs/>
                <w:szCs w:val="21"/>
              </w:rPr>
            </w:pPr>
            <w:r>
              <w:rPr>
                <w:rFonts w:hint="eastAsia"/>
                <w:bCs/>
                <w:szCs w:val="21"/>
                <w:lang w:eastAsia="zh-CN"/>
              </w:rPr>
              <w:t>三</w:t>
            </w:r>
            <w:r>
              <w:rPr>
                <w:bCs/>
                <w:szCs w:val="21"/>
              </w:rPr>
              <w:t>、特定元素的迁移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6"/>
              </w:numPr>
              <w:jc w:val="center"/>
              <w:rPr>
                <w:rFonts w:ascii="Times New Roman" w:hAnsi="Times New Roman"/>
              </w:rPr>
            </w:pPr>
          </w:p>
        </w:tc>
        <w:tc>
          <w:tcPr>
            <w:tcW w:w="2744" w:type="dxa"/>
            <w:tcMar>
              <w:left w:w="57" w:type="dxa"/>
              <w:right w:w="57" w:type="dxa"/>
            </w:tcMar>
            <w:vAlign w:val="center"/>
          </w:tcPr>
          <w:p>
            <w:pPr>
              <w:jc w:val="center"/>
              <w:rPr>
                <w:rFonts w:ascii="Times New Roman" w:hAnsi="Times New Roman"/>
              </w:rPr>
            </w:pPr>
            <w:r>
              <w:rPr>
                <w:bCs/>
                <w:szCs w:val="21"/>
              </w:rPr>
              <w:t>最大限量要求</w:t>
            </w:r>
          </w:p>
        </w:tc>
        <w:tc>
          <w:tcPr>
            <w:tcW w:w="2745" w:type="dxa"/>
            <w:tcMar>
              <w:left w:w="57" w:type="dxa"/>
              <w:right w:w="57" w:type="dxa"/>
            </w:tcMar>
            <w:vAlign w:val="center"/>
          </w:tcPr>
          <w:p>
            <w:pPr>
              <w:jc w:val="center"/>
              <w:rPr>
                <w:rFonts w:ascii="Times New Roman" w:hAnsi="Times New Roman"/>
              </w:rPr>
            </w:pPr>
            <w:r>
              <w:rPr>
                <w:rFonts w:ascii="Times New Roman" w:hAnsi="Times New Roman"/>
              </w:rPr>
              <w:t>GB 6675.4—2014</w:t>
            </w:r>
          </w:p>
        </w:tc>
        <w:tc>
          <w:tcPr>
            <w:tcW w:w="2745" w:type="dxa"/>
            <w:tcMar>
              <w:left w:w="57" w:type="dxa"/>
              <w:right w:w="57" w:type="dxa"/>
            </w:tcMar>
            <w:vAlign w:val="center"/>
          </w:tcPr>
          <w:p>
            <w:pPr>
              <w:jc w:val="center"/>
              <w:rPr>
                <w:rFonts w:ascii="Times New Roman" w:hAnsi="Times New Roman"/>
              </w:rPr>
            </w:pPr>
            <w:r>
              <w:rPr>
                <w:rFonts w:ascii="Times New Roman" w:hAnsi="Times New Roman"/>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8958" w:type="dxa"/>
            <w:gridSpan w:val="4"/>
            <w:tcMar>
              <w:left w:w="57" w:type="dxa"/>
              <w:right w:w="57" w:type="dxa"/>
            </w:tcMar>
            <w:vAlign w:val="center"/>
          </w:tcPr>
          <w:p>
            <w:pPr>
              <w:rPr>
                <w:bCs/>
                <w:szCs w:val="21"/>
              </w:rPr>
            </w:pPr>
            <w:r>
              <w:rPr>
                <w:rFonts w:hint="eastAsia" w:ascii="Times New Roman" w:hAnsi="Times New Roman"/>
                <w:bCs/>
                <w:szCs w:val="21"/>
                <w:lang w:eastAsia="zh-CN"/>
              </w:rPr>
              <w:t>四</w:t>
            </w:r>
            <w:r>
              <w:rPr>
                <w:rFonts w:ascii="Times New Roman" w:hAnsi="Times New Roman"/>
                <w:bCs/>
                <w:szCs w:val="21"/>
              </w:rPr>
              <w:t>、增塑剂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724" w:type="dxa"/>
            <w:tcMar>
              <w:left w:w="57" w:type="dxa"/>
              <w:right w:w="57" w:type="dxa"/>
            </w:tcMar>
            <w:vAlign w:val="center"/>
          </w:tcPr>
          <w:p>
            <w:pPr>
              <w:numPr>
                <w:ilvl w:val="0"/>
                <w:numId w:val="7"/>
              </w:numPr>
              <w:jc w:val="center"/>
              <w:rPr>
                <w:rFonts w:ascii="Times New Roman" w:hAnsi="Times New Roman"/>
              </w:rPr>
            </w:pPr>
          </w:p>
        </w:tc>
        <w:tc>
          <w:tcPr>
            <w:tcW w:w="2744" w:type="dxa"/>
            <w:tcMar>
              <w:left w:w="57" w:type="dxa"/>
              <w:right w:w="57" w:type="dxa"/>
            </w:tcMar>
            <w:vAlign w:val="center"/>
          </w:tcPr>
          <w:p>
            <w:pPr>
              <w:jc w:val="center"/>
              <w:rPr>
                <w:rFonts w:ascii="Times New Roman" w:hAnsi="Times New Roman"/>
              </w:rPr>
            </w:pPr>
            <w:r>
              <w:rPr>
                <w:bCs/>
                <w:szCs w:val="21"/>
              </w:rPr>
              <w:t>限定增塑剂限量要求</w:t>
            </w:r>
            <w:bookmarkStart w:id="0" w:name="_GoBack"/>
            <w:bookmarkEnd w:id="0"/>
          </w:p>
        </w:tc>
        <w:tc>
          <w:tcPr>
            <w:tcW w:w="2745" w:type="dxa"/>
            <w:tcMar>
              <w:left w:w="57" w:type="dxa"/>
              <w:right w:w="57" w:type="dxa"/>
            </w:tcMar>
            <w:vAlign w:val="center"/>
          </w:tcPr>
          <w:p>
            <w:pPr>
              <w:jc w:val="center"/>
              <w:rPr>
                <w:rFonts w:ascii="Times New Roman" w:hAnsi="Times New Roman"/>
              </w:rPr>
            </w:pPr>
            <w:r>
              <w:rPr>
                <w:rFonts w:hint="eastAsia" w:ascii="Times New Roman" w:hAnsi="Times New Roman"/>
              </w:rPr>
              <w:t>GB</w:t>
            </w:r>
            <w:r>
              <w:rPr>
                <w:rFonts w:ascii="Times New Roman" w:hAnsi="Times New Roman"/>
              </w:rPr>
              <w:t xml:space="preserve"> 6675.1—2014</w:t>
            </w:r>
          </w:p>
        </w:tc>
        <w:tc>
          <w:tcPr>
            <w:tcW w:w="2745" w:type="dxa"/>
            <w:tcMar>
              <w:left w:w="57" w:type="dxa"/>
              <w:right w:w="57" w:type="dxa"/>
            </w:tcMar>
            <w:vAlign w:val="center"/>
          </w:tcPr>
          <w:p>
            <w:pPr>
              <w:jc w:val="center"/>
              <w:rPr>
                <w:rFonts w:ascii="Times New Roman" w:hAnsi="Times New Roman"/>
              </w:rPr>
            </w:pPr>
            <w:r>
              <w:rPr>
                <w:rFonts w:ascii="Times New Roman" w:hAnsi="Times New Roman"/>
              </w:rPr>
              <w:t>GB/T 22048—2022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 w:hRule="atLeast"/>
          <w:jc w:val="center"/>
        </w:trPr>
        <w:tc>
          <w:tcPr>
            <w:tcW w:w="8958" w:type="dxa"/>
            <w:gridSpan w:val="4"/>
            <w:tcMar>
              <w:left w:w="57" w:type="dxa"/>
              <w:right w:w="57" w:type="dxa"/>
            </w:tcMar>
            <w:vAlign w:val="center"/>
          </w:tcPr>
          <w:p>
            <w:pPr>
              <w:rPr>
                <w:rFonts w:ascii="Times New Roman" w:hAnsi="Times New Roman"/>
              </w:rPr>
            </w:pPr>
            <w:r>
              <w:rPr>
                <w:rFonts w:hint="eastAsia" w:ascii="Times New Roman" w:hAnsi="Times New Roman"/>
              </w:rPr>
              <w:t>注：特定元素的迁移（最大限量要求）、限定增塑剂限量要求项目选取5种主要材料进行测试，优先选取软性材料、涂层等高风险材料；不足5种的按照实际材料数量测试。</w:t>
            </w:r>
          </w:p>
        </w:tc>
      </w:tr>
    </w:tbl>
    <w:p>
      <w:pPr>
        <w:snapToGrid w:val="0"/>
        <w:spacing w:line="440" w:lineRule="exact"/>
        <w:ind w:firstLine="420" w:firstLineChars="200"/>
        <w:rPr>
          <w:rFonts w:ascii="Times New Roman" w:hAnsi="Times New Roman"/>
          <w:color w:val="000000"/>
          <w:szCs w:val="21"/>
        </w:rPr>
      </w:pP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执行企业标准、团体标准、地方标准的产品，检验项目参照上述内容执行。</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凡是注日期的文件，其随后所有的修改单（不包括勘误的内容）或修订版不适用于本细则。凡是不注日期的文件，其最新版本适用于本细则。</w:t>
      </w:r>
    </w:p>
    <w:p>
      <w:pPr>
        <w:spacing w:line="440" w:lineRule="exact"/>
        <w:rPr>
          <w:rFonts w:ascii="Times New Roman" w:hAnsi="Times New Roman" w:eastAsia="黑体"/>
          <w:color w:val="000000"/>
          <w:szCs w:val="21"/>
        </w:rPr>
      </w:pPr>
    </w:p>
    <w:p>
      <w:pPr>
        <w:spacing w:line="440" w:lineRule="exact"/>
        <w:rPr>
          <w:rFonts w:ascii="Times New Roman" w:hAnsi="Times New Roman" w:eastAsia="黑体"/>
          <w:color w:val="000000"/>
          <w:szCs w:val="21"/>
        </w:rPr>
      </w:pPr>
      <w:r>
        <w:rPr>
          <w:rFonts w:ascii="Times New Roman" w:hAnsi="Times New Roman" w:eastAsia="黑体"/>
          <w:color w:val="000000"/>
          <w:szCs w:val="21"/>
        </w:rPr>
        <w:t>3 判定规则</w:t>
      </w:r>
    </w:p>
    <w:p>
      <w:pPr>
        <w:snapToGrid w:val="0"/>
        <w:spacing w:line="440" w:lineRule="exact"/>
        <w:rPr>
          <w:rFonts w:ascii="Times New Roman" w:hAnsi="Times New Roman"/>
          <w:color w:val="000000"/>
          <w:szCs w:val="21"/>
        </w:rPr>
      </w:pPr>
      <w:r>
        <w:rPr>
          <w:rFonts w:ascii="Times New Roman" w:hAnsi="Times New Roman"/>
          <w:color w:val="000000"/>
          <w:szCs w:val="21"/>
        </w:rPr>
        <w:t>3.1依据标准</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GB 6675.1—2014 玩具安全</w:t>
      </w:r>
      <w:r>
        <w:rPr>
          <w:rFonts w:hint="eastAsia" w:ascii="Times New Roman" w:hAnsi="Times New Roman"/>
          <w:color w:val="000000"/>
          <w:szCs w:val="21"/>
        </w:rPr>
        <w:t xml:space="preserve"> </w:t>
      </w:r>
      <w:r>
        <w:rPr>
          <w:rFonts w:ascii="Times New Roman" w:hAnsi="Times New Roman"/>
          <w:color w:val="000000"/>
          <w:szCs w:val="21"/>
        </w:rPr>
        <w:t xml:space="preserve"> 第1部分：基本规范</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GB 6675.2—2014 玩具安全  第2部分：机械与物理性能（含第1号修改单）</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GB 6675.3—2014 玩具安全  第3部分：易燃性能</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GB 6675.4—2014 玩具安全  第4部分：特定元素的迁移</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GB 6675.12</w:t>
      </w:r>
      <w:r>
        <w:rPr>
          <w:rFonts w:ascii="Times New Roman" w:hAnsi="Times New Roman"/>
        </w:rPr>
        <w:t>—2014</w:t>
      </w:r>
      <w:r>
        <w:rPr>
          <w:rFonts w:ascii="Times New Roman" w:hAnsi="Times New Roman"/>
          <w:color w:val="000000"/>
          <w:szCs w:val="21"/>
        </w:rPr>
        <w:t xml:space="preserve"> 玩具安全 第12部分：玩具滑板车</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GB 19865—2005 电玩具的安全（含第1号修改单）</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现行有效的企业标准、团体标准、地方标准及产品明示质量要求</w:t>
      </w:r>
    </w:p>
    <w:p>
      <w:pPr>
        <w:snapToGrid w:val="0"/>
        <w:spacing w:line="440" w:lineRule="exact"/>
        <w:rPr>
          <w:rFonts w:ascii="Times New Roman" w:hAnsi="Times New Roman"/>
          <w:color w:val="000000"/>
          <w:szCs w:val="21"/>
        </w:rPr>
      </w:pPr>
      <w:r>
        <w:rPr>
          <w:rFonts w:ascii="Times New Roman" w:hAnsi="Times New Roman"/>
          <w:color w:val="000000"/>
          <w:szCs w:val="21"/>
        </w:rPr>
        <w:t>3.2判定原则</w:t>
      </w:r>
    </w:p>
    <w:p>
      <w:pPr>
        <w:snapToGrid w:val="0"/>
        <w:spacing w:line="440" w:lineRule="exact"/>
        <w:ind w:firstLine="420" w:firstLineChars="200"/>
        <w:rPr>
          <w:color w:val="000000"/>
          <w:szCs w:val="21"/>
        </w:rPr>
      </w:pPr>
      <w:r>
        <w:rPr>
          <w:rFonts w:hint="eastAsia"/>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若被检产品明示的质量要求高于本细则中检验项目依据的标准要求时，应按被检产品明示的质量要求判定。</w:t>
      </w:r>
    </w:p>
    <w:p>
      <w:pPr>
        <w:snapToGrid w:val="0"/>
        <w:spacing w:line="440" w:lineRule="exact"/>
        <w:ind w:firstLine="418" w:firstLineChars="199"/>
        <w:rPr>
          <w:rFonts w:ascii="Times New Roman" w:hAnsi="Times New Roman"/>
          <w:color w:val="000000"/>
          <w:szCs w:val="21"/>
        </w:rPr>
      </w:pPr>
      <w:r>
        <w:rPr>
          <w:rFonts w:ascii="Times New Roman" w:hAnsi="Times New Roman"/>
          <w:color w:val="000000"/>
          <w:szCs w:val="21"/>
        </w:rPr>
        <w:t>若被检产品明示的质量要求低于本细则中检验项目依据的强制性标准要求时，应按照强制性标准要求判定。</w:t>
      </w:r>
    </w:p>
    <w:p>
      <w:pPr>
        <w:snapToGrid w:val="0"/>
        <w:spacing w:line="440" w:lineRule="exact"/>
        <w:ind w:firstLine="418" w:firstLineChars="199"/>
        <w:rPr>
          <w:rFonts w:ascii="Times New Roman" w:hAnsi="Times New Roman"/>
          <w:color w:val="000000"/>
          <w:szCs w:val="21"/>
        </w:rPr>
      </w:pPr>
      <w:r>
        <w:rPr>
          <w:rFonts w:ascii="Times New Roman" w:hAnsi="Times New Roman"/>
          <w:color w:val="000000"/>
          <w:szCs w:val="21"/>
        </w:rPr>
        <w:t>若被检产品明示的质量要求低于或包含本细则中检验项目依据的推荐性标准要求时，应以被检产品明示的质量要求判定。</w:t>
      </w:r>
    </w:p>
    <w:p>
      <w:pPr>
        <w:snapToGrid w:val="0"/>
        <w:spacing w:line="440" w:lineRule="exact"/>
        <w:ind w:firstLine="418" w:firstLineChars="199"/>
        <w:rPr>
          <w:rFonts w:ascii="Times New Roman" w:hAnsi="Times New Roman"/>
          <w:color w:val="000000"/>
          <w:szCs w:val="21"/>
        </w:rPr>
      </w:pPr>
      <w:r>
        <w:rPr>
          <w:rFonts w:ascii="Times New Roman" w:hAnsi="Times New Roman"/>
          <w:color w:val="000000"/>
          <w:szCs w:val="21"/>
        </w:rPr>
        <w:t>若被检产品明示的质量要求缺少本细则中检验项目依据的强制性标准要求时，应按照强制性标准要求判定。</w:t>
      </w:r>
    </w:p>
    <w:p>
      <w:pPr>
        <w:snapToGrid w:val="0"/>
        <w:spacing w:line="440" w:lineRule="exact"/>
        <w:ind w:firstLine="418" w:firstLineChars="199"/>
        <w:rPr>
          <w:rFonts w:ascii="Times New Roman" w:hAnsi="Times New Roman"/>
          <w:color w:val="000000"/>
          <w:szCs w:val="21"/>
        </w:rPr>
      </w:pPr>
      <w:r>
        <w:rPr>
          <w:rFonts w:ascii="Times New Roman" w:hAnsi="Times New Roman"/>
          <w:color w:val="000000"/>
          <w:szCs w:val="21"/>
        </w:rPr>
        <w:t>若被检产品明示的质量要求缺少本细则中检验项目依据的推荐性标准要求时，该项目不参与判定。</w:t>
      </w:r>
    </w:p>
    <w:sectPr>
      <w:headerReference r:id="rId4" w:type="default"/>
      <w:footerReference r:id="rId5"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r>
      <w:rPr>
        <w:rFonts w:ascii="Calibri" w:hAnsi="Calibri" w:eastAsia="宋体" w:cs="Times New Roman"/>
        <w:kern w:val="0"/>
        <w:sz w:val="18"/>
        <w:szCs w:val="18"/>
        <w:lang w:val="en-US" w:eastAsia="zh-CN" w:bidi="ar-SA"/>
      </w:rPr>
      <w:pict>
        <v:shape id="Quad Arrow 1" o:spid="_x0000_s1025" type="#_x0000_t202" style="position:absolute;left:0;margin-top:0pt;height:10.35pt;width:4.55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PAGE  \* MERGEFORMAT </w:instrText>
                </w:r>
                <w:r>
                  <w:rPr>
                    <w:rFonts w:ascii="Times New Roman" w:hAnsi="Times New Roman"/>
                    <w:sz w:val="18"/>
                  </w:rPr>
                  <w:fldChar w:fldCharType="separate"/>
                </w:r>
                <w:r>
                  <w:rPr>
                    <w:rFonts w:ascii="Times New Roman" w:hAnsi="Times New Roman"/>
                    <w:sz w:val="18"/>
                  </w:rPr>
                  <w:t>14</w:t>
                </w:r>
                <w:r>
                  <w:rPr>
                    <w:rFonts w:ascii="Times New Roman" w:hAnsi="Times New Roman"/>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48575133">
    <w:nsid w:val="6839239D"/>
    <w:multiLevelType w:val="singleLevel"/>
    <w:tmpl w:val="6839239D"/>
    <w:lvl w:ilvl="0" w:tentative="1">
      <w:start w:val="1"/>
      <w:numFmt w:val="chineseCounting"/>
      <w:suff w:val="nothing"/>
      <w:lvlText w:val="%1、"/>
      <w:lvlJc w:val="left"/>
    </w:lvl>
  </w:abstractNum>
  <w:abstractNum w:abstractNumId="1413503200">
    <w:nsid w:val="544058E0"/>
    <w:multiLevelType w:val="multilevel"/>
    <w:tmpl w:val="544058E0"/>
    <w:lvl w:ilvl="0" w:tentative="1">
      <w:start w:val="1"/>
      <w:numFmt w:val="decimal"/>
      <w:suff w:val="nothing"/>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186909988">
    <w:nsid w:val="0B240524"/>
    <w:multiLevelType w:val="multilevel"/>
    <w:tmpl w:val="0B240524"/>
    <w:lvl w:ilvl="0" w:tentative="1">
      <w:start w:val="1"/>
      <w:numFmt w:val="decimal"/>
      <w:suff w:val="nothing"/>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635377002">
    <w:nsid w:val="25DF156A"/>
    <w:multiLevelType w:val="multilevel"/>
    <w:tmpl w:val="25DF156A"/>
    <w:lvl w:ilvl="0" w:tentative="1">
      <w:start w:val="1"/>
      <w:numFmt w:val="decimal"/>
      <w:suff w:val="nothing"/>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1969318747">
    <w:nsid w:val="75616B5B"/>
    <w:multiLevelType w:val="multilevel"/>
    <w:tmpl w:val="75616B5B"/>
    <w:lvl w:ilvl="0" w:tentative="1">
      <w:start w:val="1"/>
      <w:numFmt w:val="decimal"/>
      <w:suff w:val="nothing"/>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905336811">
    <w:nsid w:val="35F657EB"/>
    <w:multiLevelType w:val="multilevel"/>
    <w:tmpl w:val="35F657EB"/>
    <w:lvl w:ilvl="0" w:tentative="1">
      <w:start w:val="1"/>
      <w:numFmt w:val="decimal"/>
      <w:suff w:val="nothing"/>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1644506665">
    <w:nsid w:val="62052E29"/>
    <w:multiLevelType w:val="multilevel"/>
    <w:tmpl w:val="62052E29"/>
    <w:lvl w:ilvl="0" w:tentative="1">
      <w:start w:val="1"/>
      <w:numFmt w:val="decimal"/>
      <w:suff w:val="nothing"/>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1968966658">
    <w:nsid w:val="755C0C02"/>
    <w:multiLevelType w:val="multilevel"/>
    <w:tmpl w:val="755C0C02"/>
    <w:lvl w:ilvl="0" w:tentative="1">
      <w:start w:val="1"/>
      <w:numFmt w:val="decimal"/>
      <w:suff w:val="nothing"/>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1828208681">
    <w:nsid w:val="6CF84029"/>
    <w:multiLevelType w:val="multilevel"/>
    <w:tmpl w:val="6CF84029"/>
    <w:lvl w:ilvl="0" w:tentative="1">
      <w:start w:val="1"/>
      <w:numFmt w:val="decimal"/>
      <w:suff w:val="nothing"/>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850224980">
    <w:nsid w:val="32AD6754"/>
    <w:multiLevelType w:val="multilevel"/>
    <w:tmpl w:val="32AD6754"/>
    <w:lvl w:ilvl="0" w:tentative="1">
      <w:start w:val="1"/>
      <w:numFmt w:val="decimal"/>
      <w:suff w:val="nothing"/>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186217528">
    <w:nsid w:val="0B197438"/>
    <w:multiLevelType w:val="multilevel"/>
    <w:tmpl w:val="0B197438"/>
    <w:lvl w:ilvl="0" w:tentative="1">
      <w:start w:val="1"/>
      <w:numFmt w:val="decimal"/>
      <w:suff w:val="nothing"/>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1748575353">
    <w:nsid w:val="68392479"/>
    <w:multiLevelType w:val="singleLevel"/>
    <w:tmpl w:val="68392479"/>
    <w:lvl w:ilvl="0" w:tentative="1">
      <w:start w:val="1"/>
      <w:numFmt w:val="chineseCounting"/>
      <w:suff w:val="nothing"/>
      <w:lvlText w:val="%1、"/>
      <w:lvlJc w:val="left"/>
    </w:lvl>
  </w:abstractNum>
  <w:num w:numId="1">
    <w:abstractNumId w:val="1413503200"/>
  </w:num>
  <w:num w:numId="2">
    <w:abstractNumId w:val="850224980"/>
  </w:num>
  <w:num w:numId="3">
    <w:abstractNumId w:val="1828208681"/>
  </w:num>
  <w:num w:numId="4">
    <w:abstractNumId w:val="186909988"/>
  </w:num>
  <w:num w:numId="5">
    <w:abstractNumId w:val="905336811"/>
  </w:num>
  <w:num w:numId="6">
    <w:abstractNumId w:val="186217528"/>
  </w:num>
  <w:num w:numId="7">
    <w:abstractNumId w:val="1644506665"/>
  </w:num>
  <w:num w:numId="8">
    <w:abstractNumId w:val="1748575133"/>
  </w:num>
  <w:num w:numId="9">
    <w:abstractNumId w:val="635377002"/>
  </w:num>
  <w:num w:numId="10">
    <w:abstractNumId w:val="1969318747"/>
  </w:num>
  <w:num w:numId="11">
    <w:abstractNumId w:val="1968966658"/>
  </w:num>
  <w:num w:numId="12">
    <w:abstractNumId w:val="17485753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DRjNTMwMDlhNTlhNTA0OTQwYjA0ZTI4MjA2NDE1YWMifQ=="/>
  </w:docVars>
  <w:rsids>
    <w:rsidRoot w:val="00867A23"/>
    <w:rsid w:val="00010434"/>
    <w:rsid w:val="000120CD"/>
    <w:rsid w:val="000174E2"/>
    <w:rsid w:val="00024BCE"/>
    <w:rsid w:val="000345F6"/>
    <w:rsid w:val="00035E35"/>
    <w:rsid w:val="00057515"/>
    <w:rsid w:val="0005753B"/>
    <w:rsid w:val="000714E2"/>
    <w:rsid w:val="00073F62"/>
    <w:rsid w:val="0008041A"/>
    <w:rsid w:val="00082310"/>
    <w:rsid w:val="00093A80"/>
    <w:rsid w:val="000B4AF6"/>
    <w:rsid w:val="000C1786"/>
    <w:rsid w:val="000C55BD"/>
    <w:rsid w:val="000D7253"/>
    <w:rsid w:val="000E3E78"/>
    <w:rsid w:val="000F47E7"/>
    <w:rsid w:val="000F63F6"/>
    <w:rsid w:val="00106B65"/>
    <w:rsid w:val="0011067D"/>
    <w:rsid w:val="00116209"/>
    <w:rsid w:val="0011789D"/>
    <w:rsid w:val="00120CD1"/>
    <w:rsid w:val="00121335"/>
    <w:rsid w:val="00130A3F"/>
    <w:rsid w:val="00131B3C"/>
    <w:rsid w:val="0013264A"/>
    <w:rsid w:val="0013515C"/>
    <w:rsid w:val="00146CB7"/>
    <w:rsid w:val="00161830"/>
    <w:rsid w:val="00163481"/>
    <w:rsid w:val="0016359C"/>
    <w:rsid w:val="001638AF"/>
    <w:rsid w:val="00167CD8"/>
    <w:rsid w:val="001700EA"/>
    <w:rsid w:val="00170B5F"/>
    <w:rsid w:val="00172721"/>
    <w:rsid w:val="001732EB"/>
    <w:rsid w:val="00174175"/>
    <w:rsid w:val="001861FE"/>
    <w:rsid w:val="00186A8D"/>
    <w:rsid w:val="00191269"/>
    <w:rsid w:val="00192DDF"/>
    <w:rsid w:val="00194AED"/>
    <w:rsid w:val="001A052C"/>
    <w:rsid w:val="001A241A"/>
    <w:rsid w:val="001A29A0"/>
    <w:rsid w:val="001A5F5F"/>
    <w:rsid w:val="001B0B97"/>
    <w:rsid w:val="001B20BA"/>
    <w:rsid w:val="001B2ADC"/>
    <w:rsid w:val="001B6CF6"/>
    <w:rsid w:val="001B78FC"/>
    <w:rsid w:val="001C02C2"/>
    <w:rsid w:val="001C215A"/>
    <w:rsid w:val="001C46C2"/>
    <w:rsid w:val="001D1160"/>
    <w:rsid w:val="001E1CFD"/>
    <w:rsid w:val="001E47D2"/>
    <w:rsid w:val="001E618A"/>
    <w:rsid w:val="001E62D3"/>
    <w:rsid w:val="001E72A2"/>
    <w:rsid w:val="001F3874"/>
    <w:rsid w:val="00200A51"/>
    <w:rsid w:val="002015A8"/>
    <w:rsid w:val="00201A6F"/>
    <w:rsid w:val="002029C1"/>
    <w:rsid w:val="00204543"/>
    <w:rsid w:val="0020555D"/>
    <w:rsid w:val="0021104B"/>
    <w:rsid w:val="00211D5B"/>
    <w:rsid w:val="002143FA"/>
    <w:rsid w:val="0021591E"/>
    <w:rsid w:val="0021798B"/>
    <w:rsid w:val="00220696"/>
    <w:rsid w:val="00223356"/>
    <w:rsid w:val="00230D0D"/>
    <w:rsid w:val="00232649"/>
    <w:rsid w:val="00232B84"/>
    <w:rsid w:val="0023631B"/>
    <w:rsid w:val="00236C86"/>
    <w:rsid w:val="00240896"/>
    <w:rsid w:val="00240C99"/>
    <w:rsid w:val="00241722"/>
    <w:rsid w:val="00241E26"/>
    <w:rsid w:val="0024272B"/>
    <w:rsid w:val="002439EA"/>
    <w:rsid w:val="00244B38"/>
    <w:rsid w:val="00245F4C"/>
    <w:rsid w:val="00250738"/>
    <w:rsid w:val="002528C4"/>
    <w:rsid w:val="00253571"/>
    <w:rsid w:val="00254893"/>
    <w:rsid w:val="00261A92"/>
    <w:rsid w:val="002811FB"/>
    <w:rsid w:val="00284733"/>
    <w:rsid w:val="002853FC"/>
    <w:rsid w:val="0028759E"/>
    <w:rsid w:val="00287EF1"/>
    <w:rsid w:val="00292555"/>
    <w:rsid w:val="00295D8D"/>
    <w:rsid w:val="00295DBA"/>
    <w:rsid w:val="002A188F"/>
    <w:rsid w:val="002A34F9"/>
    <w:rsid w:val="002B16FD"/>
    <w:rsid w:val="002B4635"/>
    <w:rsid w:val="002C6F63"/>
    <w:rsid w:val="002D0D7A"/>
    <w:rsid w:val="002E0449"/>
    <w:rsid w:val="00301A69"/>
    <w:rsid w:val="00302ED7"/>
    <w:rsid w:val="00307D29"/>
    <w:rsid w:val="00313611"/>
    <w:rsid w:val="00315025"/>
    <w:rsid w:val="00321548"/>
    <w:rsid w:val="00322454"/>
    <w:rsid w:val="00322AEA"/>
    <w:rsid w:val="00326858"/>
    <w:rsid w:val="00327711"/>
    <w:rsid w:val="003404C5"/>
    <w:rsid w:val="00344C8C"/>
    <w:rsid w:val="003460D4"/>
    <w:rsid w:val="0035194E"/>
    <w:rsid w:val="00355DB4"/>
    <w:rsid w:val="003614D3"/>
    <w:rsid w:val="00361897"/>
    <w:rsid w:val="00367207"/>
    <w:rsid w:val="003909AA"/>
    <w:rsid w:val="00391744"/>
    <w:rsid w:val="00397834"/>
    <w:rsid w:val="003A00F3"/>
    <w:rsid w:val="003A21F5"/>
    <w:rsid w:val="003B311E"/>
    <w:rsid w:val="003B627C"/>
    <w:rsid w:val="003C2BD2"/>
    <w:rsid w:val="003D4253"/>
    <w:rsid w:val="003E2339"/>
    <w:rsid w:val="003E31F7"/>
    <w:rsid w:val="003E4981"/>
    <w:rsid w:val="003F303D"/>
    <w:rsid w:val="0041099F"/>
    <w:rsid w:val="00423494"/>
    <w:rsid w:val="00424619"/>
    <w:rsid w:val="004259A1"/>
    <w:rsid w:val="00425D7D"/>
    <w:rsid w:val="004271F7"/>
    <w:rsid w:val="00431C4C"/>
    <w:rsid w:val="00440660"/>
    <w:rsid w:val="00444A32"/>
    <w:rsid w:val="00450835"/>
    <w:rsid w:val="00452EB8"/>
    <w:rsid w:val="00454F49"/>
    <w:rsid w:val="00464571"/>
    <w:rsid w:val="00467858"/>
    <w:rsid w:val="004742D2"/>
    <w:rsid w:val="00481C0B"/>
    <w:rsid w:val="00482AF7"/>
    <w:rsid w:val="00484A27"/>
    <w:rsid w:val="00493DCA"/>
    <w:rsid w:val="00496C2E"/>
    <w:rsid w:val="00497AA4"/>
    <w:rsid w:val="004B3867"/>
    <w:rsid w:val="004C04FE"/>
    <w:rsid w:val="004C44C1"/>
    <w:rsid w:val="004C4B0C"/>
    <w:rsid w:val="004D593F"/>
    <w:rsid w:val="004E08BD"/>
    <w:rsid w:val="00502B7C"/>
    <w:rsid w:val="00503964"/>
    <w:rsid w:val="005048FB"/>
    <w:rsid w:val="00505E27"/>
    <w:rsid w:val="00522599"/>
    <w:rsid w:val="00527462"/>
    <w:rsid w:val="00534A08"/>
    <w:rsid w:val="005444A3"/>
    <w:rsid w:val="0054738F"/>
    <w:rsid w:val="00551521"/>
    <w:rsid w:val="0055431F"/>
    <w:rsid w:val="005674F2"/>
    <w:rsid w:val="00570468"/>
    <w:rsid w:val="00572BFF"/>
    <w:rsid w:val="005741E1"/>
    <w:rsid w:val="00580BCC"/>
    <w:rsid w:val="00593AC3"/>
    <w:rsid w:val="005A0B27"/>
    <w:rsid w:val="005B756C"/>
    <w:rsid w:val="005C14E1"/>
    <w:rsid w:val="005C2278"/>
    <w:rsid w:val="005C4EE9"/>
    <w:rsid w:val="005D07DF"/>
    <w:rsid w:val="005D3EC8"/>
    <w:rsid w:val="005D635E"/>
    <w:rsid w:val="005E17CB"/>
    <w:rsid w:val="005E6CB2"/>
    <w:rsid w:val="005F4451"/>
    <w:rsid w:val="005F5100"/>
    <w:rsid w:val="00600DC8"/>
    <w:rsid w:val="006010F4"/>
    <w:rsid w:val="006051D8"/>
    <w:rsid w:val="00607E29"/>
    <w:rsid w:val="00612256"/>
    <w:rsid w:val="00612272"/>
    <w:rsid w:val="00615F67"/>
    <w:rsid w:val="00621E10"/>
    <w:rsid w:val="00631212"/>
    <w:rsid w:val="006351EB"/>
    <w:rsid w:val="00635374"/>
    <w:rsid w:val="00640EE4"/>
    <w:rsid w:val="00642167"/>
    <w:rsid w:val="006520B9"/>
    <w:rsid w:val="00652B73"/>
    <w:rsid w:val="006532EA"/>
    <w:rsid w:val="00663417"/>
    <w:rsid w:val="00666623"/>
    <w:rsid w:val="00672183"/>
    <w:rsid w:val="0067616F"/>
    <w:rsid w:val="0069068D"/>
    <w:rsid w:val="00692143"/>
    <w:rsid w:val="00692E67"/>
    <w:rsid w:val="00693640"/>
    <w:rsid w:val="00694C9B"/>
    <w:rsid w:val="006968A1"/>
    <w:rsid w:val="006A795E"/>
    <w:rsid w:val="006B166B"/>
    <w:rsid w:val="006B301F"/>
    <w:rsid w:val="006C00AF"/>
    <w:rsid w:val="006C1A01"/>
    <w:rsid w:val="006C357D"/>
    <w:rsid w:val="006C62A5"/>
    <w:rsid w:val="006D07DF"/>
    <w:rsid w:val="006D47D1"/>
    <w:rsid w:val="006D75A6"/>
    <w:rsid w:val="006E0A30"/>
    <w:rsid w:val="006E4192"/>
    <w:rsid w:val="006F00BB"/>
    <w:rsid w:val="006F5E69"/>
    <w:rsid w:val="00710780"/>
    <w:rsid w:val="007119DF"/>
    <w:rsid w:val="007148C5"/>
    <w:rsid w:val="00714D08"/>
    <w:rsid w:val="0072285B"/>
    <w:rsid w:val="007255FF"/>
    <w:rsid w:val="00730194"/>
    <w:rsid w:val="00732CB0"/>
    <w:rsid w:val="007338D7"/>
    <w:rsid w:val="007365A3"/>
    <w:rsid w:val="0074017E"/>
    <w:rsid w:val="00742FB4"/>
    <w:rsid w:val="007434EF"/>
    <w:rsid w:val="00760569"/>
    <w:rsid w:val="00774A2B"/>
    <w:rsid w:val="007800E0"/>
    <w:rsid w:val="00790F16"/>
    <w:rsid w:val="0079178E"/>
    <w:rsid w:val="00795B45"/>
    <w:rsid w:val="007A4418"/>
    <w:rsid w:val="007A461A"/>
    <w:rsid w:val="007C11D9"/>
    <w:rsid w:val="007C332A"/>
    <w:rsid w:val="007D0985"/>
    <w:rsid w:val="007D442D"/>
    <w:rsid w:val="007E63BB"/>
    <w:rsid w:val="007F4564"/>
    <w:rsid w:val="007F7307"/>
    <w:rsid w:val="0080743F"/>
    <w:rsid w:val="008124E8"/>
    <w:rsid w:val="00813857"/>
    <w:rsid w:val="00813D82"/>
    <w:rsid w:val="00825C31"/>
    <w:rsid w:val="008279D8"/>
    <w:rsid w:val="00827F72"/>
    <w:rsid w:val="00830BA1"/>
    <w:rsid w:val="00831071"/>
    <w:rsid w:val="008325A0"/>
    <w:rsid w:val="0083499E"/>
    <w:rsid w:val="0083550B"/>
    <w:rsid w:val="00841046"/>
    <w:rsid w:val="0084114A"/>
    <w:rsid w:val="0084327E"/>
    <w:rsid w:val="008631B5"/>
    <w:rsid w:val="00863A9D"/>
    <w:rsid w:val="00867A23"/>
    <w:rsid w:val="00877D2F"/>
    <w:rsid w:val="008839EE"/>
    <w:rsid w:val="00894ABA"/>
    <w:rsid w:val="00897634"/>
    <w:rsid w:val="008B428C"/>
    <w:rsid w:val="008B4F9E"/>
    <w:rsid w:val="008B73B8"/>
    <w:rsid w:val="008C015A"/>
    <w:rsid w:val="008D1179"/>
    <w:rsid w:val="008D37AA"/>
    <w:rsid w:val="008E5D36"/>
    <w:rsid w:val="008E6B42"/>
    <w:rsid w:val="008F3069"/>
    <w:rsid w:val="008F668E"/>
    <w:rsid w:val="00901C94"/>
    <w:rsid w:val="00903566"/>
    <w:rsid w:val="00903C72"/>
    <w:rsid w:val="0091059F"/>
    <w:rsid w:val="00920FFE"/>
    <w:rsid w:val="00921297"/>
    <w:rsid w:val="00924F5D"/>
    <w:rsid w:val="00926D34"/>
    <w:rsid w:val="00936851"/>
    <w:rsid w:val="00946819"/>
    <w:rsid w:val="00951F69"/>
    <w:rsid w:val="0097168E"/>
    <w:rsid w:val="00983307"/>
    <w:rsid w:val="00987687"/>
    <w:rsid w:val="00991807"/>
    <w:rsid w:val="009A55BD"/>
    <w:rsid w:val="009A7C87"/>
    <w:rsid w:val="009B430C"/>
    <w:rsid w:val="009D5E5A"/>
    <w:rsid w:val="009E10C1"/>
    <w:rsid w:val="009F0A2A"/>
    <w:rsid w:val="009F4D93"/>
    <w:rsid w:val="009F6265"/>
    <w:rsid w:val="009F78AC"/>
    <w:rsid w:val="00A06EC3"/>
    <w:rsid w:val="00A13AA5"/>
    <w:rsid w:val="00A16DD3"/>
    <w:rsid w:val="00A21938"/>
    <w:rsid w:val="00A2601F"/>
    <w:rsid w:val="00A356EF"/>
    <w:rsid w:val="00A37D5B"/>
    <w:rsid w:val="00A41524"/>
    <w:rsid w:val="00A538D1"/>
    <w:rsid w:val="00A63F15"/>
    <w:rsid w:val="00A84078"/>
    <w:rsid w:val="00A94AA2"/>
    <w:rsid w:val="00A9721A"/>
    <w:rsid w:val="00AA7178"/>
    <w:rsid w:val="00AB611E"/>
    <w:rsid w:val="00AC3B60"/>
    <w:rsid w:val="00AC63C2"/>
    <w:rsid w:val="00AD53D5"/>
    <w:rsid w:val="00AE5146"/>
    <w:rsid w:val="00AF267A"/>
    <w:rsid w:val="00AF32F8"/>
    <w:rsid w:val="00AF6226"/>
    <w:rsid w:val="00B00ABA"/>
    <w:rsid w:val="00B02EA7"/>
    <w:rsid w:val="00B04FA8"/>
    <w:rsid w:val="00B117F5"/>
    <w:rsid w:val="00B17614"/>
    <w:rsid w:val="00B219D8"/>
    <w:rsid w:val="00B24F57"/>
    <w:rsid w:val="00B25ABB"/>
    <w:rsid w:val="00B333B0"/>
    <w:rsid w:val="00B344D9"/>
    <w:rsid w:val="00B37F09"/>
    <w:rsid w:val="00B46E7E"/>
    <w:rsid w:val="00B55436"/>
    <w:rsid w:val="00B6756B"/>
    <w:rsid w:val="00B70BB4"/>
    <w:rsid w:val="00B712A2"/>
    <w:rsid w:val="00B74BC1"/>
    <w:rsid w:val="00B76A6B"/>
    <w:rsid w:val="00B814CC"/>
    <w:rsid w:val="00B93631"/>
    <w:rsid w:val="00B96583"/>
    <w:rsid w:val="00B97FAE"/>
    <w:rsid w:val="00BC39A7"/>
    <w:rsid w:val="00BC5B4B"/>
    <w:rsid w:val="00BC7023"/>
    <w:rsid w:val="00BD103E"/>
    <w:rsid w:val="00BE0D18"/>
    <w:rsid w:val="00BE7D08"/>
    <w:rsid w:val="00BF319B"/>
    <w:rsid w:val="00BF3B94"/>
    <w:rsid w:val="00C06E43"/>
    <w:rsid w:val="00C0726B"/>
    <w:rsid w:val="00C2040B"/>
    <w:rsid w:val="00C255F5"/>
    <w:rsid w:val="00C30406"/>
    <w:rsid w:val="00C360CD"/>
    <w:rsid w:val="00C40311"/>
    <w:rsid w:val="00C4495A"/>
    <w:rsid w:val="00C47116"/>
    <w:rsid w:val="00C53B1F"/>
    <w:rsid w:val="00C554AE"/>
    <w:rsid w:val="00C57A0D"/>
    <w:rsid w:val="00C57F2F"/>
    <w:rsid w:val="00C60759"/>
    <w:rsid w:val="00C6620B"/>
    <w:rsid w:val="00C72128"/>
    <w:rsid w:val="00C721D4"/>
    <w:rsid w:val="00CA05B7"/>
    <w:rsid w:val="00CA541B"/>
    <w:rsid w:val="00CB44D9"/>
    <w:rsid w:val="00CB5B70"/>
    <w:rsid w:val="00CB6520"/>
    <w:rsid w:val="00CC126D"/>
    <w:rsid w:val="00CD1377"/>
    <w:rsid w:val="00CD4965"/>
    <w:rsid w:val="00CD4B63"/>
    <w:rsid w:val="00CD5D06"/>
    <w:rsid w:val="00CF3ABA"/>
    <w:rsid w:val="00CF50B0"/>
    <w:rsid w:val="00D002D6"/>
    <w:rsid w:val="00D05017"/>
    <w:rsid w:val="00D065B7"/>
    <w:rsid w:val="00D07F38"/>
    <w:rsid w:val="00D10D3D"/>
    <w:rsid w:val="00D16367"/>
    <w:rsid w:val="00D21F92"/>
    <w:rsid w:val="00D2754A"/>
    <w:rsid w:val="00D320D2"/>
    <w:rsid w:val="00D444A6"/>
    <w:rsid w:val="00D46603"/>
    <w:rsid w:val="00D5378E"/>
    <w:rsid w:val="00D55041"/>
    <w:rsid w:val="00D66218"/>
    <w:rsid w:val="00D7343B"/>
    <w:rsid w:val="00D862FB"/>
    <w:rsid w:val="00D96F2F"/>
    <w:rsid w:val="00DB37FD"/>
    <w:rsid w:val="00DB74B6"/>
    <w:rsid w:val="00DB76A4"/>
    <w:rsid w:val="00DC19CC"/>
    <w:rsid w:val="00DC40D9"/>
    <w:rsid w:val="00DD7002"/>
    <w:rsid w:val="00DE3713"/>
    <w:rsid w:val="00DF201D"/>
    <w:rsid w:val="00DF3686"/>
    <w:rsid w:val="00DF472C"/>
    <w:rsid w:val="00E0228F"/>
    <w:rsid w:val="00E033ED"/>
    <w:rsid w:val="00E06B8A"/>
    <w:rsid w:val="00E134B3"/>
    <w:rsid w:val="00E15C91"/>
    <w:rsid w:val="00E16E8B"/>
    <w:rsid w:val="00E23CA4"/>
    <w:rsid w:val="00E247AD"/>
    <w:rsid w:val="00E25F1D"/>
    <w:rsid w:val="00E37A89"/>
    <w:rsid w:val="00E40AFE"/>
    <w:rsid w:val="00E476C2"/>
    <w:rsid w:val="00E55573"/>
    <w:rsid w:val="00E557AA"/>
    <w:rsid w:val="00E56E81"/>
    <w:rsid w:val="00E574EA"/>
    <w:rsid w:val="00E62060"/>
    <w:rsid w:val="00E629E3"/>
    <w:rsid w:val="00E64A1C"/>
    <w:rsid w:val="00E76D68"/>
    <w:rsid w:val="00E91A34"/>
    <w:rsid w:val="00E93C7C"/>
    <w:rsid w:val="00E96968"/>
    <w:rsid w:val="00EA563C"/>
    <w:rsid w:val="00EA6518"/>
    <w:rsid w:val="00EC09C7"/>
    <w:rsid w:val="00EC1AA4"/>
    <w:rsid w:val="00ED030B"/>
    <w:rsid w:val="00ED09D3"/>
    <w:rsid w:val="00ED4770"/>
    <w:rsid w:val="00EE0E53"/>
    <w:rsid w:val="00EE522E"/>
    <w:rsid w:val="00EF2FD7"/>
    <w:rsid w:val="00F06DF3"/>
    <w:rsid w:val="00F11446"/>
    <w:rsid w:val="00F32D2D"/>
    <w:rsid w:val="00F34097"/>
    <w:rsid w:val="00F35FDE"/>
    <w:rsid w:val="00F40A94"/>
    <w:rsid w:val="00F410A6"/>
    <w:rsid w:val="00F414CC"/>
    <w:rsid w:val="00F64960"/>
    <w:rsid w:val="00F66610"/>
    <w:rsid w:val="00F7507C"/>
    <w:rsid w:val="00F8165E"/>
    <w:rsid w:val="00F8493E"/>
    <w:rsid w:val="00F93E1D"/>
    <w:rsid w:val="00FA0CEE"/>
    <w:rsid w:val="00FA36A4"/>
    <w:rsid w:val="00FA684F"/>
    <w:rsid w:val="00FB3545"/>
    <w:rsid w:val="00FB53E7"/>
    <w:rsid w:val="00FC08D7"/>
    <w:rsid w:val="00FC3CA5"/>
    <w:rsid w:val="00FD001F"/>
    <w:rsid w:val="00FE078C"/>
    <w:rsid w:val="00FE3624"/>
    <w:rsid w:val="00FE48E0"/>
    <w:rsid w:val="00FF57FC"/>
    <w:rsid w:val="09B3658D"/>
    <w:rsid w:val="11150B10"/>
    <w:rsid w:val="166A1CB2"/>
    <w:rsid w:val="1BF624CF"/>
    <w:rsid w:val="1DB04512"/>
    <w:rsid w:val="20DA5EA6"/>
    <w:rsid w:val="217066E1"/>
    <w:rsid w:val="29CE253C"/>
    <w:rsid w:val="2D10361F"/>
    <w:rsid w:val="2D286B47"/>
    <w:rsid w:val="367852E0"/>
    <w:rsid w:val="3BD36BFB"/>
    <w:rsid w:val="3CA0222E"/>
    <w:rsid w:val="415D36B8"/>
    <w:rsid w:val="47F86800"/>
    <w:rsid w:val="47FE3287"/>
    <w:rsid w:val="56580403"/>
    <w:rsid w:val="5C13301F"/>
    <w:rsid w:val="5CE826A2"/>
    <w:rsid w:val="63453CC2"/>
    <w:rsid w:val="639172E3"/>
    <w:rsid w:val="670E46A1"/>
    <w:rsid w:val="685C773F"/>
    <w:rsid w:val="6A582906"/>
    <w:rsid w:val="6BE159A1"/>
    <w:rsid w:val="6C90426F"/>
    <w:rsid w:val="6D0B49F7"/>
    <w:rsid w:val="6F6B095D"/>
    <w:rsid w:val="76FE53F7"/>
    <w:rsid w:val="79446787"/>
    <w:rsid w:val="7EF4493B"/>
    <w:rsid w:val="BFEC0D52"/>
    <w:rsid w:val="FFFD919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qFormat="1" w:unhideWhenUsed="0" w:uiPriority="99" w:semiHidden="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5"/>
    <w:basedOn w:val="1"/>
    <w:next w:val="1"/>
    <w:link w:val="115"/>
    <w:qFormat/>
    <w:uiPriority w:val="99"/>
    <w:pPr>
      <w:widowControl/>
      <w:spacing w:before="100" w:beforeAutospacing="1" w:after="100" w:afterAutospacing="1"/>
      <w:jc w:val="left"/>
      <w:outlineLvl w:val="4"/>
    </w:pPr>
    <w:rPr>
      <w:rFonts w:ascii="宋体" w:hAnsi="宋体"/>
      <w:b/>
      <w:bCs/>
      <w:kern w:val="0"/>
      <w:sz w:val="20"/>
      <w:szCs w:val="20"/>
    </w:rPr>
  </w:style>
  <w:style w:type="paragraph" w:styleId="3">
    <w:name w:val="heading 6"/>
    <w:basedOn w:val="1"/>
    <w:next w:val="1"/>
    <w:link w:val="116"/>
    <w:qFormat/>
    <w:uiPriority w:val="99"/>
    <w:pPr>
      <w:widowControl/>
      <w:spacing w:before="100" w:beforeAutospacing="1" w:after="100" w:afterAutospacing="1"/>
      <w:jc w:val="left"/>
      <w:outlineLvl w:val="5"/>
    </w:pPr>
    <w:rPr>
      <w:rFonts w:ascii="宋体" w:hAnsi="宋体"/>
      <w:b/>
      <w:bCs/>
      <w:kern w:val="0"/>
      <w:sz w:val="15"/>
      <w:szCs w:val="15"/>
    </w:rPr>
  </w:style>
  <w:style w:type="character" w:default="1" w:styleId="12">
    <w:name w:val="Default Paragraph Font"/>
    <w:unhideWhenUsed/>
    <w:uiPriority w:val="1"/>
  </w:style>
  <w:style w:type="table" w:default="1" w:styleId="17">
    <w:name w:val="Normal Table"/>
    <w:unhideWhenUsed/>
    <w:qFormat/>
    <w:uiPriority w:val="99"/>
    <w:tblPr>
      <w:tblStyle w:val="17"/>
      <w:tblLayout w:type="fixed"/>
      <w:tblCellMar>
        <w:top w:w="0" w:type="dxa"/>
        <w:left w:w="108" w:type="dxa"/>
        <w:bottom w:w="0" w:type="dxa"/>
        <w:right w:w="108" w:type="dxa"/>
      </w:tblCellMar>
    </w:tblPr>
    <w:tcPr>
      <w:textDirection w:val="lrTb"/>
    </w:tcPr>
  </w:style>
  <w:style w:type="paragraph" w:styleId="4">
    <w:name w:val="annotation subject"/>
    <w:basedOn w:val="5"/>
    <w:next w:val="5"/>
    <w:link w:val="124"/>
    <w:unhideWhenUsed/>
    <w:qFormat/>
    <w:uiPriority w:val="0"/>
    <w:rPr>
      <w:rFonts w:cs="Times New Roman"/>
      <w:b/>
      <w:bCs/>
      <w:szCs w:val="22"/>
    </w:rPr>
  </w:style>
  <w:style w:type="paragraph" w:styleId="5">
    <w:name w:val="annotation text"/>
    <w:basedOn w:val="1"/>
    <w:link w:val="123"/>
    <w:qFormat/>
    <w:uiPriority w:val="99"/>
    <w:pPr>
      <w:jc w:val="left"/>
    </w:pPr>
    <w:rPr>
      <w:rFonts w:cs="Calibri"/>
      <w:szCs w:val="21"/>
    </w:rPr>
  </w:style>
  <w:style w:type="paragraph" w:styleId="6">
    <w:name w:val="Plain Text"/>
    <w:basedOn w:val="1"/>
    <w:link w:val="127"/>
    <w:qFormat/>
    <w:uiPriority w:val="99"/>
    <w:rPr>
      <w:rFonts w:ascii="宋体" w:hAnsi="Courier New"/>
      <w:kern w:val="0"/>
      <w:sz w:val="20"/>
      <w:szCs w:val="20"/>
      <w:lang w:val="zh-CN"/>
    </w:rPr>
  </w:style>
  <w:style w:type="paragraph" w:styleId="7">
    <w:name w:val="Date"/>
    <w:basedOn w:val="1"/>
    <w:next w:val="1"/>
    <w:link w:val="125"/>
    <w:unhideWhenUsed/>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118"/>
    <w:qFormat/>
    <w:uiPriority w:val="99"/>
    <w:pPr>
      <w:tabs>
        <w:tab w:val="center" w:pos="4153"/>
        <w:tab w:val="right" w:pos="8306"/>
      </w:tabs>
      <w:snapToGrid w:val="0"/>
      <w:jc w:val="left"/>
    </w:pPr>
    <w:rPr>
      <w:kern w:val="0"/>
      <w:sz w:val="18"/>
      <w:szCs w:val="18"/>
    </w:rPr>
  </w:style>
  <w:style w:type="paragraph" w:styleId="10">
    <w:name w:val="header"/>
    <w:basedOn w:val="1"/>
    <w:link w:val="117"/>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qFormat/>
    <w:uiPriority w:val="99"/>
    <w:rPr>
      <w:rFonts w:cs="Times New Roman"/>
      <w:b/>
      <w:bCs/>
    </w:rPr>
  </w:style>
  <w:style w:type="character" w:styleId="14">
    <w:name w:val="page number"/>
    <w:basedOn w:val="12"/>
    <w:unhideWhenUsed/>
    <w:qFormat/>
    <w:uiPriority w:val="0"/>
    <w:rPr/>
  </w:style>
  <w:style w:type="character" w:styleId="15">
    <w:name w:val="Hyperlink"/>
    <w:semiHidden/>
    <w:qFormat/>
    <w:uiPriority w:val="99"/>
    <w:rPr>
      <w:rFonts w:cs="Times New Roman"/>
      <w:color w:val="0000FF"/>
      <w:u w:val="single"/>
    </w:rPr>
  </w:style>
  <w:style w:type="character" w:styleId="16">
    <w:name w:val="annotation reference"/>
    <w:basedOn w:val="12"/>
    <w:unhideWhenUsed/>
    <w:qFormat/>
    <w:uiPriority w:val="0"/>
    <w:rPr>
      <w:sz w:val="21"/>
      <w:szCs w:val="21"/>
    </w:rPr>
  </w:style>
  <w:style w:type="table" w:styleId="18">
    <w:name w:val="Table Grid"/>
    <w:basedOn w:val="17"/>
    <w:qFormat/>
    <w:locked/>
    <w:uiPriority w:val="39"/>
    <w:pPr/>
    <w:rPr>
      <w:kern w:val="2"/>
      <w:sz w:val="21"/>
      <w:szCs w:val="22"/>
    </w:r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9">
    <w:name w:val="a18da"/>
    <w:basedOn w:val="1"/>
    <w:qFormat/>
    <w:uiPriority w:val="99"/>
    <w:pPr>
      <w:widowControl/>
      <w:shd w:val="clear" w:color="auto" w:fill="EA290A"/>
      <w:spacing w:before="100" w:beforeAutospacing="1" w:after="100" w:afterAutospacing="1"/>
      <w:jc w:val="left"/>
    </w:pPr>
    <w:rPr>
      <w:rFonts w:ascii="宋体" w:hAnsi="宋体" w:cs="宋体"/>
      <w:kern w:val="0"/>
      <w:sz w:val="24"/>
      <w:szCs w:val="24"/>
    </w:rPr>
  </w:style>
  <w:style w:type="paragraph" w:customStyle="1" w:styleId="20">
    <w:name w:val="f_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21">
    <w:name w:val="f_12"/>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2">
    <w:name w:val="blue-dot"/>
    <w:basedOn w:val="1"/>
    <w:qFormat/>
    <w:uiPriority w:val="99"/>
    <w:pPr>
      <w:widowControl/>
      <w:spacing w:before="100" w:beforeAutospacing="1" w:after="100" w:afterAutospacing="1"/>
      <w:jc w:val="left"/>
    </w:pPr>
    <w:rPr>
      <w:rFonts w:ascii="宋体" w:hAnsi="宋体" w:cs="宋体"/>
      <w:color w:val="3075B4"/>
      <w:kern w:val="0"/>
      <w:sz w:val="18"/>
      <w:szCs w:val="18"/>
    </w:rPr>
  </w:style>
  <w:style w:type="paragraph" w:customStyle="1" w:styleId="23">
    <w:name w:val="red-dot"/>
    <w:basedOn w:val="1"/>
    <w:qFormat/>
    <w:uiPriority w:val="99"/>
    <w:pPr>
      <w:widowControl/>
      <w:spacing w:before="100" w:beforeAutospacing="1" w:after="100" w:afterAutospacing="1"/>
      <w:jc w:val="left"/>
    </w:pPr>
    <w:rPr>
      <w:rFonts w:ascii="宋体" w:hAnsi="宋体" w:cs="宋体"/>
      <w:color w:val="C81908"/>
      <w:kern w:val="0"/>
      <w:sz w:val="18"/>
      <w:szCs w:val="18"/>
    </w:rPr>
  </w:style>
  <w:style w:type="paragraph" w:customStyle="1" w:styleId="24">
    <w:name w:val="a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5">
    <w:name w:val="website_execute_title_bg"/>
    <w:basedOn w:val="1"/>
    <w:qFormat/>
    <w:uiPriority w:val="99"/>
    <w:pPr>
      <w:widowControl/>
      <w:shd w:val="clear" w:color="auto" w:fill="C5C5C5"/>
      <w:spacing w:before="100" w:beforeAutospacing="1" w:after="100" w:afterAutospacing="1" w:line="390" w:lineRule="atLeast"/>
      <w:jc w:val="left"/>
      <w:textAlignment w:val="bottom"/>
    </w:pPr>
    <w:rPr>
      <w:rFonts w:ascii="宋体" w:hAnsi="宋体" w:cs="宋体"/>
      <w:b/>
      <w:bCs/>
      <w:color w:val="FFFFFF"/>
      <w:spacing w:val="40"/>
      <w:kern w:val="0"/>
      <w:sz w:val="18"/>
      <w:szCs w:val="18"/>
    </w:rPr>
  </w:style>
  <w:style w:type="paragraph" w:customStyle="1" w:styleId="26">
    <w:name w:val="lanmu-title"/>
    <w:basedOn w:val="1"/>
    <w:qFormat/>
    <w:uiPriority w:val="99"/>
    <w:pPr>
      <w:widowControl/>
      <w:spacing w:before="100" w:beforeAutospacing="1" w:after="100" w:afterAutospacing="1"/>
      <w:ind w:firstLine="375"/>
      <w:jc w:val="left"/>
    </w:pPr>
    <w:rPr>
      <w:rFonts w:ascii="宋体" w:hAnsi="宋体" w:cs="宋体"/>
      <w:b/>
      <w:bCs/>
      <w:color w:val="333333"/>
      <w:kern w:val="0"/>
      <w:szCs w:val="21"/>
    </w:rPr>
  </w:style>
  <w:style w:type="paragraph" w:customStyle="1" w:styleId="27">
    <w:name w:val="cont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
    <w:name w:val="menu-list-bg"/>
    <w:basedOn w:val="1"/>
    <w:qFormat/>
    <w:uiPriority w:val="99"/>
    <w:pPr>
      <w:widowControl/>
      <w:pBdr>
        <w:left w:val="single" w:color="7BB7DF" w:sz="6" w:space="0"/>
        <w:right w:val="single" w:color="7BB7DF" w:sz="6" w:space="0"/>
      </w:pBdr>
      <w:spacing w:before="100" w:beforeAutospacing="1" w:after="100" w:afterAutospacing="1" w:line="450" w:lineRule="atLeast"/>
      <w:ind w:firstLine="75"/>
      <w:jc w:val="left"/>
    </w:pPr>
    <w:rPr>
      <w:rFonts w:ascii="宋体" w:hAnsi="宋体" w:cs="宋体"/>
      <w:b/>
      <w:bCs/>
      <w:color w:val="000000"/>
      <w:kern w:val="0"/>
      <w:sz w:val="18"/>
      <w:szCs w:val="18"/>
    </w:rPr>
  </w:style>
  <w:style w:type="paragraph" w:customStyle="1" w:styleId="29">
    <w:name w:val="menu-line-bg"/>
    <w:basedOn w:val="1"/>
    <w:qFormat/>
    <w:uiPriority w:val="99"/>
    <w:pPr>
      <w:widowControl/>
      <w:pBdr>
        <w:right w:val="single" w:color="ABD1EB" w:sz="6" w:space="2"/>
      </w:pBdr>
      <w:spacing w:before="100" w:beforeAutospacing="1" w:after="100" w:afterAutospacing="1"/>
      <w:jc w:val="left"/>
    </w:pPr>
    <w:rPr>
      <w:rFonts w:ascii="宋体" w:hAnsi="宋体" w:cs="宋体"/>
      <w:kern w:val="0"/>
      <w:sz w:val="24"/>
      <w:szCs w:val="24"/>
    </w:rPr>
  </w:style>
  <w:style w:type="paragraph" w:customStyle="1" w:styleId="30">
    <w:name w:val="table-frame-750"/>
    <w:basedOn w:val="1"/>
    <w:qFormat/>
    <w:uiPriority w:val="99"/>
    <w:pPr>
      <w:widowControl/>
      <w:pBdr>
        <w:left w:val="single" w:color="ABD1EB" w:sz="6" w:space="3"/>
        <w:bottom w:val="single" w:color="ABD1EB" w:sz="6" w:space="3"/>
        <w:right w:val="single" w:color="ABD1EB" w:sz="6" w:space="3"/>
      </w:pBdr>
      <w:spacing w:before="100" w:beforeAutospacing="1" w:after="100" w:afterAutospacing="1"/>
      <w:jc w:val="left"/>
    </w:pPr>
    <w:rPr>
      <w:rFonts w:ascii="宋体" w:hAnsi="宋体" w:cs="宋体"/>
      <w:kern w:val="0"/>
      <w:sz w:val="24"/>
      <w:szCs w:val="24"/>
    </w:rPr>
  </w:style>
  <w:style w:type="paragraph" w:customStyle="1" w:styleId="31">
    <w:name w:val="table-frame-2008"/>
    <w:basedOn w:val="1"/>
    <w:qFormat/>
    <w:uiPriority w:val="99"/>
    <w:pPr>
      <w:widowControl/>
      <w:pBdr>
        <w:left w:val="single" w:color="ABD1EB" w:sz="6" w:space="0"/>
        <w:bottom w:val="single" w:color="ABD1EB" w:sz="6" w:space="0"/>
        <w:right w:val="single" w:color="ABD1EB" w:sz="6" w:space="0"/>
      </w:pBdr>
      <w:spacing w:before="100" w:beforeAutospacing="1" w:after="100" w:afterAutospacing="1"/>
      <w:jc w:val="left"/>
    </w:pPr>
    <w:rPr>
      <w:rFonts w:ascii="宋体" w:hAnsi="宋体" w:cs="宋体"/>
      <w:kern w:val="0"/>
      <w:sz w:val="24"/>
      <w:szCs w:val="24"/>
    </w:rPr>
  </w:style>
  <w:style w:type="paragraph" w:customStyle="1" w:styleId="32">
    <w:name w:val="question-b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op-b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blzt-b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jggs-b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table-frame-754"/>
    <w:basedOn w:val="1"/>
    <w:qFormat/>
    <w:uiPriority w:val="99"/>
    <w:pPr>
      <w:widowControl/>
      <w:pBdr>
        <w:left w:val="single" w:color="ABD1EB" w:sz="6" w:space="3"/>
        <w:bottom w:val="single" w:color="ABD1EB" w:sz="6" w:space="3"/>
        <w:right w:val="single" w:color="ABD1EB" w:sz="6" w:space="3"/>
      </w:pBdr>
      <w:spacing w:before="100" w:beforeAutospacing="1" w:after="100" w:afterAutospacing="1"/>
      <w:jc w:val="left"/>
    </w:pPr>
    <w:rPr>
      <w:rFonts w:ascii="宋体" w:hAnsi="宋体" w:cs="宋体"/>
      <w:kern w:val="0"/>
      <w:sz w:val="24"/>
      <w:szCs w:val="24"/>
    </w:rPr>
  </w:style>
  <w:style w:type="paragraph" w:customStyle="1" w:styleId="37">
    <w:name w:val="question-type-b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able-frame-375"/>
    <w:basedOn w:val="1"/>
    <w:qFormat/>
    <w:uiPriority w:val="99"/>
    <w:pPr>
      <w:widowControl/>
      <w:pBdr>
        <w:left w:val="single" w:color="ABD1EB" w:sz="6" w:space="3"/>
        <w:bottom w:val="single" w:color="ABD1EB" w:sz="6" w:space="3"/>
        <w:right w:val="single" w:color="ABD1EB" w:sz="6" w:space="3"/>
      </w:pBdr>
      <w:spacing w:before="100" w:beforeAutospacing="1" w:after="100" w:afterAutospacing="1"/>
      <w:jc w:val="left"/>
    </w:pPr>
    <w:rPr>
      <w:rFonts w:ascii="宋体" w:hAnsi="宋体" w:cs="宋体"/>
      <w:kern w:val="0"/>
      <w:sz w:val="24"/>
      <w:szCs w:val="24"/>
    </w:rPr>
  </w:style>
  <w:style w:type="paragraph" w:customStyle="1" w:styleId="39">
    <w:name w:val="left-223"/>
    <w:basedOn w:val="1"/>
    <w:qFormat/>
    <w:uiPriority w:val="99"/>
    <w:pPr>
      <w:widowControl/>
      <w:pBdr>
        <w:top w:val="single" w:color="CCCCCC" w:sz="6" w:space="1"/>
        <w:left w:val="single" w:color="CCCCCC" w:sz="6" w:space="1"/>
        <w:bottom w:val="single" w:color="CCCCCC" w:sz="6" w:space="1"/>
        <w:right w:val="single" w:color="CCCCCC" w:sz="6" w:space="1"/>
      </w:pBdr>
      <w:shd w:val="clear" w:color="auto" w:fill="FAFAFA"/>
      <w:spacing w:before="100" w:beforeAutospacing="1" w:after="100" w:afterAutospacing="1"/>
      <w:jc w:val="left"/>
    </w:pPr>
    <w:rPr>
      <w:rFonts w:ascii="宋体" w:hAnsi="宋体" w:cs="宋体"/>
      <w:kern w:val="0"/>
      <w:sz w:val="24"/>
      <w:szCs w:val="24"/>
    </w:rPr>
  </w:style>
  <w:style w:type="paragraph" w:customStyle="1" w:styleId="40">
    <w:name w:val="blue-table-title"/>
    <w:basedOn w:val="1"/>
    <w:qFormat/>
    <w:uiPriority w:val="99"/>
    <w:pPr>
      <w:widowControl/>
      <w:pBdr>
        <w:top w:val="single" w:color="ABD5EB" w:sz="6" w:space="3"/>
        <w:left w:val="single" w:color="ABD5EB" w:sz="6" w:space="0"/>
        <w:bottom w:val="single" w:color="ABD5EB" w:sz="6" w:space="3"/>
        <w:right w:val="single" w:color="ABD5EB" w:sz="6" w:space="0"/>
      </w:pBdr>
      <w:shd w:val="clear" w:color="auto" w:fill="F2F7FD"/>
      <w:spacing w:before="100" w:beforeAutospacing="1" w:after="100" w:afterAutospacing="1"/>
      <w:ind w:firstLine="90"/>
      <w:jc w:val="left"/>
      <w:textAlignment w:val="top"/>
    </w:pPr>
    <w:rPr>
      <w:rFonts w:ascii="宋体" w:hAnsi="宋体" w:cs="宋体"/>
      <w:b/>
      <w:bCs/>
      <w:color w:val="0060AD"/>
      <w:kern w:val="0"/>
      <w:szCs w:val="21"/>
    </w:rPr>
  </w:style>
  <w:style w:type="paragraph" w:customStyle="1" w:styleId="41">
    <w:name w:val="blue-table-text"/>
    <w:basedOn w:val="1"/>
    <w:qFormat/>
    <w:uiPriority w:val="99"/>
    <w:pPr>
      <w:widowControl/>
      <w:spacing w:before="100" w:beforeAutospacing="1" w:after="100" w:afterAutospacing="1"/>
      <w:ind w:firstLine="90"/>
      <w:jc w:val="left"/>
      <w:textAlignment w:val="top"/>
    </w:pPr>
    <w:rPr>
      <w:rFonts w:ascii="宋体" w:hAnsi="宋体" w:cs="宋体"/>
      <w:b/>
      <w:bCs/>
      <w:color w:val="0060AD"/>
      <w:kern w:val="0"/>
      <w:szCs w:val="21"/>
    </w:rPr>
  </w:style>
  <w:style w:type="paragraph" w:customStyle="1" w:styleId="42">
    <w:name w:val="blue-table-td"/>
    <w:basedOn w:val="1"/>
    <w:qFormat/>
    <w:uiPriority w:val="99"/>
    <w:pPr>
      <w:widowControl/>
      <w:pBdr>
        <w:top w:val="single" w:color="FFFFFF" w:sz="6" w:space="0"/>
        <w:left w:val="single" w:color="FFFFFF" w:sz="6" w:space="0"/>
        <w:bottom w:val="single" w:color="DFDFDF" w:sz="6" w:space="0"/>
        <w:right w:val="single" w:color="DFDFDF" w:sz="6" w:space="0"/>
      </w:pBdr>
      <w:shd w:val="clear" w:color="auto" w:fill="F8F8F8"/>
      <w:spacing w:before="100" w:beforeAutospacing="1" w:after="100" w:afterAutospacing="1" w:line="330" w:lineRule="atLeast"/>
      <w:jc w:val="center"/>
    </w:pPr>
    <w:rPr>
      <w:rFonts w:ascii="宋体" w:hAnsi="宋体" w:cs="宋体"/>
      <w:color w:val="444444"/>
      <w:kern w:val="0"/>
      <w:sz w:val="18"/>
      <w:szCs w:val="18"/>
    </w:rPr>
  </w:style>
  <w:style w:type="paragraph" w:customStyle="1" w:styleId="43">
    <w:name w:val="blue-table-td-left"/>
    <w:basedOn w:val="1"/>
    <w:qFormat/>
    <w:uiPriority w:val="99"/>
    <w:pPr>
      <w:widowControl/>
      <w:pBdr>
        <w:top w:val="single" w:color="FFFFFF" w:sz="6" w:space="0"/>
        <w:left w:val="single" w:color="FFFFFF" w:sz="6" w:space="0"/>
        <w:bottom w:val="single" w:color="DFDFDF" w:sz="6" w:space="0"/>
        <w:right w:val="single" w:color="DFDFDF" w:sz="6" w:space="0"/>
      </w:pBdr>
      <w:shd w:val="clear" w:color="auto" w:fill="F8F8F8"/>
      <w:spacing w:before="100" w:beforeAutospacing="1" w:after="100" w:afterAutospacing="1" w:line="330" w:lineRule="atLeast"/>
      <w:jc w:val="left"/>
    </w:pPr>
    <w:rPr>
      <w:rFonts w:ascii="宋体" w:hAnsi="宋体" w:cs="宋体"/>
      <w:color w:val="444444"/>
      <w:kern w:val="0"/>
      <w:sz w:val="18"/>
      <w:szCs w:val="18"/>
    </w:rPr>
  </w:style>
  <w:style w:type="paragraph" w:customStyle="1" w:styleId="44">
    <w:name w:val="xwgg-table"/>
    <w:basedOn w:val="1"/>
    <w:qFormat/>
    <w:uiPriority w:val="99"/>
    <w:pPr>
      <w:widowControl/>
      <w:pBdr>
        <w:top w:val="single" w:color="ABD5EB" w:sz="6" w:space="0"/>
        <w:left w:val="single" w:color="ABD5EB" w:sz="6" w:space="0"/>
        <w:right w:val="single" w:color="ABD5EB" w:sz="6" w:space="0"/>
      </w:pBdr>
      <w:shd w:val="clear" w:color="auto" w:fill="F2F7FD"/>
      <w:spacing w:before="100" w:beforeAutospacing="1" w:after="100" w:afterAutospacing="1"/>
      <w:jc w:val="left"/>
    </w:pPr>
    <w:rPr>
      <w:rFonts w:ascii="宋体" w:hAnsi="宋体" w:cs="宋体"/>
      <w:kern w:val="0"/>
      <w:sz w:val="24"/>
      <w:szCs w:val="24"/>
    </w:rPr>
  </w:style>
  <w:style w:type="paragraph" w:customStyle="1" w:styleId="45">
    <w:name w:val="xwgg-title"/>
    <w:basedOn w:val="1"/>
    <w:qFormat/>
    <w:uiPriority w:val="99"/>
    <w:pPr>
      <w:widowControl/>
      <w:spacing w:before="100" w:beforeAutospacing="1" w:after="100" w:afterAutospacing="1"/>
      <w:jc w:val="left"/>
    </w:pPr>
    <w:rPr>
      <w:rFonts w:ascii="宋体" w:hAnsi="宋体" w:cs="宋体"/>
      <w:b/>
      <w:bCs/>
      <w:color w:val="0060AD"/>
      <w:kern w:val="0"/>
      <w:szCs w:val="21"/>
    </w:rPr>
  </w:style>
  <w:style w:type="paragraph" w:customStyle="1" w:styleId="46">
    <w:name w:val="table-frame-or"/>
    <w:basedOn w:val="1"/>
    <w:qFormat/>
    <w:uiPriority w:val="99"/>
    <w:pPr>
      <w:widowControl/>
      <w:pBdr>
        <w:left w:val="single" w:color="ABD1EB" w:sz="6" w:space="3"/>
        <w:bottom w:val="single" w:color="ABD1EB" w:sz="6" w:space="3"/>
        <w:right w:val="single" w:color="ABD1EB" w:sz="6" w:space="3"/>
      </w:pBdr>
      <w:spacing w:before="100" w:beforeAutospacing="1" w:after="100" w:afterAutospacing="1"/>
      <w:jc w:val="left"/>
    </w:pPr>
    <w:rPr>
      <w:rFonts w:ascii="宋体" w:hAnsi="宋体" w:cs="宋体"/>
      <w:kern w:val="0"/>
      <w:sz w:val="24"/>
      <w:szCs w:val="24"/>
    </w:rPr>
  </w:style>
  <w:style w:type="paragraph" w:customStyle="1" w:styleId="47">
    <w:name w:val="jdcaj-active"/>
    <w:basedOn w:val="1"/>
    <w:qFormat/>
    <w:uiPriority w:val="99"/>
    <w:pPr>
      <w:widowControl/>
      <w:pBdr>
        <w:top w:val="single" w:color="BDDCF1" w:sz="6" w:space="0"/>
        <w:left w:val="single" w:color="BDDCF1" w:sz="6" w:space="0"/>
        <w:right w:val="single" w:color="BDDCF1" w:sz="6" w:space="0"/>
      </w:pBdr>
      <w:spacing w:before="100" w:beforeAutospacing="1" w:after="100" w:afterAutospacing="1"/>
      <w:jc w:val="center"/>
    </w:pPr>
    <w:rPr>
      <w:rFonts w:ascii="宋体" w:hAnsi="宋体" w:cs="宋体"/>
      <w:color w:val="005FAE"/>
      <w:kern w:val="0"/>
      <w:sz w:val="18"/>
      <w:szCs w:val="18"/>
    </w:rPr>
  </w:style>
  <w:style w:type="paragraph" w:customStyle="1" w:styleId="48">
    <w:name w:val="jdcaj-normal"/>
    <w:basedOn w:val="1"/>
    <w:qFormat/>
    <w:uiPriority w:val="99"/>
    <w:pPr>
      <w:widowControl/>
      <w:pBdr>
        <w:top w:val="single" w:color="BDDCF1" w:sz="6" w:space="1"/>
        <w:left w:val="single" w:color="BDDCF1" w:sz="6" w:space="0"/>
        <w:bottom w:val="single" w:color="BDDCF1" w:sz="6" w:space="0"/>
        <w:right w:val="single" w:color="BDDCF1" w:sz="6" w:space="0"/>
      </w:pBdr>
      <w:spacing w:before="100" w:beforeAutospacing="1" w:after="100" w:afterAutospacing="1"/>
      <w:jc w:val="center"/>
    </w:pPr>
    <w:rPr>
      <w:rFonts w:ascii="宋体" w:hAnsi="宋体" w:cs="宋体"/>
      <w:color w:val="444444"/>
      <w:kern w:val="0"/>
      <w:sz w:val="18"/>
      <w:szCs w:val="18"/>
    </w:rPr>
  </w:style>
  <w:style w:type="paragraph" w:customStyle="1" w:styleId="49">
    <w:name w:val="ny-middle-title-bg"/>
    <w:basedOn w:val="1"/>
    <w:qFormat/>
    <w:uiPriority w:val="99"/>
    <w:pPr>
      <w:widowControl/>
      <w:pBdr>
        <w:right w:val="single" w:color="BEDCF1" w:sz="6" w:space="0"/>
      </w:pBdr>
      <w:spacing w:before="100" w:beforeAutospacing="1" w:after="100" w:afterAutospacing="1"/>
      <w:jc w:val="left"/>
    </w:pPr>
    <w:rPr>
      <w:rFonts w:ascii="宋体" w:hAnsi="宋体" w:cs="宋体"/>
      <w:kern w:val="0"/>
      <w:sz w:val="24"/>
      <w:szCs w:val="24"/>
    </w:rPr>
  </w:style>
  <w:style w:type="paragraph" w:customStyle="1" w:styleId="50">
    <w:name w:val="l-blue"/>
    <w:basedOn w:val="1"/>
    <w:qFormat/>
    <w:uiPriority w:val="99"/>
    <w:pPr>
      <w:widowControl/>
      <w:spacing w:before="100" w:beforeAutospacing="1" w:after="100" w:afterAutospacing="1"/>
      <w:jc w:val="left"/>
    </w:pPr>
    <w:rPr>
      <w:rFonts w:ascii="宋体" w:hAnsi="宋体" w:cs="宋体"/>
      <w:b/>
      <w:bCs/>
      <w:color w:val="005FAE"/>
      <w:kern w:val="0"/>
      <w:sz w:val="18"/>
      <w:szCs w:val="18"/>
    </w:rPr>
  </w:style>
  <w:style w:type="paragraph" w:customStyle="1" w:styleId="51">
    <w:name w:val="l-blue-common"/>
    <w:basedOn w:val="1"/>
    <w:qFormat/>
    <w:uiPriority w:val="99"/>
    <w:pPr>
      <w:widowControl/>
      <w:spacing w:before="100" w:beforeAutospacing="1" w:after="100" w:afterAutospacing="1"/>
      <w:jc w:val="left"/>
    </w:pPr>
    <w:rPr>
      <w:rFonts w:ascii="宋体" w:hAnsi="宋体" w:cs="宋体"/>
      <w:color w:val="333333"/>
      <w:kern w:val="0"/>
      <w:sz w:val="18"/>
      <w:szCs w:val="18"/>
    </w:rPr>
  </w:style>
  <w:style w:type="paragraph" w:customStyle="1" w:styleId="52">
    <w:name w:val="l-blue-1"/>
    <w:basedOn w:val="1"/>
    <w:qFormat/>
    <w:uiPriority w:val="99"/>
    <w:pPr>
      <w:widowControl/>
      <w:spacing w:before="100" w:beforeAutospacing="1" w:after="100" w:afterAutospacing="1"/>
      <w:jc w:val="left"/>
    </w:pPr>
    <w:rPr>
      <w:rFonts w:ascii="宋体" w:hAnsi="宋体" w:cs="宋体"/>
      <w:b/>
      <w:bCs/>
      <w:color w:val="005FAE"/>
      <w:kern w:val="0"/>
      <w:sz w:val="18"/>
      <w:szCs w:val="18"/>
    </w:rPr>
  </w:style>
  <w:style w:type="paragraph" w:customStyle="1" w:styleId="53">
    <w:name w:val="l-blue-common-1"/>
    <w:basedOn w:val="1"/>
    <w:qFormat/>
    <w:uiPriority w:val="99"/>
    <w:pPr>
      <w:widowControl/>
      <w:spacing w:before="100" w:beforeAutospacing="1" w:after="100" w:afterAutospacing="1"/>
      <w:jc w:val="left"/>
    </w:pPr>
    <w:rPr>
      <w:rFonts w:ascii="宋体" w:hAnsi="宋体" w:cs="宋体"/>
      <w:color w:val="333333"/>
      <w:kern w:val="0"/>
      <w:sz w:val="18"/>
      <w:szCs w:val="18"/>
    </w:rPr>
  </w:style>
  <w:style w:type="paragraph" w:customStyle="1" w:styleId="54">
    <w:name w:val="blue-bottom-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title-752"/>
    <w:basedOn w:val="1"/>
    <w:qFormat/>
    <w:uiPriority w:val="99"/>
    <w:pPr>
      <w:widowControl/>
      <w:pBdr>
        <w:left w:val="single" w:color="BEDCF1" w:sz="6" w:space="0"/>
        <w:right w:val="single" w:color="BEDCF1" w:sz="6" w:space="0"/>
      </w:pBdr>
      <w:spacing w:before="100" w:beforeAutospacing="1" w:after="100" w:afterAutospacing="1" w:line="435" w:lineRule="atLeast"/>
      <w:jc w:val="left"/>
      <w:textAlignment w:val="bottom"/>
    </w:pPr>
    <w:rPr>
      <w:rFonts w:ascii="宋体" w:hAnsi="宋体" w:cs="宋体"/>
      <w:b/>
      <w:bCs/>
      <w:color w:val="005FAE"/>
      <w:kern w:val="0"/>
      <w:szCs w:val="21"/>
    </w:rPr>
  </w:style>
  <w:style w:type="paragraph" w:customStyle="1" w:styleId="56">
    <w:name w:val="blue-lable"/>
    <w:basedOn w:val="1"/>
    <w:qFormat/>
    <w:uiPriority w:val="99"/>
    <w:pPr>
      <w:widowControl/>
      <w:spacing w:before="100" w:beforeAutospacing="1" w:after="100" w:afterAutospacing="1"/>
      <w:jc w:val="center"/>
      <w:textAlignment w:val="bottom"/>
    </w:pPr>
    <w:rPr>
      <w:rFonts w:ascii="宋体" w:hAnsi="宋体" w:cs="宋体"/>
      <w:b/>
      <w:bCs/>
      <w:color w:val="005FAE"/>
      <w:kern w:val="0"/>
      <w:sz w:val="18"/>
      <w:szCs w:val="18"/>
    </w:rPr>
  </w:style>
  <w:style w:type="paragraph" w:customStyle="1" w:styleId="57">
    <w:name w:val="blue-lable-common"/>
    <w:basedOn w:val="1"/>
    <w:qFormat/>
    <w:uiPriority w:val="99"/>
    <w:pPr>
      <w:widowControl/>
      <w:spacing w:before="100" w:beforeAutospacing="1" w:after="100" w:afterAutospacing="1"/>
      <w:jc w:val="center"/>
      <w:textAlignment w:val="bottom"/>
    </w:pPr>
    <w:rPr>
      <w:rFonts w:ascii="宋体" w:hAnsi="宋体" w:cs="宋体"/>
      <w:color w:val="333333"/>
      <w:kern w:val="0"/>
      <w:sz w:val="18"/>
      <w:szCs w:val="18"/>
    </w:rPr>
  </w:style>
  <w:style w:type="paragraph" w:customStyle="1" w:styleId="58">
    <w:name w:val="grey-table-grey"/>
    <w:basedOn w:val="1"/>
    <w:qFormat/>
    <w:uiPriority w:val="99"/>
    <w:pPr>
      <w:widowControl/>
      <w:pBdr>
        <w:top w:val="single" w:color="CCCCCC" w:sz="6" w:space="1"/>
        <w:left w:val="single" w:color="CCCCCC" w:sz="6" w:space="1"/>
        <w:bottom w:val="single" w:color="CCCCCC" w:sz="6" w:space="0"/>
        <w:right w:val="single" w:color="CCCCCC" w:sz="6" w:space="1"/>
      </w:pBdr>
      <w:shd w:val="clear" w:color="auto" w:fill="FAFAFA"/>
      <w:spacing w:before="100" w:beforeAutospacing="1" w:after="100" w:afterAutospacing="1"/>
      <w:jc w:val="left"/>
    </w:pPr>
    <w:rPr>
      <w:rFonts w:ascii="宋体" w:hAnsi="宋体" w:cs="宋体"/>
      <w:kern w:val="0"/>
      <w:sz w:val="24"/>
      <w:szCs w:val="24"/>
    </w:rPr>
  </w:style>
  <w:style w:type="paragraph" w:customStyle="1" w:styleId="59">
    <w:name w:val="right-230"/>
    <w:basedOn w:val="1"/>
    <w:qFormat/>
    <w:uiPriority w:val="99"/>
    <w:pPr>
      <w:widowControl/>
      <w:pBdr>
        <w:top w:val="single" w:color="CCCCCC" w:sz="6" w:space="3"/>
        <w:left w:val="single" w:color="CCCCCC" w:sz="6" w:space="3"/>
        <w:bottom w:val="single" w:color="CCCCCC" w:sz="6" w:space="3"/>
        <w:right w:val="single" w:color="CCCCCC" w:sz="6" w:space="3"/>
      </w:pBdr>
      <w:shd w:val="clear" w:color="auto" w:fill="FAFAFA"/>
      <w:spacing w:before="100" w:beforeAutospacing="1" w:after="100" w:afterAutospacing="1"/>
      <w:jc w:val="left"/>
    </w:pPr>
    <w:rPr>
      <w:rFonts w:ascii="宋体" w:hAnsi="宋体" w:cs="宋体"/>
      <w:kern w:val="0"/>
      <w:sz w:val="24"/>
      <w:szCs w:val="24"/>
    </w:rPr>
  </w:style>
  <w:style w:type="paragraph" w:customStyle="1" w:styleId="60">
    <w:name w:val="bszx-240"/>
    <w:basedOn w:val="1"/>
    <w:qFormat/>
    <w:uiPriority w:val="99"/>
    <w:pPr>
      <w:widowControl/>
      <w:pBdr>
        <w:top w:val="single" w:color="CCCCCC" w:sz="6" w:space="3"/>
        <w:left w:val="single" w:color="CCCCCC" w:sz="6" w:space="3"/>
        <w:bottom w:val="single" w:color="CCCCCC" w:sz="6" w:space="3"/>
        <w:right w:val="single" w:color="CCCCCC" w:sz="6" w:space="3"/>
      </w:pBdr>
      <w:shd w:val="clear" w:color="auto" w:fill="FAFAFA"/>
      <w:spacing w:before="100" w:beforeAutospacing="1" w:after="100" w:afterAutospacing="1"/>
      <w:jc w:val="left"/>
    </w:pPr>
    <w:rPr>
      <w:rFonts w:ascii="宋体" w:hAnsi="宋体" w:cs="宋体"/>
      <w:kern w:val="0"/>
      <w:sz w:val="24"/>
      <w:szCs w:val="24"/>
    </w:rPr>
  </w:style>
  <w:style w:type="paragraph" w:customStyle="1" w:styleId="61">
    <w:name w:val="bszx-230"/>
    <w:basedOn w:val="1"/>
    <w:qFormat/>
    <w:uiPriority w:val="99"/>
    <w:pPr>
      <w:widowControl/>
      <w:pBdr>
        <w:top w:val="single" w:color="CCCCCC" w:sz="6" w:space="3"/>
        <w:left w:val="single" w:color="CCCCCC" w:sz="6" w:space="3"/>
        <w:bottom w:val="single" w:color="CCCCCC" w:sz="6" w:space="3"/>
        <w:right w:val="single" w:color="CCCCCC" w:sz="6" w:space="3"/>
      </w:pBdr>
      <w:shd w:val="clear" w:color="auto" w:fill="FAFAFA"/>
      <w:spacing w:before="100" w:beforeAutospacing="1" w:after="100" w:afterAutospacing="1"/>
      <w:jc w:val="left"/>
    </w:pPr>
    <w:rPr>
      <w:rFonts w:ascii="宋体" w:hAnsi="宋体" w:cs="宋体"/>
      <w:kern w:val="0"/>
      <w:sz w:val="24"/>
      <w:szCs w:val="24"/>
    </w:rPr>
  </w:style>
  <w:style w:type="paragraph" w:customStyle="1" w:styleId="62">
    <w:name w:val="left-flash"/>
    <w:basedOn w:val="1"/>
    <w:qFormat/>
    <w:uiPriority w:val="99"/>
    <w:pPr>
      <w:widowControl/>
      <w:pBdr>
        <w:top w:val="single" w:color="CCCCCC" w:sz="6" w:space="3"/>
        <w:left w:val="single" w:color="CCCCCC" w:sz="6" w:space="3"/>
        <w:bottom w:val="single" w:color="CCCCCC" w:sz="6" w:space="3"/>
        <w:right w:val="single" w:color="CCCCCC" w:sz="6" w:space="3"/>
      </w:pBdr>
      <w:shd w:val="clear" w:color="auto" w:fill="FAFAFA"/>
      <w:spacing w:before="100" w:beforeAutospacing="1" w:after="135"/>
      <w:jc w:val="left"/>
    </w:pPr>
    <w:rPr>
      <w:rFonts w:ascii="宋体" w:hAnsi="宋体" w:cs="宋体"/>
      <w:kern w:val="0"/>
      <w:sz w:val="24"/>
      <w:szCs w:val="24"/>
    </w:rPr>
  </w:style>
  <w:style w:type="paragraph" w:customStyle="1" w:styleId="63">
    <w:name w:val="left-h160"/>
    <w:basedOn w:val="1"/>
    <w:qFormat/>
    <w:uiPriority w:val="99"/>
    <w:pPr>
      <w:widowControl/>
      <w:pBdr>
        <w:top w:val="single" w:color="CCCCCC" w:sz="6" w:space="3"/>
        <w:left w:val="single" w:color="CCCCCC" w:sz="6" w:space="3"/>
        <w:bottom w:val="single" w:color="CCCCCC" w:sz="6" w:space="3"/>
        <w:right w:val="single" w:color="CCCCCC" w:sz="6" w:space="3"/>
      </w:pBdr>
      <w:spacing w:before="100" w:beforeAutospacing="1" w:after="100" w:afterAutospacing="1"/>
      <w:jc w:val="left"/>
    </w:pPr>
    <w:rPr>
      <w:rFonts w:ascii="宋体" w:hAnsi="宋体" w:cs="宋体"/>
      <w:kern w:val="0"/>
      <w:sz w:val="24"/>
      <w:szCs w:val="24"/>
    </w:rPr>
  </w:style>
  <w:style w:type="paragraph" w:customStyle="1" w:styleId="64">
    <w:name w:val="left-280"/>
    <w:basedOn w:val="1"/>
    <w:qFormat/>
    <w:uiPriority w:val="99"/>
    <w:pPr>
      <w:widowControl/>
      <w:pBdr>
        <w:top w:val="single" w:color="CCCCCC" w:sz="6" w:space="3"/>
        <w:left w:val="single" w:color="CCCCCC" w:sz="6" w:space="3"/>
        <w:bottom w:val="single" w:color="CCCCCC" w:sz="6" w:space="3"/>
        <w:right w:val="single" w:color="CCCCCC" w:sz="6" w:space="3"/>
      </w:pBdr>
      <w:spacing w:before="100" w:beforeAutospacing="1" w:after="100" w:afterAutospacing="1"/>
      <w:jc w:val="left"/>
    </w:pPr>
    <w:rPr>
      <w:rFonts w:ascii="宋体" w:hAnsi="宋体" w:cs="宋体"/>
      <w:kern w:val="0"/>
      <w:sz w:val="24"/>
      <w:szCs w:val="24"/>
    </w:rPr>
  </w:style>
  <w:style w:type="paragraph" w:customStyle="1" w:styleId="65">
    <w:name w:val="lable-b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6">
    <w:name w:val="qc-b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7">
    <w:name w:val="middle-lable"/>
    <w:basedOn w:val="1"/>
    <w:qFormat/>
    <w:uiPriority w:val="99"/>
    <w:pPr>
      <w:widowControl/>
      <w:spacing w:before="100" w:beforeAutospacing="1" w:after="100" w:afterAutospacing="1" w:line="390" w:lineRule="atLeast"/>
      <w:ind w:firstLine="375"/>
      <w:jc w:val="left"/>
      <w:textAlignment w:val="bottom"/>
    </w:pPr>
    <w:rPr>
      <w:rFonts w:ascii="宋体" w:hAnsi="宋体" w:cs="宋体"/>
      <w:b/>
      <w:bCs/>
      <w:color w:val="FFFFFF"/>
      <w:kern w:val="0"/>
      <w:szCs w:val="21"/>
    </w:rPr>
  </w:style>
  <w:style w:type="paragraph" w:customStyle="1" w:styleId="68">
    <w:name w:val="middle-lable-com"/>
    <w:basedOn w:val="1"/>
    <w:qFormat/>
    <w:uiPriority w:val="99"/>
    <w:pPr>
      <w:widowControl/>
      <w:spacing w:before="100" w:beforeAutospacing="1" w:after="100" w:afterAutospacing="1"/>
      <w:jc w:val="center"/>
      <w:textAlignment w:val="bottom"/>
    </w:pPr>
    <w:rPr>
      <w:rFonts w:ascii="宋体" w:hAnsi="宋体" w:cs="宋体"/>
      <w:b/>
      <w:bCs/>
      <w:color w:val="1772BB"/>
      <w:kern w:val="0"/>
      <w:sz w:val="18"/>
      <w:szCs w:val="18"/>
    </w:rPr>
  </w:style>
  <w:style w:type="paragraph" w:customStyle="1" w:styleId="69">
    <w:name w:val="middle-lable-com-1"/>
    <w:basedOn w:val="1"/>
    <w:qFormat/>
    <w:uiPriority w:val="99"/>
    <w:pPr>
      <w:widowControl/>
      <w:spacing w:before="100" w:beforeAutospacing="1" w:after="100" w:afterAutospacing="1"/>
      <w:jc w:val="center"/>
      <w:textAlignment w:val="bottom"/>
    </w:pPr>
    <w:rPr>
      <w:rFonts w:ascii="宋体" w:hAnsi="宋体" w:cs="宋体"/>
      <w:b/>
      <w:bCs/>
      <w:color w:val="FFFFFF"/>
      <w:kern w:val="0"/>
      <w:sz w:val="18"/>
      <w:szCs w:val="18"/>
    </w:rPr>
  </w:style>
  <w:style w:type="paragraph" w:customStyle="1" w:styleId="70">
    <w:name w:val="middle-title"/>
    <w:basedOn w:val="1"/>
    <w:qFormat/>
    <w:uiPriority w:val="99"/>
    <w:pPr>
      <w:widowControl/>
      <w:spacing w:before="100" w:beforeAutospacing="1" w:after="100" w:afterAutospacing="1" w:line="390" w:lineRule="atLeast"/>
      <w:ind w:firstLine="420"/>
      <w:jc w:val="left"/>
      <w:textAlignment w:val="bottom"/>
    </w:pPr>
    <w:rPr>
      <w:rFonts w:ascii="宋体" w:hAnsi="宋体" w:cs="宋体"/>
      <w:b/>
      <w:bCs/>
      <w:color w:val="FFFFFF"/>
      <w:kern w:val="0"/>
      <w:szCs w:val="21"/>
    </w:rPr>
  </w:style>
  <w:style w:type="paragraph" w:customStyle="1" w:styleId="71">
    <w:name w:val="middle-title-1"/>
    <w:basedOn w:val="1"/>
    <w:qFormat/>
    <w:uiPriority w:val="99"/>
    <w:pPr>
      <w:widowControl/>
      <w:spacing w:before="100" w:beforeAutospacing="1" w:after="100" w:afterAutospacing="1" w:line="435" w:lineRule="atLeast"/>
      <w:ind w:firstLine="420"/>
      <w:jc w:val="left"/>
      <w:textAlignment w:val="bottom"/>
    </w:pPr>
    <w:rPr>
      <w:rFonts w:ascii="宋体" w:hAnsi="宋体" w:cs="宋体"/>
      <w:b/>
      <w:bCs/>
      <w:color w:val="FFFFFF"/>
      <w:kern w:val="0"/>
      <w:szCs w:val="21"/>
    </w:rPr>
  </w:style>
  <w:style w:type="paragraph" w:customStyle="1" w:styleId="72">
    <w:name w:val="middle-blue-line"/>
    <w:basedOn w:val="1"/>
    <w:qFormat/>
    <w:uiPriority w:val="99"/>
    <w:pPr>
      <w:widowControl/>
      <w:pBdr>
        <w:left w:val="single" w:color="ABD5EB" w:sz="6" w:space="0"/>
        <w:bottom w:val="single" w:color="ABD5EB" w:sz="6" w:space="3"/>
        <w:right w:val="single" w:color="ABD5EB" w:sz="6" w:space="0"/>
      </w:pBdr>
      <w:spacing w:before="100" w:beforeAutospacing="1" w:after="100" w:afterAutospacing="1"/>
      <w:jc w:val="left"/>
    </w:pPr>
    <w:rPr>
      <w:rFonts w:ascii="宋体" w:hAnsi="宋体" w:cs="宋体"/>
      <w:kern w:val="0"/>
      <w:sz w:val="24"/>
      <w:szCs w:val="24"/>
    </w:rPr>
  </w:style>
  <w:style w:type="paragraph" w:customStyle="1" w:styleId="73">
    <w:name w:val="middle-blue-line-all"/>
    <w:basedOn w:val="1"/>
    <w:qFormat/>
    <w:uiPriority w:val="99"/>
    <w:pPr>
      <w:widowControl/>
      <w:pBdr>
        <w:top w:val="single" w:color="ABD5EB" w:sz="6" w:space="0"/>
        <w:left w:val="single" w:color="ABD5EB" w:sz="6" w:space="0"/>
        <w:bottom w:val="single" w:color="ABD5EB" w:sz="6" w:space="3"/>
        <w:right w:val="single" w:color="ABD5EB" w:sz="6" w:space="0"/>
      </w:pBdr>
      <w:spacing w:before="100" w:beforeAutospacing="1" w:after="100" w:afterAutospacing="1"/>
      <w:jc w:val="left"/>
    </w:pPr>
    <w:rPr>
      <w:rFonts w:ascii="宋体" w:hAnsi="宋体" w:cs="宋体"/>
      <w:kern w:val="0"/>
      <w:sz w:val="24"/>
      <w:szCs w:val="24"/>
    </w:rPr>
  </w:style>
  <w:style w:type="paragraph" w:customStyle="1" w:styleId="74">
    <w:name w:val="blue-type"/>
    <w:basedOn w:val="1"/>
    <w:qFormat/>
    <w:uiPriority w:val="99"/>
    <w:pPr>
      <w:widowControl/>
      <w:pBdr>
        <w:bottom w:val="single" w:color="D1E6F5" w:sz="6" w:space="0"/>
      </w:pBdr>
      <w:shd w:val="clear" w:color="auto" w:fill="F7FDFF"/>
      <w:spacing w:before="100" w:beforeAutospacing="1" w:after="100" w:afterAutospacing="1"/>
      <w:jc w:val="left"/>
    </w:pPr>
    <w:rPr>
      <w:rFonts w:ascii="宋体" w:hAnsi="宋体" w:cs="宋体"/>
      <w:color w:val="2482BF"/>
      <w:kern w:val="0"/>
      <w:sz w:val="18"/>
      <w:szCs w:val="18"/>
    </w:rPr>
  </w:style>
  <w:style w:type="paragraph" w:customStyle="1" w:styleId="75">
    <w:name w:val="blue-bstd-type"/>
    <w:basedOn w:val="1"/>
    <w:qFormat/>
    <w:uiPriority w:val="99"/>
    <w:pPr>
      <w:widowControl/>
      <w:pBdr>
        <w:bottom w:val="single" w:color="D1E6F5" w:sz="6" w:space="0"/>
      </w:pBdr>
      <w:shd w:val="clear" w:color="auto" w:fill="F7FDFF"/>
      <w:spacing w:before="100" w:beforeAutospacing="1" w:after="100" w:afterAutospacing="1"/>
      <w:jc w:val="left"/>
    </w:pPr>
    <w:rPr>
      <w:rFonts w:ascii="宋体" w:hAnsi="宋体" w:cs="宋体"/>
      <w:color w:val="2482BF"/>
      <w:kern w:val="0"/>
      <w:sz w:val="18"/>
      <w:szCs w:val="18"/>
    </w:rPr>
  </w:style>
  <w:style w:type="paragraph" w:customStyle="1" w:styleId="76">
    <w:name w:val="blue-bstd-active"/>
    <w:basedOn w:val="1"/>
    <w:qFormat/>
    <w:uiPriority w:val="99"/>
    <w:pPr>
      <w:widowControl/>
      <w:shd w:val="clear" w:color="auto" w:fill="D1E6F5"/>
      <w:spacing w:before="100" w:beforeAutospacing="1" w:after="100" w:afterAutospacing="1"/>
      <w:jc w:val="left"/>
    </w:pPr>
    <w:rPr>
      <w:rFonts w:ascii="宋体" w:hAnsi="宋体" w:cs="宋体"/>
      <w:b/>
      <w:bCs/>
      <w:color w:val="2482BF"/>
      <w:kern w:val="0"/>
      <w:szCs w:val="21"/>
    </w:rPr>
  </w:style>
  <w:style w:type="paragraph" w:customStyle="1" w:styleId="77">
    <w:name w:val="blue-bstd"/>
    <w:basedOn w:val="1"/>
    <w:qFormat/>
    <w:uiPriority w:val="99"/>
    <w:pPr>
      <w:widowControl/>
      <w:spacing w:before="100" w:beforeAutospacing="1" w:after="100" w:afterAutospacing="1"/>
      <w:jc w:val="left"/>
    </w:pPr>
    <w:rPr>
      <w:rFonts w:ascii="宋体" w:hAnsi="宋体" w:cs="宋体"/>
      <w:color w:val="2482BF"/>
      <w:kern w:val="0"/>
      <w:sz w:val="18"/>
      <w:szCs w:val="18"/>
    </w:rPr>
  </w:style>
  <w:style w:type="paragraph" w:customStyle="1" w:styleId="78">
    <w:name w:val="grey-content-b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9">
    <w:name w:val="left-title"/>
    <w:basedOn w:val="1"/>
    <w:qFormat/>
    <w:uiPriority w:val="99"/>
    <w:pPr>
      <w:widowControl/>
      <w:spacing w:before="100" w:beforeAutospacing="1" w:after="100" w:afterAutospacing="1"/>
      <w:ind w:firstLine="90"/>
      <w:jc w:val="left"/>
      <w:textAlignment w:val="center"/>
    </w:pPr>
    <w:rPr>
      <w:rFonts w:ascii="宋体" w:hAnsi="宋体" w:cs="宋体"/>
      <w:b/>
      <w:bCs/>
      <w:color w:val="FFFFFF"/>
      <w:kern w:val="0"/>
      <w:szCs w:val="21"/>
    </w:rPr>
  </w:style>
  <w:style w:type="paragraph" w:customStyle="1" w:styleId="80">
    <w:name w:val="middle-yellow-title"/>
    <w:basedOn w:val="1"/>
    <w:qFormat/>
    <w:uiPriority w:val="99"/>
    <w:pPr>
      <w:widowControl/>
      <w:spacing w:before="100" w:beforeAutospacing="1" w:after="100" w:afterAutospacing="1" w:line="390" w:lineRule="atLeast"/>
      <w:ind w:firstLine="420"/>
      <w:jc w:val="left"/>
      <w:textAlignment w:val="bottom"/>
    </w:pPr>
    <w:rPr>
      <w:rFonts w:ascii="宋体" w:hAnsi="宋体" w:cs="宋体"/>
      <w:b/>
      <w:bCs/>
      <w:color w:val="FFFFFF"/>
      <w:kern w:val="0"/>
      <w:szCs w:val="21"/>
    </w:rPr>
  </w:style>
  <w:style w:type="paragraph" w:customStyle="1" w:styleId="81">
    <w:name w:val="middle-yellow-line"/>
    <w:basedOn w:val="1"/>
    <w:qFormat/>
    <w:uiPriority w:val="99"/>
    <w:pPr>
      <w:widowControl/>
      <w:pBdr>
        <w:left w:val="single" w:color="FFE2BB" w:sz="6" w:space="0"/>
        <w:bottom w:val="single" w:color="FFE2BB" w:sz="6" w:space="2"/>
        <w:right w:val="single" w:color="FFE2BB" w:sz="6" w:space="0"/>
      </w:pBdr>
      <w:spacing w:before="100" w:beforeAutospacing="1" w:after="100" w:afterAutospacing="1"/>
      <w:jc w:val="left"/>
    </w:pPr>
    <w:rPr>
      <w:rFonts w:ascii="宋体" w:hAnsi="宋体" w:cs="宋体"/>
      <w:kern w:val="0"/>
      <w:sz w:val="24"/>
      <w:szCs w:val="24"/>
    </w:rPr>
  </w:style>
  <w:style w:type="paragraph" w:customStyle="1" w:styleId="82">
    <w:name w:val="yellow-type"/>
    <w:basedOn w:val="1"/>
    <w:qFormat/>
    <w:uiPriority w:val="99"/>
    <w:pPr>
      <w:widowControl/>
      <w:pBdr>
        <w:bottom w:val="single" w:color="FFE2BB" w:sz="6" w:space="0"/>
      </w:pBdr>
      <w:shd w:val="clear" w:color="auto" w:fill="FFFAF0"/>
      <w:spacing w:before="100" w:beforeAutospacing="1" w:after="100" w:afterAutospacing="1"/>
      <w:jc w:val="left"/>
    </w:pPr>
    <w:rPr>
      <w:rFonts w:ascii="宋体" w:hAnsi="宋体" w:cs="宋体"/>
      <w:kern w:val="0"/>
      <w:sz w:val="24"/>
      <w:szCs w:val="24"/>
    </w:rPr>
  </w:style>
  <w:style w:type="paragraph" w:customStyle="1" w:styleId="83">
    <w:name w:val="lable-blue"/>
    <w:basedOn w:val="1"/>
    <w:qFormat/>
    <w:uiPriority w:val="99"/>
    <w:pPr>
      <w:widowControl/>
      <w:spacing w:before="100" w:beforeAutospacing="1" w:after="100" w:afterAutospacing="1"/>
      <w:jc w:val="center"/>
      <w:textAlignment w:val="center"/>
    </w:pPr>
    <w:rPr>
      <w:rFonts w:ascii="宋体" w:hAnsi="宋体" w:cs="宋体"/>
      <w:b/>
      <w:bCs/>
      <w:color w:val="FFFFFF"/>
      <w:kern w:val="0"/>
      <w:sz w:val="18"/>
      <w:szCs w:val="18"/>
    </w:rPr>
  </w:style>
  <w:style w:type="paragraph" w:customStyle="1" w:styleId="84">
    <w:name w:val="lable-grey"/>
    <w:basedOn w:val="1"/>
    <w:qFormat/>
    <w:uiPriority w:val="99"/>
    <w:pPr>
      <w:widowControl/>
      <w:spacing w:before="100" w:beforeAutospacing="1" w:after="100" w:afterAutospacing="1"/>
      <w:jc w:val="center"/>
      <w:textAlignment w:val="center"/>
    </w:pPr>
    <w:rPr>
      <w:rFonts w:ascii="宋体" w:hAnsi="宋体" w:cs="宋体"/>
      <w:b/>
      <w:bCs/>
      <w:color w:val="333333"/>
      <w:kern w:val="0"/>
      <w:sz w:val="18"/>
      <w:szCs w:val="18"/>
    </w:rPr>
  </w:style>
  <w:style w:type="paragraph" w:customStyle="1" w:styleId="85">
    <w:name w:val="blue-frame"/>
    <w:basedOn w:val="1"/>
    <w:qFormat/>
    <w:uiPriority w:val="99"/>
    <w:pPr>
      <w:widowControl/>
      <w:pBdr>
        <w:top w:val="single" w:color="99CCEB" w:sz="6" w:space="4"/>
        <w:left w:val="single" w:color="99CCEB" w:sz="6" w:space="4"/>
        <w:bottom w:val="single" w:color="99CCEB" w:sz="6" w:space="4"/>
        <w:right w:val="single" w:color="99CCEB" w:sz="6" w:space="4"/>
      </w:pBdr>
      <w:spacing w:before="100" w:beforeAutospacing="1" w:after="100" w:afterAutospacing="1" w:line="330" w:lineRule="atLeast"/>
      <w:jc w:val="left"/>
    </w:pPr>
    <w:rPr>
      <w:rFonts w:ascii="宋体" w:hAnsi="宋体" w:cs="宋体"/>
      <w:kern w:val="0"/>
      <w:sz w:val="24"/>
      <w:szCs w:val="24"/>
    </w:rPr>
  </w:style>
  <w:style w:type="paragraph" w:customStyle="1" w:styleId="86">
    <w:name w:val="left-frame"/>
    <w:basedOn w:val="1"/>
    <w:qFormat/>
    <w:uiPriority w:val="99"/>
    <w:pPr>
      <w:widowControl/>
      <w:spacing w:before="100" w:beforeAutospacing="1" w:after="100" w:afterAutospacing="1" w:line="330" w:lineRule="atLeast"/>
      <w:jc w:val="left"/>
    </w:pPr>
    <w:rPr>
      <w:rFonts w:ascii="宋体" w:hAnsi="宋体" w:cs="宋体"/>
      <w:kern w:val="0"/>
      <w:sz w:val="24"/>
      <w:szCs w:val="24"/>
    </w:rPr>
  </w:style>
  <w:style w:type="paragraph" w:customStyle="1" w:styleId="87">
    <w:name w:val="xxgk-b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ph-title"/>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89">
    <w:name w:val="active-blue"/>
    <w:basedOn w:val="1"/>
    <w:qFormat/>
    <w:uiPriority w:val="99"/>
    <w:pPr>
      <w:widowControl/>
      <w:shd w:val="clear" w:color="auto" w:fill="3075B4"/>
      <w:spacing w:before="100" w:beforeAutospacing="1" w:after="100" w:afterAutospacing="1"/>
      <w:jc w:val="left"/>
      <w:textAlignment w:val="bottom"/>
    </w:pPr>
    <w:rPr>
      <w:rFonts w:ascii="宋体" w:hAnsi="宋体" w:cs="宋体"/>
      <w:color w:val="FFFFFF"/>
      <w:kern w:val="0"/>
      <w:sz w:val="24"/>
      <w:szCs w:val="24"/>
    </w:rPr>
  </w:style>
  <w:style w:type="paragraph" w:customStyle="1" w:styleId="90">
    <w:name w:val="normal-blue"/>
    <w:basedOn w:val="1"/>
    <w:qFormat/>
    <w:uiPriority w:val="99"/>
    <w:pPr>
      <w:widowControl/>
      <w:spacing w:before="100" w:beforeAutospacing="1" w:after="100" w:afterAutospacing="1"/>
      <w:jc w:val="left"/>
      <w:textAlignment w:val="bottom"/>
    </w:pPr>
    <w:rPr>
      <w:rFonts w:ascii="宋体" w:hAnsi="宋体" w:cs="宋体"/>
      <w:color w:val="FFFFFF"/>
      <w:kern w:val="0"/>
      <w:sz w:val="24"/>
      <w:szCs w:val="24"/>
    </w:rPr>
  </w:style>
  <w:style w:type="paragraph" w:customStyle="1" w:styleId="91">
    <w:name w:val="normal-blue-1"/>
    <w:basedOn w:val="1"/>
    <w:qFormat/>
    <w:uiPriority w:val="99"/>
    <w:pPr>
      <w:widowControl/>
      <w:spacing w:before="100" w:beforeAutospacing="1" w:after="100" w:afterAutospacing="1"/>
      <w:jc w:val="left"/>
      <w:textAlignment w:val="bottom"/>
    </w:pPr>
    <w:rPr>
      <w:rFonts w:ascii="宋体" w:hAnsi="宋体" w:cs="宋体"/>
      <w:color w:val="3075B4"/>
      <w:kern w:val="0"/>
      <w:sz w:val="24"/>
      <w:szCs w:val="24"/>
    </w:rPr>
  </w:style>
  <w:style w:type="paragraph" w:customStyle="1" w:styleId="92">
    <w:name w:val="right-title"/>
    <w:basedOn w:val="1"/>
    <w:qFormat/>
    <w:uiPriority w:val="99"/>
    <w:pPr>
      <w:widowControl/>
      <w:spacing w:before="100" w:beforeAutospacing="1" w:after="100" w:afterAutospacing="1"/>
      <w:ind w:firstLine="90"/>
      <w:jc w:val="left"/>
      <w:textAlignment w:val="top"/>
    </w:pPr>
    <w:rPr>
      <w:rFonts w:ascii="宋体" w:hAnsi="宋体" w:cs="宋体"/>
      <w:b/>
      <w:bCs/>
      <w:color w:val="FFFFFF"/>
      <w:kern w:val="0"/>
      <w:szCs w:val="21"/>
    </w:rPr>
  </w:style>
  <w:style w:type="paragraph" w:customStyle="1" w:styleId="93">
    <w:name w:val="right-title-more"/>
    <w:basedOn w:val="1"/>
    <w:qFormat/>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94">
    <w:name w:val="bszx-title"/>
    <w:basedOn w:val="1"/>
    <w:qFormat/>
    <w:uiPriority w:val="99"/>
    <w:pPr>
      <w:widowControl/>
      <w:spacing w:before="100" w:beforeAutospacing="1" w:after="100" w:afterAutospacing="1"/>
      <w:ind w:firstLine="90"/>
      <w:jc w:val="left"/>
      <w:textAlignment w:val="top"/>
    </w:pPr>
    <w:rPr>
      <w:rFonts w:ascii="宋体" w:hAnsi="宋体" w:cs="宋体"/>
      <w:b/>
      <w:bCs/>
      <w:color w:val="FFFFFF"/>
      <w:kern w:val="0"/>
      <w:szCs w:val="21"/>
    </w:rPr>
  </w:style>
  <w:style w:type="paragraph" w:customStyle="1" w:styleId="95">
    <w:name w:val="bottom-line"/>
    <w:basedOn w:val="1"/>
    <w:qFormat/>
    <w:uiPriority w:val="99"/>
    <w:pPr>
      <w:widowControl/>
      <w:pBdr>
        <w:bottom w:val="single" w:color="EFEFEF" w:sz="6" w:space="0"/>
      </w:pBdr>
      <w:spacing w:before="100" w:beforeAutospacing="1" w:after="100" w:afterAutospacing="1" w:line="240" w:lineRule="atLeast"/>
      <w:jc w:val="left"/>
    </w:pPr>
    <w:rPr>
      <w:rFonts w:ascii="宋体" w:hAnsi="宋体" w:cs="宋体"/>
      <w:kern w:val="0"/>
      <w:sz w:val="24"/>
      <w:szCs w:val="24"/>
    </w:rPr>
  </w:style>
  <w:style w:type="paragraph" w:customStyle="1" w:styleId="96">
    <w:name w:val="normal-gonggao"/>
    <w:basedOn w:val="1"/>
    <w:qFormat/>
    <w:uiPriority w:val="99"/>
    <w:pPr>
      <w:widowControl/>
      <w:spacing w:before="100" w:beforeAutospacing="1" w:after="100" w:afterAutospacing="1"/>
      <w:jc w:val="center"/>
    </w:pPr>
    <w:rPr>
      <w:rFonts w:ascii="宋体" w:hAnsi="宋体" w:cs="宋体"/>
      <w:color w:val="444444"/>
      <w:kern w:val="0"/>
      <w:sz w:val="18"/>
      <w:szCs w:val="18"/>
    </w:rPr>
  </w:style>
  <w:style w:type="paragraph" w:customStyle="1" w:styleId="97">
    <w:name w:val="active-gonggao"/>
    <w:basedOn w:val="1"/>
    <w:qFormat/>
    <w:uiPriority w:val="99"/>
    <w:pPr>
      <w:widowControl/>
      <w:spacing w:before="100" w:beforeAutospacing="1" w:after="100" w:afterAutospacing="1"/>
      <w:jc w:val="center"/>
    </w:pPr>
    <w:rPr>
      <w:rFonts w:ascii="宋体" w:hAnsi="宋体" w:cs="宋体"/>
      <w:color w:val="FFFFFF"/>
      <w:kern w:val="0"/>
      <w:sz w:val="18"/>
      <w:szCs w:val="18"/>
    </w:rPr>
  </w:style>
  <w:style w:type="paragraph" w:customStyle="1" w:styleId="98">
    <w:name w:val="index_special_1"/>
    <w:basedOn w:val="1"/>
    <w:qFormat/>
    <w:uiPriority w:val="99"/>
    <w:pPr>
      <w:widowControl/>
      <w:spacing w:before="100" w:beforeAutospacing="1" w:after="100" w:afterAutospacing="1"/>
      <w:jc w:val="center"/>
    </w:pPr>
    <w:rPr>
      <w:rFonts w:ascii="宋体" w:hAnsi="宋体" w:cs="宋体"/>
      <w:b/>
      <w:bCs/>
      <w:color w:val="0064BD"/>
      <w:kern w:val="0"/>
      <w:sz w:val="18"/>
      <w:szCs w:val="18"/>
    </w:rPr>
  </w:style>
  <w:style w:type="paragraph" w:customStyle="1" w:styleId="99">
    <w:name w:val="index_special_0"/>
    <w:basedOn w:val="1"/>
    <w:qFormat/>
    <w:uiPriority w:val="99"/>
    <w:pPr>
      <w:widowControl/>
      <w:spacing w:before="100" w:beforeAutospacing="1" w:after="100" w:afterAutospacing="1"/>
      <w:jc w:val="center"/>
    </w:pPr>
    <w:rPr>
      <w:rFonts w:ascii="宋体" w:hAnsi="宋体" w:cs="宋体"/>
      <w:b/>
      <w:bCs/>
      <w:color w:val="4F4F4F"/>
      <w:kern w:val="0"/>
      <w:sz w:val="18"/>
      <w:szCs w:val="18"/>
    </w:rPr>
  </w:style>
  <w:style w:type="paragraph" w:customStyle="1" w:styleId="100">
    <w:name w:val="mtdiv"/>
    <w:basedOn w:val="1"/>
    <w:qFormat/>
    <w:uiPriority w:val="99"/>
    <w:pPr>
      <w:widowControl/>
      <w:pBdr>
        <w:top w:val="single" w:color="CCCCCC" w:sz="6" w:space="3"/>
        <w:left w:val="single" w:color="CCCCCC" w:sz="6" w:space="3"/>
        <w:bottom w:val="single" w:color="CCCCCC" w:sz="6" w:space="3"/>
        <w:right w:val="single" w:color="CCCCCC" w:sz="6" w:space="3"/>
      </w:pBdr>
      <w:shd w:val="clear" w:color="auto" w:fill="FBFBFB"/>
      <w:spacing w:before="100" w:beforeAutospacing="1" w:after="100" w:afterAutospacing="1"/>
      <w:jc w:val="left"/>
    </w:pPr>
    <w:rPr>
      <w:rFonts w:ascii="宋体" w:hAnsi="宋体" w:cs="宋体"/>
      <w:kern w:val="0"/>
      <w:sz w:val="24"/>
      <w:szCs w:val="24"/>
    </w:rPr>
  </w:style>
  <w:style w:type="paragraph" w:customStyle="1" w:styleId="101">
    <w:name w:val="tab_tr_infopub"/>
    <w:basedOn w:val="1"/>
    <w:qFormat/>
    <w:uiPriority w:val="99"/>
    <w:pPr>
      <w:widowControl/>
      <w:pBdr>
        <w:top w:val="single" w:color="8CBDED" w:sz="6" w:space="0"/>
        <w:left w:val="single" w:color="8CBDED" w:sz="6" w:space="0"/>
        <w:bottom w:val="single" w:color="8CBDED" w:sz="6" w:space="0"/>
        <w:right w:val="single" w:color="8CBDED" w:sz="6" w:space="0"/>
      </w:pBdr>
      <w:spacing w:before="100" w:beforeAutospacing="1" w:after="100" w:afterAutospacing="1"/>
      <w:jc w:val="left"/>
    </w:pPr>
    <w:rPr>
      <w:rFonts w:ascii="宋体" w:hAnsi="宋体" w:cs="宋体"/>
      <w:kern w:val="0"/>
      <w:sz w:val="24"/>
      <w:szCs w:val="24"/>
    </w:rPr>
  </w:style>
  <w:style w:type="paragraph" w:customStyle="1" w:styleId="102">
    <w:name w:val="btn-select"/>
    <w:basedOn w:val="1"/>
    <w:qFormat/>
    <w:uiPriority w:val="99"/>
    <w:pPr>
      <w:widowControl/>
      <w:pBdr>
        <w:top w:val="single" w:color="B0A296" w:sz="2" w:space="0"/>
        <w:left w:val="single" w:color="B0A296" w:sz="2" w:space="0"/>
        <w:bottom w:val="single" w:color="B0A296" w:sz="2" w:space="0"/>
        <w:right w:val="single" w:color="B0A296" w:sz="2" w:space="0"/>
      </w:pBdr>
      <w:shd w:val="clear" w:color="auto" w:fill="FEFEFE"/>
      <w:spacing w:before="100" w:beforeAutospacing="1" w:after="100" w:afterAutospacing="1" w:line="300" w:lineRule="atLeast"/>
      <w:jc w:val="left"/>
    </w:pPr>
    <w:rPr>
      <w:rFonts w:ascii="微软雅黑" w:hAnsi="微软雅黑" w:eastAsia="微软雅黑" w:cs="宋体"/>
      <w:color w:val="666666"/>
      <w:kern w:val="0"/>
      <w:szCs w:val="21"/>
    </w:rPr>
  </w:style>
  <w:style w:type="paragraph" w:customStyle="1" w:styleId="103">
    <w:name w:val="cur-selec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bds_fl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bds_buzz"/>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bds_z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bds_mor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cur-select1"/>
    <w:basedOn w:val="1"/>
    <w:qFormat/>
    <w:uiPriority w:val="99"/>
    <w:pPr>
      <w:widowControl/>
      <w:shd w:val="clear" w:color="auto" w:fill="FEFEFE"/>
      <w:spacing w:before="100" w:beforeAutospacing="1" w:after="100" w:afterAutospacing="1" w:line="450" w:lineRule="atLeast"/>
      <w:ind w:firstLine="150"/>
      <w:jc w:val="left"/>
    </w:pPr>
    <w:rPr>
      <w:rFonts w:ascii="宋体" w:hAnsi="宋体" w:cs="宋体"/>
      <w:kern w:val="0"/>
      <w:sz w:val="24"/>
      <w:szCs w:val="24"/>
    </w:rPr>
  </w:style>
  <w:style w:type="paragraph" w:customStyle="1" w:styleId="109">
    <w:name w:val="cur-select2"/>
    <w:basedOn w:val="1"/>
    <w:qFormat/>
    <w:uiPriority w:val="99"/>
    <w:pPr>
      <w:widowControl/>
      <w:shd w:val="clear" w:color="auto" w:fill="FEFEFE"/>
      <w:spacing w:before="100" w:beforeAutospacing="1" w:after="100" w:afterAutospacing="1" w:line="450" w:lineRule="atLeast"/>
      <w:ind w:firstLine="150"/>
      <w:jc w:val="left"/>
    </w:pPr>
    <w:rPr>
      <w:rFonts w:ascii="宋体" w:hAnsi="宋体" w:cs="宋体"/>
      <w:kern w:val="0"/>
      <w:sz w:val="24"/>
      <w:szCs w:val="24"/>
    </w:rPr>
  </w:style>
  <w:style w:type="paragraph" w:customStyle="1" w:styleId="110">
    <w:name w:val="bds_fl51"/>
    <w:basedOn w:val="1"/>
    <w:qFormat/>
    <w:uiPriority w:val="99"/>
    <w:pPr>
      <w:widowControl/>
      <w:pBdr>
        <w:top w:val="single" w:color="F2F1F1" w:sz="6" w:space="0"/>
      </w:pBdr>
      <w:shd w:val="clear" w:color="auto" w:fill="F8F8F8"/>
      <w:jc w:val="left"/>
    </w:pPr>
    <w:rPr>
      <w:rFonts w:ascii="宋体" w:hAnsi="宋体" w:cs="宋体"/>
      <w:vanish/>
      <w:kern w:val="0"/>
      <w:sz w:val="18"/>
      <w:szCs w:val="18"/>
    </w:rPr>
  </w:style>
  <w:style w:type="paragraph" w:customStyle="1" w:styleId="111">
    <w:name w:val="bds_buzz1"/>
    <w:basedOn w:val="1"/>
    <w:qFormat/>
    <w:uiPriority w:val="99"/>
    <w:pPr>
      <w:widowControl/>
      <w:pBdr>
        <w:top w:val="single" w:color="F2F1F1" w:sz="6" w:space="0"/>
      </w:pBdr>
      <w:shd w:val="clear" w:color="auto" w:fill="F8F8F8"/>
      <w:jc w:val="left"/>
    </w:pPr>
    <w:rPr>
      <w:rFonts w:ascii="宋体" w:hAnsi="宋体" w:cs="宋体"/>
      <w:vanish/>
      <w:kern w:val="0"/>
      <w:sz w:val="18"/>
      <w:szCs w:val="18"/>
    </w:rPr>
  </w:style>
  <w:style w:type="paragraph" w:customStyle="1" w:styleId="112">
    <w:name w:val="bds_zx1"/>
    <w:basedOn w:val="1"/>
    <w:qFormat/>
    <w:uiPriority w:val="99"/>
    <w:pPr>
      <w:widowControl/>
      <w:pBdr>
        <w:top w:val="single" w:color="F2F1F1" w:sz="6" w:space="0"/>
      </w:pBdr>
      <w:shd w:val="clear" w:color="auto" w:fill="F8F8F8"/>
      <w:jc w:val="left"/>
    </w:pPr>
    <w:rPr>
      <w:rFonts w:ascii="宋体" w:hAnsi="宋体" w:cs="宋体"/>
      <w:vanish/>
      <w:kern w:val="0"/>
      <w:sz w:val="18"/>
      <w:szCs w:val="18"/>
    </w:rPr>
  </w:style>
  <w:style w:type="paragraph" w:customStyle="1" w:styleId="113">
    <w:name w:val="列出段落1"/>
    <w:basedOn w:val="1"/>
    <w:qFormat/>
    <w:uiPriority w:val="34"/>
    <w:pPr>
      <w:ind w:firstLine="420" w:firstLineChars="200"/>
    </w:pPr>
  </w:style>
  <w:style w:type="paragraph" w:customStyle="1" w:styleId="114">
    <w:name w:val="列出段落2"/>
    <w:basedOn w:val="1"/>
    <w:qFormat/>
    <w:uiPriority w:val="34"/>
    <w:pPr>
      <w:ind w:firstLine="420" w:firstLineChars="200"/>
    </w:pPr>
  </w:style>
  <w:style w:type="character" w:customStyle="1" w:styleId="115">
    <w:name w:val="标题 5 Char"/>
    <w:link w:val="2"/>
    <w:qFormat/>
    <w:locked/>
    <w:uiPriority w:val="99"/>
    <w:rPr>
      <w:rFonts w:ascii="宋体" w:hAnsi="宋体" w:eastAsia="宋体" w:cs="宋体"/>
      <w:b/>
      <w:bCs/>
      <w:kern w:val="0"/>
      <w:sz w:val="20"/>
      <w:szCs w:val="20"/>
    </w:rPr>
  </w:style>
  <w:style w:type="character" w:customStyle="1" w:styleId="116">
    <w:name w:val="标题 6 Char"/>
    <w:link w:val="3"/>
    <w:qFormat/>
    <w:locked/>
    <w:uiPriority w:val="99"/>
    <w:rPr>
      <w:rFonts w:ascii="宋体" w:hAnsi="宋体" w:eastAsia="宋体" w:cs="宋体"/>
      <w:b/>
      <w:bCs/>
      <w:kern w:val="0"/>
      <w:sz w:val="15"/>
      <w:szCs w:val="15"/>
    </w:rPr>
  </w:style>
  <w:style w:type="character" w:customStyle="1" w:styleId="117">
    <w:name w:val="页眉 Char"/>
    <w:link w:val="10"/>
    <w:qFormat/>
    <w:locked/>
    <w:uiPriority w:val="99"/>
    <w:rPr>
      <w:rFonts w:cs="Times New Roman"/>
      <w:sz w:val="18"/>
      <w:szCs w:val="18"/>
    </w:rPr>
  </w:style>
  <w:style w:type="character" w:customStyle="1" w:styleId="118">
    <w:name w:val="页脚 Char"/>
    <w:link w:val="9"/>
    <w:qFormat/>
    <w:locked/>
    <w:uiPriority w:val="99"/>
    <w:rPr>
      <w:rFonts w:cs="Times New Roman"/>
      <w:sz w:val="18"/>
      <w:szCs w:val="18"/>
    </w:rPr>
  </w:style>
  <w:style w:type="character" w:customStyle="1" w:styleId="119">
    <w:name w:val="已访问的超链接1"/>
    <w:semiHidden/>
    <w:qFormat/>
    <w:uiPriority w:val="99"/>
    <w:rPr>
      <w:rFonts w:cs="Times New Roman"/>
      <w:color w:val="800080"/>
      <w:u w:val="single"/>
    </w:rPr>
  </w:style>
  <w:style w:type="character" w:customStyle="1" w:styleId="120">
    <w:name w:val="bds_more1"/>
    <w:qFormat/>
    <w:uiPriority w:val="99"/>
    <w:rPr>
      <w:rFonts w:ascii="宋体" w:hAnsi="宋体" w:eastAsia="宋体" w:cs="Times New Roman"/>
    </w:rPr>
  </w:style>
  <w:style w:type="character" w:customStyle="1" w:styleId="121">
    <w:name w:val="bds_more2"/>
    <w:qFormat/>
    <w:uiPriority w:val="99"/>
    <w:rPr>
      <w:rFonts w:ascii="宋体" w:hAnsi="宋体" w:eastAsia="宋体" w:cs="Times New Roman"/>
    </w:rPr>
  </w:style>
  <w:style w:type="character" w:customStyle="1" w:styleId="122">
    <w:name w:val="bds_more3"/>
    <w:qFormat/>
    <w:uiPriority w:val="99"/>
    <w:rPr>
      <w:rFonts w:ascii="宋体" w:hAnsi="宋体" w:eastAsia="宋体" w:cs="Times New Roman"/>
    </w:rPr>
  </w:style>
  <w:style w:type="character" w:customStyle="1" w:styleId="123">
    <w:name w:val="批注文字 Char"/>
    <w:basedOn w:val="12"/>
    <w:link w:val="5"/>
    <w:qFormat/>
    <w:locked/>
    <w:uiPriority w:val="99"/>
    <w:rPr>
      <w:rFonts w:ascii="Calibri" w:hAnsi="Calibri" w:eastAsia="宋体" w:cs="Calibri"/>
      <w:kern w:val="2"/>
      <w:sz w:val="21"/>
      <w:szCs w:val="21"/>
      <w:lang w:val="en-US" w:eastAsia="zh-CN" w:bidi="ar-SA"/>
    </w:rPr>
  </w:style>
  <w:style w:type="character" w:customStyle="1" w:styleId="124">
    <w:name w:val="批注主题 Char"/>
    <w:basedOn w:val="123"/>
    <w:link w:val="4"/>
    <w:semiHidden/>
    <w:qFormat/>
    <w:uiPriority w:val="0"/>
    <w:rPr>
      <w:rFonts w:ascii="Calibri" w:hAnsi="Calibri" w:eastAsia="宋体" w:cs="Times New Roman"/>
      <w:b/>
      <w:bCs/>
      <w:kern w:val="2"/>
      <w:sz w:val="21"/>
      <w:szCs w:val="22"/>
      <w:lang w:val="en-US" w:eastAsia="zh-CN" w:bidi="ar-SA"/>
    </w:rPr>
  </w:style>
  <w:style w:type="character" w:customStyle="1" w:styleId="125">
    <w:name w:val="日期 Char"/>
    <w:basedOn w:val="12"/>
    <w:link w:val="7"/>
    <w:semiHidden/>
    <w:qFormat/>
    <w:uiPriority w:val="0"/>
    <w:rPr>
      <w:rFonts w:cs="Times New Roman"/>
      <w:kern w:val="2"/>
      <w:sz w:val="21"/>
      <w:szCs w:val="22"/>
    </w:rPr>
  </w:style>
  <w:style w:type="character" w:customStyle="1" w:styleId="126">
    <w:name w:val="纯文本 Char"/>
    <w:basedOn w:val="12"/>
    <w:semiHidden/>
    <w:qFormat/>
    <w:uiPriority w:val="0"/>
    <w:rPr>
      <w:rFonts w:ascii="宋体" w:hAnsi="Courier New" w:cs="Courier New"/>
      <w:kern w:val="2"/>
      <w:sz w:val="21"/>
      <w:szCs w:val="21"/>
    </w:rPr>
  </w:style>
  <w:style w:type="character" w:customStyle="1" w:styleId="127">
    <w:name w:val="纯文本 Char1"/>
    <w:link w:val="6"/>
    <w:qFormat/>
    <w:locked/>
    <w:uiPriority w:val="99"/>
    <w:rPr>
      <w:rFonts w:ascii="宋体" w:hAnsi="Courier New" w:cs="Times New Roman"/>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1967</Words>
  <Characters>11216</Characters>
  <Lines>93</Lines>
  <Paragraphs>26</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2025-03-22T10:31:00Z</dcterms:created>
  <dc:creator>XXDA</dc:creator>
  <cp:lastModifiedBy>孙晓刚</cp:lastModifiedBy>
  <cp:lastPrinted>2023-05-06T00:33:00Z</cp:lastPrinted>
  <dcterms:modified xsi:type="dcterms:W3CDTF">2025-05-30T02:39:09Z</dcterms:modified>
  <dc:title>2017年北京市玩具产品质量监督抽查方案（强制性标准转推荐性标准）</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1D4F40E983E074C047D2DB67B2FFFF4E_43</vt:lpwstr>
  </property>
</Properties>
</file>