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kinsoku/>
        <w:wordWrap/>
        <w:overflowPunct/>
        <w:topLinePunct w:val="0"/>
        <w:autoSpaceDE/>
        <w:autoSpaceDN/>
        <w:bidi w:val="0"/>
        <w:spacing w:line="560" w:lineRule="exact"/>
        <w:textAlignment w:val="auto"/>
        <w:rPr>
          <w:rFonts w:hint="eastAsia"/>
        </w:rPr>
      </w:pPr>
      <w:r>
        <w:rPr>
          <w:rFonts w:hint="default"/>
        </w:rPr>
        <w:t>关于征集电子商务创新示范项目的通知</w:t>
      </w:r>
    </w:p>
    <w:p>
      <w:pPr>
        <w:keepNext w:val="0"/>
        <w:keepLines w:val="0"/>
        <w:pageBreakBefore w:val="0"/>
        <w:widowControl/>
        <w:suppressLineNumbers w:val="0"/>
        <w:pBdr>
          <w:top w:val="single" w:color="BD1A2D" w:sz="6"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kern w:val="0"/>
          <w:sz w:val="24"/>
          <w:szCs w:val="24"/>
          <w:shd w:val="clear" w:fill="FFFFFF"/>
          <w:lang w:val="en-US" w:eastAsia="zh-CN" w:bidi="ar"/>
        </w:rPr>
      </w:pPr>
      <w:r>
        <w:rPr>
          <w:rFonts w:hint="eastAsia" w:ascii="仿宋_GB2312" w:hAnsi="仿宋_GB2312" w:eastAsia="仿宋_GB2312" w:cs="仿宋_GB2312"/>
          <w:i w:val="0"/>
          <w:iCs w:val="0"/>
          <w:caps w:val="0"/>
          <w:color w:val="333333"/>
          <w:spacing w:val="0"/>
          <w:kern w:val="0"/>
          <w:sz w:val="24"/>
          <w:szCs w:val="24"/>
          <w:shd w:val="clear" w:fill="FFFFFF"/>
          <w:lang w:val="en-US" w:eastAsia="zh-CN" w:bidi="ar"/>
        </w:rPr>
        <w:t>发布时间：2023-08-08    信息提供：电子商务处</w:t>
      </w:r>
    </w:p>
    <w:p>
      <w:pPr>
        <w:keepNext w:val="0"/>
        <w:keepLines w:val="0"/>
        <w:pageBreakBefore w:val="0"/>
        <w:widowControl/>
        <w:suppressLineNumbers w:val="0"/>
        <w:pBdr>
          <w:top w:val="single" w:color="BD1A2D" w:sz="6"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kern w:val="0"/>
          <w:sz w:val="21"/>
          <w:szCs w:val="21"/>
          <w:shd w:val="clear" w:fill="FFFFFF"/>
          <w:lang w:val="en-US" w:eastAsia="zh-CN" w:bidi="ar"/>
        </w:rPr>
      </w:pPr>
    </w:p>
    <w:p>
      <w:pPr>
        <w:pStyle w:val="15"/>
        <w:keepNext w:val="0"/>
        <w:keepLines w:val="0"/>
        <w:pageBreakBefore w:val="0"/>
        <w:kinsoku/>
        <w:wordWrap/>
        <w:overflowPunct/>
        <w:topLinePunct w:val="0"/>
        <w:autoSpaceDE/>
        <w:autoSpaceDN/>
        <w:bidi w:val="0"/>
        <w:spacing w:line="560" w:lineRule="exact"/>
        <w:ind w:left="0" w:leftChars="0" w:firstLine="0" w:firstLineChars="0"/>
        <w:textAlignment w:val="auto"/>
      </w:pPr>
      <w:r>
        <w:rPr>
          <w:rFonts w:hint="eastAsia"/>
        </w:rPr>
        <w:t>各区商务局、北京经济技术开发区商务金融局，市属国有企业集团、总部企业、有关单位：</w:t>
      </w:r>
    </w:p>
    <w:p>
      <w:pPr>
        <w:pStyle w:val="15"/>
        <w:keepNext w:val="0"/>
        <w:keepLines w:val="0"/>
        <w:pageBreakBefore w:val="0"/>
        <w:kinsoku/>
        <w:wordWrap/>
        <w:overflowPunct/>
        <w:topLinePunct w:val="0"/>
        <w:autoSpaceDE/>
        <w:autoSpaceDN/>
        <w:bidi w:val="0"/>
        <w:spacing w:line="560" w:lineRule="exact"/>
        <w:textAlignment w:val="auto"/>
      </w:pPr>
      <w:r>
        <w:rPr>
          <w:rFonts w:hint="eastAsia"/>
        </w:rPr>
        <w:t>为着力培育电子商务新业态新模式，扩大线上消费和服务有效供给，更好满足居民便利性、品质性消费需求，对全市直播电商、线上线下融合消费、农村电商相关的创新示范项目予以资金支持。有关事项通知如下。</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一、支持范围</w:t>
      </w:r>
    </w:p>
    <w:p>
      <w:pPr>
        <w:pStyle w:val="15"/>
        <w:keepNext w:val="0"/>
        <w:keepLines w:val="0"/>
        <w:pageBreakBefore w:val="0"/>
        <w:kinsoku/>
        <w:wordWrap/>
        <w:overflowPunct/>
        <w:topLinePunct w:val="0"/>
        <w:autoSpaceDE/>
        <w:autoSpaceDN/>
        <w:bidi w:val="0"/>
        <w:spacing w:line="560" w:lineRule="exact"/>
        <w:textAlignment w:val="auto"/>
      </w:pPr>
      <w:r>
        <w:rPr>
          <w:rFonts w:hint="eastAsia"/>
        </w:rPr>
        <w:t>在北京地区注册且具有独立法人资格，从事商贸流通业经营、服务、管理的企业、机构、经济组织等单位。</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二、支持方向</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支持直播电商创新发展。支持商贸流通企业、品牌商拓展直播销售渠道，自建或对接网络直播平台，搭建专业或独立的网络直播场景，升级直播带货技术手段，提升线上消费体验。支持网络直播平台、北京特色直播电商基地</w:t>
      </w:r>
      <w:r>
        <w:rPr>
          <w:rFonts w:hint="eastAsia"/>
          <w:vertAlign w:val="superscript"/>
        </w:rPr>
        <w:t>[注1]</w:t>
      </w:r>
      <w:r>
        <w:rPr>
          <w:rFonts w:hint="eastAsia"/>
        </w:rPr>
        <w:t>、直播（电商）服务机构</w:t>
      </w:r>
      <w:r>
        <w:rPr>
          <w:rFonts w:hint="eastAsia"/>
          <w:vertAlign w:val="superscript"/>
        </w:rPr>
        <w:t>[注2]</w:t>
      </w:r>
      <w:r>
        <w:rPr>
          <w:rFonts w:hint="eastAsia"/>
        </w:rPr>
        <w:t>加强信息化建设、升级直播软硬件设备，优化网络直播场景及技术，提高直播领域服务能力和运营能力，赋能本市品牌企业直播业务。</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支持线上线下消费融合发展。支持商贸流通企业、品牌商运用5G、大数据、人工智能等先进技术优化服务体验，丰富线上服务供给，打造沉浸式、体验式、互动式消费新场景，发展定制消费、体验消费、智能消费、即时零售等新型消费，加快线上线下消费高效融合。支持主要面向商品性消费的互联网生活服务平台</w:t>
      </w:r>
      <w:r>
        <w:rPr>
          <w:rStyle w:val="18"/>
          <w:rFonts w:hint="eastAsia"/>
          <w:vertAlign w:val="superscript"/>
        </w:rPr>
        <w:t>[注3]</w:t>
      </w:r>
      <w:r>
        <w:rPr>
          <w:rFonts w:hint="eastAsia"/>
        </w:rPr>
        <w:t>建设，为商贸流通企业和消费者提供在线交易、消费评价及推荐、消费大数据分析等服务。</w:t>
      </w:r>
    </w:p>
    <w:p>
      <w:pPr>
        <w:pStyle w:val="15"/>
        <w:keepNext w:val="0"/>
        <w:keepLines w:val="0"/>
        <w:pageBreakBefore w:val="0"/>
        <w:kinsoku/>
        <w:wordWrap/>
        <w:overflowPunct/>
        <w:topLinePunct w:val="0"/>
        <w:autoSpaceDE/>
        <w:autoSpaceDN/>
        <w:bidi w:val="0"/>
        <w:spacing w:line="560" w:lineRule="exact"/>
        <w:textAlignment w:val="auto"/>
      </w:pPr>
      <w:r>
        <w:rPr>
          <w:rFonts w:hint="eastAsia"/>
        </w:rPr>
        <w:t>（三）支持农副产品拓展线上销售渠道。鼓励电商平台、农贸企业等自建或对接农副产品线上交易平台，提升产销对接、信息整合、营销推广、在线交易等综合服务能力。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left"/>
        <w:textAlignment w:val="auto"/>
        <w:rPr>
          <w:rStyle w:val="19"/>
          <w:rFonts w:hint="eastAsia"/>
          <w:lang w:eastAsia="zh-CN"/>
        </w:rPr>
      </w:pPr>
      <w:r>
        <w:rPr>
          <w:rStyle w:val="19"/>
          <w:rFonts w:hint="eastAsia"/>
        </w:rPr>
        <w:t>三、支持内容</w:t>
      </w:r>
    </w:p>
    <w:p>
      <w:pPr>
        <w:pStyle w:val="15"/>
        <w:keepNext w:val="0"/>
        <w:keepLines w:val="0"/>
        <w:pageBreakBefore w:val="0"/>
        <w:kinsoku/>
        <w:wordWrap/>
        <w:overflowPunct/>
        <w:topLinePunct w:val="0"/>
        <w:autoSpaceDE/>
        <w:autoSpaceDN/>
        <w:bidi w:val="0"/>
        <w:spacing w:line="560" w:lineRule="exact"/>
        <w:textAlignment w:val="auto"/>
      </w:pPr>
      <w:r>
        <w:rPr>
          <w:rFonts w:hint="eastAsia"/>
        </w:rPr>
        <w:t>对建设项目相关的软硬件设备购置及配套设施建设等相关费用给予支持。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left"/>
        <w:textAlignment w:val="auto"/>
        <w:rPr>
          <w:rStyle w:val="19"/>
          <w:rFonts w:hint="eastAsia"/>
          <w:lang w:eastAsia="zh-CN"/>
        </w:rPr>
      </w:pPr>
      <w:r>
        <w:rPr>
          <w:rStyle w:val="19"/>
          <w:rFonts w:hint="eastAsia"/>
        </w:rPr>
        <w:t>四、支持条件</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（一）网络直播平台应已在“全国网络视听平台信息管理系统”登记备案，并符合国家关于网络直播销售、网络视听服务管理的相关规定及要求。</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（二）商贸流通企业年均（项目建设期内自然年，下同）交易额应不低于2000万元；或年均网络零售额</w:t>
      </w:r>
      <w:r>
        <w:rPr>
          <w:rStyle w:val="18"/>
          <w:rFonts w:hint="eastAsia"/>
          <w:vertAlign w:val="superscript"/>
        </w:rPr>
        <w:t>[注4]</w:t>
      </w:r>
      <w:r>
        <w:rPr>
          <w:rFonts w:hint="eastAsia"/>
        </w:rPr>
        <w:t>应不低于1000万元。</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（三）相关品牌商应具备独立的商贸销售主体，年均网络零售额不低于1000万元。</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（四）直播（电商）服务机构年均助力本市品牌企业实现成交金额不低于2000万元；或年均网络零售额不低于1000万元。</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（五）申报支持方向（三）的电商平台和农贸企业应具备独立的商贸销售主体，年均交易额不低于1000万元；或年均网络零售额不低于500万元。</w:t>
      </w:r>
    </w:p>
    <w:p>
      <w:pPr>
        <w:pStyle w:val="15"/>
        <w:keepNext w:val="0"/>
        <w:keepLines w:val="0"/>
        <w:pageBreakBefore w:val="0"/>
        <w:kinsoku/>
        <w:wordWrap/>
        <w:overflowPunct/>
        <w:topLinePunct w:val="0"/>
        <w:autoSpaceDE/>
        <w:autoSpaceDN/>
        <w:bidi w:val="0"/>
        <w:spacing w:line="560" w:lineRule="exact"/>
        <w:textAlignment w:val="auto"/>
      </w:pPr>
      <w:r>
        <w:rPr>
          <w:rFonts w:hint="eastAsia"/>
        </w:rPr>
        <w:t>（六）各方向建设项目实施时间均在2022年1月1日（含）以后。</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五、支持标准</w:t>
      </w:r>
    </w:p>
    <w:p>
      <w:pPr>
        <w:pStyle w:val="15"/>
        <w:keepNext w:val="0"/>
        <w:keepLines w:val="0"/>
        <w:pageBreakBefore w:val="0"/>
        <w:kinsoku/>
        <w:wordWrap/>
        <w:overflowPunct/>
        <w:topLinePunct w:val="0"/>
        <w:autoSpaceDE/>
        <w:autoSpaceDN/>
        <w:bidi w:val="0"/>
        <w:spacing w:line="560" w:lineRule="exact"/>
        <w:textAlignment w:val="auto"/>
      </w:pPr>
      <w:r>
        <w:rPr>
          <w:rFonts w:hint="eastAsia"/>
        </w:rPr>
        <w:t>资金支持比例不超过该项目审定实际投资额的50%，最高不超过100万元。</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六、申报条件</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（一）项目申报单位经营状况良好，财务管理制度健全；</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（二）申报项目能够按计划实施；</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（三）项目获得中央财政资金支持或其他市级财政资金支持的不得重复申报；</w:t>
      </w:r>
    </w:p>
    <w:p>
      <w:pPr>
        <w:pStyle w:val="15"/>
        <w:keepNext w:val="0"/>
        <w:keepLines w:val="0"/>
        <w:pageBreakBefore w:val="0"/>
        <w:kinsoku/>
        <w:wordWrap/>
        <w:overflowPunct/>
        <w:topLinePunct w:val="0"/>
        <w:autoSpaceDE/>
        <w:autoSpaceDN/>
        <w:bidi w:val="0"/>
        <w:spacing w:line="560" w:lineRule="exact"/>
        <w:textAlignment w:val="auto"/>
      </w:pPr>
      <w:r>
        <w:rPr>
          <w:rFonts w:hint="eastAsia"/>
        </w:rPr>
        <w:t>（四）有下列情形的不予支持：列入《北京市新增产业的禁止和限制目录》禁止类和限制类范围的；纳入全市联合惩戒“黑名单”的；纳入北京市商务领域不良信用记录名单，受到“不予支持”信用惩戒的；发生较大以上生产安全事故和火灾事故的；经审议其他不予支持的。</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七、申报材料</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（一）项目申报书；</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（二）项目已发生费用明细表；</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（三）项目申报单位承诺书；</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（四）项目申报情况表；</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（五）项目单位法人证明文件复印件（营业执照副本、统一社会信用代码证书、法定代表人身份证明等）；</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（六）项目单位近三年财务报表（资产负债表、损益表、现金流量表）；</w:t>
      </w:r>
    </w:p>
    <w:p>
      <w:pPr>
        <w:pStyle w:val="15"/>
        <w:keepNext w:val="0"/>
        <w:keepLines w:val="0"/>
        <w:pageBreakBefore w:val="0"/>
        <w:kinsoku/>
        <w:wordWrap/>
        <w:overflowPunct/>
        <w:topLinePunct w:val="0"/>
        <w:autoSpaceDE/>
        <w:autoSpaceDN/>
        <w:bidi w:val="0"/>
        <w:spacing w:line="560" w:lineRule="exact"/>
        <w:textAlignment w:val="auto"/>
      </w:pPr>
      <w:r>
        <w:rPr>
          <w:rFonts w:hint="eastAsia"/>
        </w:rPr>
        <w:t>（七）其他与项目相关的材料。</w:t>
      </w:r>
    </w:p>
    <w:p>
      <w:pPr>
        <w:pStyle w:val="15"/>
        <w:keepNext w:val="0"/>
        <w:keepLines w:val="0"/>
        <w:pageBreakBefore w:val="0"/>
        <w:kinsoku/>
        <w:wordWrap/>
        <w:overflowPunct/>
        <w:topLinePunct w:val="0"/>
        <w:autoSpaceDE/>
        <w:autoSpaceDN/>
        <w:bidi w:val="0"/>
        <w:spacing w:line="560" w:lineRule="exact"/>
        <w:textAlignment w:val="auto"/>
      </w:pPr>
      <w:r>
        <w:rPr>
          <w:rFonts w:hint="eastAsia"/>
        </w:rPr>
        <w:t>项目申报材料一式</w:t>
      </w:r>
      <w:r>
        <w:rPr>
          <w:rFonts w:hint="eastAsia"/>
          <w:lang w:val="en-US" w:eastAsia="zh-CN"/>
        </w:rPr>
        <w:t>两</w:t>
      </w:r>
      <w:r>
        <w:rPr>
          <w:rFonts w:hint="eastAsia"/>
        </w:rPr>
        <w:t>份，应按顺序装订成册，并加盖单位公章。项目申报材料不予退回。</w:t>
      </w: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八、申报流程</w:t>
      </w:r>
      <w:bookmarkStart w:id="0" w:name="_GoBack"/>
      <w:bookmarkEnd w:id="0"/>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一是项目申报。自通知发布之日起，项目申报单位根据隶属关系将申报材料报各区商务局、北京经济技术开发区商务金融局、市属国有企业集团或总部企业。</w:t>
      </w:r>
    </w:p>
    <w:p>
      <w:pPr>
        <w:pStyle w:val="15"/>
        <w:keepNext w:val="0"/>
        <w:keepLines w:val="0"/>
        <w:pageBreakBefore w:val="0"/>
        <w:kinsoku/>
        <w:wordWrap/>
        <w:overflowPunct/>
        <w:topLinePunct w:val="0"/>
        <w:autoSpaceDE/>
        <w:autoSpaceDN/>
        <w:bidi w:val="0"/>
        <w:spacing w:line="560" w:lineRule="exact"/>
        <w:textAlignment w:val="auto"/>
      </w:pPr>
      <w:r>
        <w:rPr>
          <w:rFonts w:hint="eastAsia"/>
        </w:rPr>
        <w:t>二是项目审核。按照隶属关系，由各区商务局、北京经济技术开发区商务金融局、市属国有企业集团和总部企业对申报项目进行初审，通过初审的项目填写项目申报情况汇总表、项目初审情况汇总表，于2023年11月30日前报市商务局。市商务局对项目进行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0"/>
        <w:jc w:val="left"/>
        <w:textAlignment w:val="auto"/>
        <w:rPr>
          <w:rStyle w:val="19"/>
          <w:rFonts w:hint="eastAsia"/>
          <w:lang w:eastAsia="zh-CN"/>
        </w:rPr>
      </w:pPr>
      <w:r>
        <w:rPr>
          <w:rStyle w:val="19"/>
          <w:rFonts w:hint="eastAsia"/>
        </w:rPr>
        <w:t>九、工作要求</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一）各项目申报单位应确保申报材料真实、准确、完整，保证项目各项建设手续合规、按时间进度推进。对于伪造、提供虚假材料的项目申报单位，按《北京市商务领域不良信用记录名单管理办法（试行）》规定进行处理。</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（二）项目单位若同时符合本政策中多项支持方向，可任选其一申报，不得重复申报。</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（三）各初审单位应积极组织项目申报，切实做好指导与审核，严格把关，按照规定程序做好相关工作。应加强对已支持项目的后续指导和跟踪监管，确保项目实施效果，充分发挥财政资金使用效益。</w:t>
      </w:r>
    </w:p>
    <w:p>
      <w:pPr>
        <w:pStyle w:val="15"/>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四）获得财政资金支持的项目单位应积极配合相关监督检查、审计等工作。项目单位收到财政资金后，应按照《财政部关于印发修订&lt;企业会计准则第16号——政府补助&gt;的通知》（财会〔2017〕15号）相关规定进行账务办理，相关法律法规另有规定的从其规定。对支持企业发展类项目，项目单位自获得支持资金之日持续经营时间不得少于1年，如有违反，原则上应退回相应支持资金。</w:t>
      </w:r>
    </w:p>
    <w:p>
      <w:pPr>
        <w:pStyle w:val="15"/>
        <w:keepNext w:val="0"/>
        <w:keepLines w:val="0"/>
        <w:pageBreakBefore w:val="0"/>
        <w:kinsoku/>
        <w:wordWrap/>
        <w:overflowPunct/>
        <w:topLinePunct w:val="0"/>
        <w:autoSpaceDE/>
        <w:autoSpaceDN/>
        <w:bidi w:val="0"/>
        <w:spacing w:line="560" w:lineRule="exact"/>
        <w:textAlignment w:val="auto"/>
      </w:pPr>
      <w:r>
        <w:rPr>
          <w:rFonts w:hint="eastAsia"/>
        </w:rPr>
        <w:t>（五）市商务局将加强对财政资金支持项目的监督检查，对于截留、挪用、骗取财政资金等违法行为，依照《财政违法行为处罚处分条例》（国务院令第427号，根据2011年国务院令第588号修订）等有关规定进行处理处罚。构成犯罪的，依法移交司法机关追究其刑事责任。</w:t>
      </w:r>
    </w:p>
    <w:p>
      <w:pPr>
        <w:pStyle w:val="15"/>
        <w:keepNext w:val="0"/>
        <w:keepLines w:val="0"/>
        <w:pageBreakBefore w:val="0"/>
        <w:kinsoku/>
        <w:wordWrap/>
        <w:overflowPunct/>
        <w:topLinePunct w:val="0"/>
        <w:autoSpaceDE/>
        <w:autoSpaceDN/>
        <w:bidi w:val="0"/>
        <w:spacing w:line="560" w:lineRule="exact"/>
        <w:textAlignment w:val="auto"/>
        <w:rPr>
          <w:rFonts w:hint="eastAsia"/>
        </w:rPr>
      </w:pPr>
      <w:r>
        <w:rPr>
          <w:rFonts w:hint="eastAsia"/>
        </w:rPr>
        <w:t>本文件由市商务局负责解释，自发布之日起生效，至2023年12月31日截止。</w:t>
      </w:r>
    </w:p>
    <w:p>
      <w:pPr>
        <w:pStyle w:val="15"/>
        <w:keepNext w:val="0"/>
        <w:keepLines w:val="0"/>
        <w:pageBreakBefore w:val="0"/>
        <w:kinsoku/>
        <w:wordWrap/>
        <w:overflowPunct/>
        <w:topLinePunct w:val="0"/>
        <w:autoSpaceDE/>
        <w:autoSpaceDN/>
        <w:bidi w:val="0"/>
        <w:spacing w:line="560" w:lineRule="exact"/>
        <w:textAlignment w:val="auto"/>
        <w:rPr>
          <w:rFonts w:hint="eastAsia"/>
        </w:rPr>
      </w:pPr>
    </w:p>
    <w:p>
      <w:pPr>
        <w:pStyle w:val="15"/>
        <w:keepNext w:val="0"/>
        <w:keepLines w:val="0"/>
        <w:pageBreakBefore w:val="0"/>
        <w:kinsoku/>
        <w:wordWrap/>
        <w:overflowPunct/>
        <w:topLinePunct w:val="0"/>
        <w:autoSpaceDE/>
        <w:autoSpaceDN/>
        <w:bidi w:val="0"/>
        <w:spacing w:line="560" w:lineRule="exact"/>
        <w:textAlignment w:val="auto"/>
        <w:rPr>
          <w:rFonts w:hint="eastAsia"/>
        </w:rPr>
      </w:pPr>
    </w:p>
    <w:p>
      <w:pPr>
        <w:pStyle w:val="14"/>
        <w:keepNext w:val="0"/>
        <w:keepLines w:val="0"/>
        <w:pageBreakBefore w:val="0"/>
        <w:kinsoku/>
        <w:wordWrap/>
        <w:overflowPunct/>
        <w:topLinePunct w:val="0"/>
        <w:autoSpaceDE/>
        <w:autoSpaceDN/>
        <w:bidi w:val="0"/>
        <w:spacing w:line="560" w:lineRule="exact"/>
        <w:textAlignment w:val="auto"/>
        <w:rPr>
          <w:rFonts w:hint="eastAsia"/>
          <w:lang w:eastAsia="zh-CN"/>
        </w:rPr>
      </w:pPr>
      <w:r>
        <w:rPr>
          <w:rFonts w:hint="eastAsia"/>
        </w:rPr>
        <w:t>注释：</w:t>
      </w:r>
    </w:p>
    <w:p>
      <w:pPr>
        <w:pStyle w:val="15"/>
        <w:bidi w:val="0"/>
        <w:rPr>
          <w:rFonts w:hint="eastAsia"/>
          <w:lang w:eastAsia="zh-CN"/>
        </w:rPr>
      </w:pPr>
      <w:r>
        <w:rPr>
          <w:rFonts w:hint="eastAsia"/>
        </w:rPr>
        <w:t>[注1]经《北京市特色直播电商基地认定办法（试行）》认定的相关企业。</w:t>
      </w:r>
    </w:p>
    <w:p>
      <w:pPr>
        <w:pStyle w:val="15"/>
        <w:bidi w:val="0"/>
        <w:rPr>
          <w:rFonts w:hint="eastAsia"/>
          <w:lang w:eastAsia="zh-CN"/>
        </w:rPr>
      </w:pPr>
      <w:r>
        <w:rPr>
          <w:rFonts w:hint="eastAsia"/>
        </w:rPr>
        <w:t>[注2]经电商平台、直播平台认证或备案的直播（电商）运营服务企业。</w:t>
      </w:r>
    </w:p>
    <w:p>
      <w:pPr>
        <w:pStyle w:val="15"/>
        <w:bidi w:val="0"/>
        <w:rPr>
          <w:rFonts w:hint="eastAsia"/>
          <w:lang w:eastAsia="zh-CN"/>
        </w:rPr>
      </w:pPr>
      <w:r>
        <w:rPr>
          <w:rFonts w:hint="eastAsia"/>
        </w:rPr>
        <w:t>[注3]“互联网生活服务平台”参照《国民经济行业分类》GB/T 4754-2017，行业代码为6432。</w:t>
      </w:r>
    </w:p>
    <w:p>
      <w:pPr>
        <w:pStyle w:val="15"/>
        <w:bidi w:val="0"/>
        <w:rPr>
          <w:rFonts w:hint="eastAsia"/>
        </w:rPr>
      </w:pPr>
      <w:r>
        <w:rPr>
          <w:rFonts w:hint="eastAsia"/>
        </w:rPr>
        <w:t>[注4]“网络零售额”参照国家统计部门相关指标说明。</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DE">
      <wne:acd wne:acdName="acd0"/>
    </wne:keymap>
    <wne:keymap wne:kcmPrimary="0432">
      <wne:acd wne:acdName="acd1"/>
    </wne:keymap>
    <wne:keymap wne:kcmPrimary="0431">
      <wne:acd wne:acdName="acd2"/>
    </wne:keymap>
    <wne:keymap wne:kcmPrimary="0430">
      <wne:acd wne:acdName="acd3"/>
    </wne:keymap>
    <wne:keymap wne:kcmPrimary="0433">
      <wne:acd wne:acdName="acd4"/>
    </wne:keymap>
  </wne:keymaps>
  <wne:acds>
    <wne:acd wne:argValue="AgBja4dlXwBsUYdl" wne:acdName="acd0" wne:fciIndexBasedOn="0065"/>
    <wne:acd wne:argValue="AgCMTqd+B2iYmF8AbFGHZQ==" wne:acdName="acd1" wne:fciIndexBasedOn="0065"/>
    <wne:acd wne:argValue="AgAATqd+B2iYmF8AbFGHZQ==" wne:acdName="acd2" wne:fciIndexBasedOn="0065"/>
    <wne:acd wne:argValue="AgAHaJiYXwBsUYdl" wne:acdName="acd3" wne:fciIndexBasedOn="0065"/>
    <wne:acd wne:argValue="AgAJTqd+B2iYmF8AbFGHZQ=="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2U1MjE4NjExMDQxZThhMjgyNTAwMmUzZDBjN2EifQ=="/>
  </w:docVars>
  <w:rsids>
    <w:rsidRoot w:val="00000000"/>
    <w:rsid w:val="031E451D"/>
    <w:rsid w:val="13086410"/>
    <w:rsid w:val="16BC1C2B"/>
    <w:rsid w:val="17D36241"/>
    <w:rsid w:val="1C8D5886"/>
    <w:rsid w:val="1EBD5A99"/>
    <w:rsid w:val="26B20C20"/>
    <w:rsid w:val="295D508C"/>
    <w:rsid w:val="2BA5779D"/>
    <w:rsid w:val="3C993249"/>
    <w:rsid w:val="495105E0"/>
    <w:rsid w:val="4B2C756C"/>
    <w:rsid w:val="54214CFE"/>
    <w:rsid w:val="54B24092"/>
    <w:rsid w:val="562100E0"/>
    <w:rsid w:val="62ED6545"/>
    <w:rsid w:val="67FC01B5"/>
    <w:rsid w:val="6AF97ECD"/>
    <w:rsid w:val="6B5174A7"/>
    <w:rsid w:val="6C3D46A8"/>
    <w:rsid w:val="6D2531FB"/>
    <w:rsid w:val="724303E3"/>
    <w:rsid w:val="734E761B"/>
    <w:rsid w:val="77D03582"/>
    <w:rsid w:val="78A16D51"/>
    <w:rsid w:val="790A0023"/>
    <w:rsid w:val="7A9D62DD"/>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10"/>
    <w:basedOn w:val="1"/>
    <w:qFormat/>
    <w:uiPriority w:val="0"/>
    <w:pPr>
      <w:spacing w:line="560" w:lineRule="exact"/>
      <w:ind w:firstLine="640" w:firstLineChars="200"/>
      <w:outlineLvl w:val="9"/>
    </w:pPr>
    <w:rPr>
      <w:rFonts w:hint="eastAsia" w:ascii="仿宋_GB2312" w:hAnsi="仿宋_GB2312" w:eastAsia="仿宋_GB2312" w:cs="仿宋_GB2312"/>
      <w:color w:val="000000" w:themeColor="text1"/>
      <w:sz w:val="32"/>
      <w:szCs w:val="32"/>
      <w14:textFill>
        <w14:solidFill>
          <w14:schemeClr w14:val="tx1"/>
        </w14:solidFill>
      </w14:textFill>
    </w:rPr>
  </w:style>
  <w:style w:type="paragraph" w:customStyle="1" w:styleId="11">
    <w:name w:val="公文正文"/>
    <w:basedOn w:val="1"/>
    <w:qFormat/>
    <w:uiPriority w:val="0"/>
    <w:pPr>
      <w:spacing w:line="560" w:lineRule="exact"/>
      <w:ind w:firstLine="640" w:firstLineChars="200"/>
      <w:outlineLvl w:val="9"/>
    </w:pPr>
    <w:rPr>
      <w:rFonts w:hint="eastAsia" w:ascii="仿宋_GB2312" w:hAnsi="仿宋_GB2312" w:eastAsia="仿宋_GB2312" w:cs="仿宋_GB2312"/>
      <w:color w:val="000000" w:themeColor="text1"/>
      <w:sz w:val="32"/>
      <w:szCs w:val="32"/>
      <w14:textFill>
        <w14:solidFill>
          <w14:schemeClr w14:val="tx1"/>
        </w14:solidFill>
      </w14:textFill>
    </w:rPr>
  </w:style>
  <w:style w:type="paragraph" w:customStyle="1" w:styleId="12">
    <w:name w:val="二级标题_公文"/>
    <w:basedOn w:val="1"/>
    <w:qFormat/>
    <w:uiPriority w:val="0"/>
    <w:pPr>
      <w:spacing w:line="560" w:lineRule="exact"/>
      <w:ind w:firstLine="640" w:firstLineChars="200"/>
      <w:outlineLvl w:val="1"/>
    </w:pPr>
    <w:rPr>
      <w:rFonts w:hint="eastAsia" w:ascii="楷体_GB2312" w:hAnsi="楷体_GB2312" w:eastAsia="楷体_GB2312" w:cs="楷体_GB2312"/>
      <w:color w:val="000000" w:themeColor="text1"/>
      <w:sz w:val="32"/>
      <w:szCs w:val="32"/>
      <w14:textFill>
        <w14:solidFill>
          <w14:schemeClr w14:val="tx1"/>
        </w14:solidFill>
      </w14:textFill>
    </w:rPr>
  </w:style>
  <w:style w:type="paragraph" w:customStyle="1" w:styleId="13">
    <w:name w:val="正文_正文"/>
    <w:basedOn w:val="1"/>
    <w:qFormat/>
    <w:uiPriority w:val="0"/>
    <w:pPr>
      <w:spacing w:line="560" w:lineRule="exact"/>
      <w:ind w:firstLine="640" w:firstLineChars="200"/>
      <w:outlineLvl w:val="9"/>
    </w:pPr>
    <w:rPr>
      <w:rFonts w:hint="eastAsia" w:ascii="仿宋_GB2312" w:hAnsi="仿宋_GB2312" w:eastAsia="仿宋_GB2312" w:cs="仿宋_GB2312"/>
      <w:color w:val="000000" w:themeColor="text1"/>
      <w:sz w:val="32"/>
      <w:szCs w:val="32"/>
      <w14:textFill>
        <w14:solidFill>
          <w14:schemeClr w14:val="tx1"/>
        </w14:solidFill>
      </w14:textFill>
    </w:rPr>
  </w:style>
  <w:style w:type="paragraph" w:customStyle="1" w:styleId="14">
    <w:name w:val="一级标题_公文"/>
    <w:basedOn w:val="1"/>
    <w:link w:val="19"/>
    <w:qFormat/>
    <w:uiPriority w:val="0"/>
    <w:pPr>
      <w:adjustRightInd w:val="0"/>
      <w:snapToGrid w:val="0"/>
      <w:spacing w:line="560" w:lineRule="exact"/>
      <w:ind w:firstLine="640" w:firstLineChars="200"/>
      <w:outlineLvl w:val="0"/>
    </w:pPr>
    <w:rPr>
      <w:rFonts w:hint="eastAsia" w:ascii="黑体" w:hAnsi="黑体" w:eastAsia="黑体" w:cs="黑体"/>
      <w:sz w:val="32"/>
      <w:szCs w:val="32"/>
    </w:rPr>
  </w:style>
  <w:style w:type="paragraph" w:customStyle="1" w:styleId="15">
    <w:name w:val="正文_公文"/>
    <w:basedOn w:val="1"/>
    <w:link w:val="18"/>
    <w:qFormat/>
    <w:uiPriority w:val="0"/>
    <w:pPr>
      <w:spacing w:line="560" w:lineRule="exact"/>
      <w:ind w:firstLine="640" w:firstLineChars="200"/>
      <w:outlineLvl w:val="9"/>
    </w:pPr>
    <w:rPr>
      <w:rFonts w:hint="eastAsia" w:ascii="仿宋_GB2312" w:hAnsi="仿宋_GB2312" w:eastAsia="仿宋_GB2312" w:cs="仿宋_GB2312"/>
      <w:color w:val="000000" w:themeColor="text1"/>
      <w:sz w:val="32"/>
      <w:szCs w:val="32"/>
      <w14:textFill>
        <w14:solidFill>
          <w14:schemeClr w14:val="tx1"/>
        </w14:solidFill>
      </w14:textFill>
    </w:rPr>
  </w:style>
  <w:style w:type="paragraph" w:customStyle="1" w:styleId="16">
    <w:name w:val="标题_公文"/>
    <w:basedOn w:val="1"/>
    <w:qFormat/>
    <w:uiPriority w:val="0"/>
    <w:pPr>
      <w:adjustRightInd w:val="0"/>
      <w:snapToGrid w:val="0"/>
      <w:spacing w:line="560" w:lineRule="exact"/>
      <w:jc w:val="center"/>
      <w:outlineLvl w:val="0"/>
    </w:pPr>
    <w:rPr>
      <w:rFonts w:hint="eastAsia" w:ascii="方正小标宋_GBK" w:hAnsi="方正小标宋_GBK" w:eastAsia="方正小标宋_GBK" w:cs="方正小标宋_GBK"/>
      <w:color w:val="000000" w:themeColor="text1"/>
      <w:sz w:val="44"/>
      <w:szCs w:val="44"/>
      <w14:textFill>
        <w14:solidFill>
          <w14:schemeClr w14:val="tx1"/>
        </w14:solidFill>
      </w14:textFill>
    </w:rPr>
  </w:style>
  <w:style w:type="paragraph" w:customStyle="1" w:styleId="17">
    <w:name w:val="三级标题_公文"/>
    <w:basedOn w:val="1"/>
    <w:next w:val="15"/>
    <w:qFormat/>
    <w:uiPriority w:val="0"/>
    <w:pPr>
      <w:spacing w:line="560" w:lineRule="exact"/>
      <w:ind w:firstLine="640" w:firstLineChars="200"/>
      <w:outlineLvl w:val="2"/>
    </w:pPr>
    <w:rPr>
      <w:rFonts w:hint="eastAsia" w:ascii="仿宋_GB2312" w:hAnsi="仿宋_GB2312" w:eastAsia="仿宋_GB2312" w:cs="仿宋_GB2312"/>
      <w:sz w:val="32"/>
      <w:szCs w:val="32"/>
    </w:rPr>
  </w:style>
  <w:style w:type="character" w:customStyle="1" w:styleId="18">
    <w:name w:val="正文_公文 Char"/>
    <w:link w:val="15"/>
    <w:qFormat/>
    <w:uiPriority w:val="0"/>
    <w:rPr>
      <w:rFonts w:hint="eastAsia" w:ascii="仿宋_GB2312" w:hAnsi="仿宋_GB2312" w:eastAsia="仿宋_GB2312" w:cs="仿宋_GB2312"/>
      <w:color w:val="000000" w:themeColor="text1"/>
      <w:sz w:val="32"/>
      <w:szCs w:val="32"/>
      <w14:textFill>
        <w14:solidFill>
          <w14:schemeClr w14:val="tx1"/>
        </w14:solidFill>
      </w14:textFill>
    </w:rPr>
  </w:style>
  <w:style w:type="character" w:customStyle="1" w:styleId="19">
    <w:name w:val="一级标题_公文 Char"/>
    <w:link w:val="14"/>
    <w:qFormat/>
    <w:uiPriority w:val="0"/>
    <w:rPr>
      <w:rFonts w:hint="eastAsia"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2023-04-12T01:51:00Z</dcterms:created>
  <dc:creator>st_Fan</dc:creator>
  <cp:lastModifiedBy>null</cp:lastModifiedBy>
  <dcterms:modified xsi:type="dcterms:W3CDTF">2023-08-08T09:22:37Z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3930F72A7BC54D06A0D96E14A9545BE1_12</vt:lpwstr>
  </property>
</Properties>
</file>