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职业病危害监测及评价管理制度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明确职业病危害日常检测及评价管理制度的目的、依据。</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确定职业病危害日常检测及评价管理负责部门、责任人。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明确职业病危害因素的检测人员、检测场所、检测周期、检测标准和依据、检测内容、检测设备、检测方法和检测要求、上报要求、备档要求。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明确对职业病危害因素检测后的评价分析、评价结果、预防和整改和治理措施、上报内容及时限。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明确作业场所职业病危害因素检测结果公布地点及事宜。</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职业病危害监测及评价管理制度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为做好用人单位职业病危害检测与评价工作，使作业场所职业病危害因素的强度或浓度符合国家职业卫生标准，有效预防职业病危害，切实保障员工健康，根据《职业病防治法》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《工作场所职业卫生监督管理规定》的有关规定，制定本制度。</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职业卫生管理机构负责本单位职业病危害因素检测及评价管理制度的实施与监督，并做好制定、修订和落实工作。</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职业卫生管理部门牵头，负责组织各个生产车间等对生产作业场所存在的粉尘、噪声、高温、毒物等危害因素及危害点进行确定和辨识，并按照职业卫生管理标准进行定期检测及评估，确定每一个点的危害程度。</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用人单位应设置设专人，负责日常监测和管理工作，建立本单位的职业病危害因素监测档案，并妥善保存。</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职业卫生管理部门负责联系职业卫生技术服务机构，定期对作业现场的危害因素进行检测及评价</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职业病危害严重的用人单位，应当委托具有相应资质的职业卫生技术服务机构，每年至少进行一次职业病危害因素检测，每三年至少进行一次职业病危害现状评价。</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职业病危害一般的用人单位，应当委托具有相应资质的职业卫生技术服务机构，每三年至少进行一次职业病危害因素检测。</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检测与评价结果应及时向劳动者公布，并上报当地</w:t>
      </w:r>
      <w:r>
        <w:rPr>
          <w:rFonts w:hint="eastAsia" w:ascii="仿宋_GB2312" w:hAnsi="仿宋_GB2312" w:eastAsia="仿宋_GB2312" w:cs="仿宋_GB2312"/>
          <w:sz w:val="32"/>
          <w:szCs w:val="32"/>
          <w:lang w:eastAsia="zh-CN"/>
        </w:rPr>
        <w:t>卫生健康监督管理</w:t>
      </w:r>
      <w:r>
        <w:rPr>
          <w:rFonts w:hint="eastAsia" w:ascii="仿宋_GB2312" w:hAnsi="仿宋_GB2312" w:eastAsia="仿宋_GB2312" w:cs="仿宋_GB2312"/>
          <w:sz w:val="32"/>
          <w:szCs w:val="32"/>
        </w:rPr>
        <w:t>部门备案。</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检测或者评价人员进入现场必须佩戴安全帽、工作服、防护手套、防护眼镜、防毒面罩等相关防护用品。</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有新、改、扩建的工程建设项目和技术改造项目，可能产生职业病危害的，应当按照有关规定，进行职业病危害预评价、职业病防护设施设计、职业病危害控制效果评价。</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检测结果发现作业场所职业病危害因素浓度或强度超过职业接触限值时，应及时采取有效的治理措施，治理措施难度较大的应制订规划，限期整改到位。</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职业病危害防护设施在投入使用前和设备大修后，应进行危害因素浓度或强度检测和评价。</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w:t>
      </w:r>
      <w:r>
        <w:rPr>
          <w:rFonts w:hint="eastAsia" w:ascii="仿宋_GB2312" w:hAnsi="仿宋_GB2312" w:eastAsia="仿宋_GB2312" w:cs="仿宋_GB2312"/>
          <w:sz w:val="32"/>
          <w:szCs w:val="32"/>
        </w:rPr>
        <w:t>职业卫生管理部门应制定年度检测计划和经费预算，财务部门要保障检测经费的落实。</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F7A28"/>
    <w:rsid w:val="19EF7A28"/>
    <w:rsid w:val="43787E08"/>
    <w:rsid w:val="7F24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2022-07-27T06:13:00Z</dcterms:created>
  <dc:creator>千月</dc:creator>
  <cp:lastModifiedBy>千月</cp:lastModifiedBy>
  <dcterms:modified xsi:type="dcterms:W3CDTF">2022-08-08T08:57:06Z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