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月污染源随机抽查工作开展情况</w:t>
      </w:r>
    </w:p>
    <w:p>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eastAsia="黑体"/>
                <w:color w:val="000000"/>
                <w:kern w:val="0"/>
                <w:sz w:val="24"/>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pPr>
              <w:widowControl/>
              <w:jc w:val="left"/>
              <w:rPr>
                <w:rFonts w:eastAsia="黑体"/>
                <w:color w:val="000000"/>
                <w:kern w:val="0"/>
                <w:sz w:val="24"/>
              </w:rPr>
            </w:pPr>
          </w:p>
        </w:tc>
        <w:tc>
          <w:tcPr>
            <w:tcW w:w="1406" w:type="dxa"/>
            <w:vMerge w:val="continue"/>
            <w:vAlign w:val="center"/>
          </w:tcPr>
          <w:p>
            <w:pPr>
              <w:widowControl/>
              <w:jc w:val="left"/>
              <w:rPr>
                <w:rFonts w:eastAsia="黑体"/>
                <w:color w:val="000000"/>
                <w:kern w:val="0"/>
                <w:sz w:val="24"/>
              </w:rPr>
            </w:pPr>
          </w:p>
        </w:tc>
        <w:tc>
          <w:tcPr>
            <w:tcW w:w="1294" w:type="dxa"/>
            <w:vMerge w:val="continue"/>
            <w:vAlign w:val="center"/>
          </w:tcPr>
          <w:p>
            <w:pPr>
              <w:widowControl/>
              <w:jc w:val="left"/>
              <w:rPr>
                <w:rFonts w:eastAsia="黑体"/>
                <w:color w:val="000000"/>
                <w:kern w:val="0"/>
                <w:sz w:val="24"/>
              </w:rPr>
            </w:pPr>
          </w:p>
        </w:tc>
        <w:tc>
          <w:tcPr>
            <w:tcW w:w="1695" w:type="dxa"/>
            <w:vMerge w:val="continue"/>
            <w:vAlign w:val="center"/>
          </w:tcPr>
          <w:p>
            <w:pPr>
              <w:widowControl/>
              <w:jc w:val="left"/>
              <w:rPr>
                <w:rFonts w:eastAsia="黑体"/>
                <w:color w:val="000000"/>
                <w:kern w:val="0"/>
                <w:sz w:val="24"/>
              </w:rPr>
            </w:pPr>
          </w:p>
        </w:tc>
        <w:tc>
          <w:tcPr>
            <w:tcW w:w="4949" w:type="dxa"/>
            <w:vMerge w:val="continue"/>
            <w:vAlign w:val="center"/>
          </w:tcPr>
          <w:p>
            <w:pPr>
              <w:widowControl/>
              <w:jc w:val="left"/>
              <w:rPr>
                <w:rFonts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Merge w:val="continue"/>
            <w:vAlign w:val="center"/>
          </w:tcPr>
          <w:p>
            <w:pPr>
              <w:widowControl/>
              <w:spacing w:line="300" w:lineRule="exact"/>
              <w:jc w:val="left"/>
              <w:rPr>
                <w:color w:val="000000"/>
                <w:kern w:val="0"/>
                <w:sz w:val="24"/>
              </w:rPr>
            </w:pPr>
          </w:p>
        </w:tc>
        <w:tc>
          <w:tcPr>
            <w:tcW w:w="1902" w:type="dxa"/>
            <w:vMerge w:val="continue"/>
            <w:vAlign w:val="center"/>
          </w:tcPr>
          <w:p>
            <w:pPr>
              <w:widowControl/>
              <w:spacing w:line="300" w:lineRule="exact"/>
              <w:jc w:val="left"/>
              <w:rPr>
                <w:color w:val="000000"/>
                <w:kern w:val="0"/>
                <w:sz w:val="24"/>
              </w:rPr>
            </w:pPr>
          </w:p>
        </w:tc>
        <w:tc>
          <w:tcPr>
            <w:tcW w:w="1406" w:type="dxa"/>
            <w:vMerge w:val="continue"/>
            <w:vAlign w:val="center"/>
          </w:tcPr>
          <w:p>
            <w:pPr>
              <w:widowControl/>
              <w:spacing w:line="300" w:lineRule="exact"/>
              <w:jc w:val="left"/>
              <w:rPr>
                <w:color w:val="000000"/>
                <w:kern w:val="0"/>
                <w:sz w:val="24"/>
              </w:rPr>
            </w:pPr>
          </w:p>
        </w:tc>
        <w:tc>
          <w:tcPr>
            <w:tcW w:w="1294" w:type="dxa"/>
            <w:vMerge w:val="continue"/>
            <w:vAlign w:val="center"/>
          </w:tcPr>
          <w:p>
            <w:pPr>
              <w:widowControl/>
              <w:spacing w:line="300" w:lineRule="exact"/>
              <w:jc w:val="left"/>
              <w:rPr>
                <w:color w:val="000000"/>
                <w:kern w:val="0"/>
                <w:sz w:val="24"/>
              </w:rPr>
            </w:pPr>
          </w:p>
        </w:tc>
        <w:tc>
          <w:tcPr>
            <w:tcW w:w="1695" w:type="dxa"/>
            <w:vMerge w:val="continue"/>
            <w:vAlign w:val="center"/>
          </w:tcPr>
          <w:p>
            <w:pPr>
              <w:widowControl/>
              <w:spacing w:line="300" w:lineRule="exact"/>
              <w:jc w:val="left"/>
              <w:rPr>
                <w:color w:val="000000"/>
                <w:kern w:val="0"/>
                <w:sz w:val="24"/>
              </w:rPr>
            </w:pPr>
          </w:p>
        </w:tc>
        <w:tc>
          <w:tcPr>
            <w:tcW w:w="4949" w:type="dxa"/>
            <w:vMerge w:val="continue"/>
            <w:vAlign w:val="center"/>
          </w:tcPr>
          <w:p>
            <w:pPr>
              <w:widowControl/>
              <w:spacing w:line="30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pPr>
              <w:widowControl/>
              <w:jc w:val="center"/>
              <w:rPr>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pPr>
              <w:widowControl/>
              <w:jc w:val="center"/>
              <w:rPr>
                <w:rFonts w:hint="eastAsia"/>
                <w:color w:val="000000"/>
                <w:kern w:val="0"/>
                <w:sz w:val="24"/>
              </w:rPr>
            </w:pPr>
            <w:r>
              <w:rPr>
                <w:rFonts w:eastAsia="黑体"/>
                <w:color w:val="000000"/>
                <w:kern w:val="0"/>
                <w:sz w:val="24"/>
              </w:rPr>
              <w:t>抽查类别</w:t>
            </w:r>
          </w:p>
        </w:tc>
        <w:tc>
          <w:tcPr>
            <w:tcW w:w="2418" w:type="dxa"/>
            <w:vAlign w:val="center"/>
          </w:tcPr>
          <w:p>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pPr>
              <w:widowControl/>
              <w:spacing w:line="300" w:lineRule="exact"/>
              <w:jc w:val="center"/>
              <w:rPr>
                <w:color w:val="000000"/>
                <w:kern w:val="0"/>
                <w:sz w:val="24"/>
              </w:rPr>
            </w:pPr>
          </w:p>
        </w:tc>
        <w:tc>
          <w:tcPr>
            <w:tcW w:w="4949"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Align w:val="center"/>
          </w:tcPr>
          <w:p>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p>
      <w:pPr>
        <w:spacing w:line="560" w:lineRule="exact"/>
        <w:ind w:firstLine="640" w:firstLineChars="200"/>
        <w:rPr>
          <w:rFonts w:eastAsia="仿宋_GB2312"/>
          <w:sz w:val="32"/>
          <w:szCs w:val="32"/>
        </w:rPr>
      </w:pPr>
      <w:r>
        <w:rPr>
          <w:rFonts w:eastAsia="黑体"/>
          <w:sz w:val="32"/>
          <w:szCs w:val="32"/>
        </w:rPr>
        <w:t>二、不适合随机抽查事项清单</w:t>
      </w:r>
    </w:p>
    <w:p>
      <w:pPr>
        <w:spacing w:line="560" w:lineRule="exact"/>
        <w:ind w:firstLine="640" w:firstLineChars="200"/>
        <w:rPr>
          <w:rFonts w:eastAsia="仿宋_GB2312"/>
          <w:sz w:val="32"/>
          <w:szCs w:val="32"/>
        </w:rPr>
      </w:pPr>
      <w:r>
        <w:rPr>
          <w:rFonts w:eastAsia="仿宋_GB2312"/>
          <w:sz w:val="32"/>
          <w:szCs w:val="32"/>
        </w:rPr>
        <w:t>无不适合随机抽查事项清单。</w:t>
      </w:r>
    </w:p>
    <w:p>
      <w:pPr>
        <w:spacing w:line="560" w:lineRule="exact"/>
        <w:ind w:firstLine="640" w:firstLineChars="200"/>
        <w:rPr>
          <w:rFonts w:eastAsia="黑体"/>
          <w:sz w:val="32"/>
          <w:szCs w:val="32"/>
        </w:rPr>
      </w:pPr>
      <w:r>
        <w:rPr>
          <w:rFonts w:eastAsia="黑体"/>
          <w:sz w:val="32"/>
          <w:szCs w:val="32"/>
        </w:rPr>
        <w:t>三、抽查情况</w:t>
      </w:r>
    </w:p>
    <w:p>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lang w:val="zh-CN"/>
        </w:rPr>
        <w:t>2024年</w:t>
      </w:r>
      <w:r>
        <w:rPr>
          <w:rFonts w:hint="eastAsia" w:ascii="仿宋_GB2312" w:hAnsi="仿宋_GB2312" w:eastAsia="仿宋_GB2312"/>
          <w:sz w:val="32"/>
          <w:szCs w:val="24"/>
          <w:highlight w:val="none"/>
          <w:lang w:val="en-US" w:eastAsia="zh-CN"/>
        </w:rPr>
        <w:t>8</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547</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46</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126</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，专项双随机74家次，被抽查单位具体情况见下表：</w:t>
      </w:r>
    </w:p>
    <w:p>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京环检[2024]08300517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北京蓝宝商务大厦有限公司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91110101101210277Q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京环检[2024]08200112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北京市第五十五中学</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12110101400784668J</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京环检[2024]08300386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北京羊上羊餐饮服务有限公司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91110101MAD2JE9E6F</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京环检[2024]08130308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北京禧龙宾馆管理有限公司夕照寺店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911101015769128385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京环检[2024]08270645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北京思味道酒家</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92110101L44736557Y</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京环检[2024]08270643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北京京泰龙国际大酒店管理有限公司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91110101758235233M</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京环检[2024]08270644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北京伍丁桶烧餐饮有限公司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91110101MA01CKY397</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孙静,郭琨,吕小军,冯朔</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京环检[2024]08290403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北京市大兴区爱乐恩幼儿园（北京市红星幼儿园）</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52110115MJ03398477</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2024/8/29</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京环检[2024]08280431</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北京市盛源财神餐厅有限公司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91110101MA00FGPJ7P</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京环检[2024]08050428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北京东方道朴文化资产运营管理有限公司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91110101053649735Q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京环检[2024]08220554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北京市安泰祥物业管理有限公司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91110101101254229M</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京环检[2024]08080478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北京大印图文快印有限责任公司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91110101MA019FF706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京环检[2024]08060780</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北京大地好客宾馆有限公司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92110101MA00CHF55K</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京环检[2024]08210476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北京晟富豪宾馆有限责任公司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91110101634301024J</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京环检[2024]08010515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北京维素餐饮管理有限公司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91110111MA01AKQ02C</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京环检[2024]08200668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北京银达物业管理有限责任公司（元嘉国际公寓锅炉房）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91110101633097949A</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京环检[2024]08120234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北京天坛饭店有限公司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911101011014991979</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京环检[2024]08200034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北京稻禾香餐饮管理有限公司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91110101MACMEUXT41</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京环检[2024]08200466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北京兴银龙企业管理中心</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91110102700139599C</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京环检[2024]08120232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北京兴奎小吃店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92110101L788733659</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张健,齐笑祎</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京环检[2024]08200452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北京松韵那家餐饮有限公司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91110101MA017E3B3Q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京环检[2024]08160082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北京准噶尔明珠酒店有限责任公司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91110101MA003MWR8M</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京环检[2024]08010277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北京中宠伴侣动物医院有限公司动物医院项目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91110101MA01TT1YXB</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京环检[2024]08140159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北京东方铭悦酒店管理有限公司餐饮项目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91110101582586506W</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京环检[2024]08150139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北京启方物业管理有限责任公司（安外东河沿小区锅炉房）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91110101735584705M</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京环检[2024]08130371</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北京首华物业管理有限公司演乐5号锅炉房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京环检[2024]08140488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北京梨花遍地开餐饮店（个体工商户）</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92110101MAD5YN5F8B</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京环检[2024]08140434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北京聚福宾馆</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91110101778617837H</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京环检[2024]08050426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北京地坛口腔门诊部迁址项目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521101017521554943</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京环检[2024]08050429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国汉鸿伟超余（北京）商贸有限公司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91110101MA01L6LC0U</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京环检[2024]08020296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上海善宴餐饮管理有限公司北京工体北路店</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91110101569452618A</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京环检[2024]08140112</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北京首华物业管理有限公司李村1号楼锅炉房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京环检[2024]08130409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中国社会科学院服务局（张自忠路3号院锅炉房）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12100000400013185P</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京环检[2024]08130275</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北京兰西西一餐饮服务有限公司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91110101MAD7GR809H</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京环检[2024]08130273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北京金街德福餐饮管理有限公司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91110101MAD7L9ED1K</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京环检[2024]08070647</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北京市热力集团有限责任公司东城分公司（十字坡西里锅炉房）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京环检[2024]08120034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北京喜悦荟餐饮管理有限公司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91110101MADDL0YC1U</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京环检[2024]08080484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北京崇远万诚物业管理有限责任公司（下井村锅炉房）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91110101700028696Q</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京环检[2024]08080451</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中国图书进出口（集团）总公司新建燃气锅炉项目</w:t>
            </w:r>
          </w:p>
        </w:tc>
        <w:tc>
          <w:tcPr>
            <w:tcW w:w="2505" w:type="dxa"/>
            <w:tcBorders>
              <w:top w:val="single" w:color="auto" w:sz="4" w:space="0"/>
              <w:left w:val="single" w:color="auto" w:sz="4" w:space="0"/>
              <w:bottom w:val="single" w:color="auto" w:sz="4" w:space="0"/>
              <w:right w:val="single" w:color="auto" w:sz="4" w:space="0"/>
            </w:tcBorders>
            <w:vAlign w:val="bottom"/>
          </w:tcPr>
          <w:p>
            <w:pPr>
              <w:jc w:val="center"/>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京环检[2024]08020294</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北京花市关忠动物医院有限责任公司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91110101MA00EDCY3U</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京环检[2024]08020293</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服务中心供热管道工程</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12100000400009717C</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京环检[2024]08070438</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湊湊餐饮管理有限公司北京王府井大街店扩建项目</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91110101MA00AT5W44</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京环检[2024]08080296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北京李记前门包子餐饮有限公司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91110101MA020TYX4T</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孙敬敏,邓筱篪</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京环检[2024]08060526</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北京市热力集团有限责任公司东城分公司（甘雨锅炉房）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京环检[2024]08060431</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北京享幸福餐饮管理有限公司</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91110101MACFKR5J23</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2024/8/6</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842"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京环检[2024]08020479</w:t>
            </w:r>
          </w:p>
        </w:tc>
        <w:tc>
          <w:tcPr>
            <w:tcW w:w="3300"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中房能源科技有限公司（北河沿锅炉房）</w:t>
            </w:r>
          </w:p>
        </w:tc>
        <w:tc>
          <w:tcPr>
            <w:tcW w:w="250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91110108344407146K</w:t>
            </w:r>
          </w:p>
        </w:tc>
        <w:tc>
          <w:tcPr>
            <w:tcW w:w="184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2024/8/5</w:t>
            </w:r>
          </w:p>
        </w:tc>
        <w:tc>
          <w:tcPr>
            <w:tcW w:w="17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孙敬敏,陈炳辉,张乃欣</w:t>
            </w:r>
          </w:p>
        </w:tc>
        <w:tc>
          <w:tcPr>
            <w:tcW w:w="155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
    <w:p>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p>
      <w:pPr>
        <w:widowControl/>
        <w:numPr>
          <w:ilvl w:val="0"/>
          <w:numId w:val="0"/>
        </w:numPr>
        <w:spacing w:line="400" w:lineRule="exact"/>
        <w:jc w:val="left"/>
        <w:rPr>
          <w:rFonts w:eastAsia="仿宋_GB2312"/>
          <w:bCs/>
          <w:color w:val="000000"/>
          <w:kern w:val="0"/>
          <w:sz w:val="32"/>
          <w:szCs w:val="32"/>
        </w:rPr>
      </w:pPr>
    </w:p>
    <w:tbl>
      <w:tblPr>
        <w:tblStyle w:val="3"/>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京环检[2024]08300740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上海森巴餐饮管理有限公司北京三分公司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91110101MACXTM1A5T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京环检[2024]08300710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北京王府井大董烤鸭店有限公司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91110101059219090B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京环检[2024]08300697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北京万物皆可烫餐饮管理有限公司北京市东城区分公司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91110101MAD71MM10F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京环检[2024]08300677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北京百香铭餐饮管理有限公司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91110101MAD6QG2980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京环检[2024]08300630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北京兰西西一餐饮服务有限公司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91110101MAD7GR809H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京环检[2024]08300603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北京初色渐浓餐饮管理有限公司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91110105MA002N6251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京环检[2024]08060292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本纯道餐饮管理有限公司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911101083483373257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北京天水来餐饮管理有限公司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911101055906947506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京环检[2024]08070375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北京市权茂小鲜餐饮有限公司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91110114MA04FXRL65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京环检[2024]08160415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北京赛得味餐饮有限公司东城第一分公司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911101015636985961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京环检[2024]08060524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北京花家怡园金宝餐饮有限公司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91110101589062764A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京环检[2024]08160409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北京太兴餐饮管理有限公司东方广场分店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91110101567421295P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北京梓铭餐饮服务有限公司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91110101MAD8E3JT0D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京环检[2024]08160436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北京帅府鑫园酒楼</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9111010175331467XX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京环检[2024]08060381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北京恒兴德餐厅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92110101L26437289Y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京环检[2024]08060498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北京麦当劳食品有限公司金鱼胡同餐厅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91110101MA01QY82XK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北京南洋锦瑞荷餐饮有限公司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911101017426031506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京环检[2024]08060569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北京和丰禾泽餐饮管理有限公司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91110101MA008CD734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元气寿司企业管理（上海）有限公司北京分公司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91110101306544289H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北京桃娘餐饮管理有限公司东城分公司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91110101MABWWYLY53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湊湊餐饮管理有限公司北京王府井大街店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91110101MA00AT5W44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京环检[2024]08060413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北京豫香玲平餐厅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ZF1101010010150002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北京城里的小时光餐饮管理有限公司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91110105MA0037BN0X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京环检[2024]08060193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北京隆和居美食城有限责任公司分店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91110101801315360X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王伟华,孟魁,卢欣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京环检[2024]08160292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北京大食代餐饮有限公司东城区分公司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91110101X0010212XX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京环检[2024]08160388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北京金湖餐饮有限公司东方广场分店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9111010159767287XB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京环检[2024]08060487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北京涌鑫茂源餐饮管理有限公司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91110101MA04FL2X2K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京环检[2024]08160400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哈尔滨新宝澳门酒店管理有限公司北京六顺天地小吃店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91110101556888893N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京环检[2024]08210626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北京宫正味大酒楼第一分店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91110101681237504L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京环检[2024]08210614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北京鑫山好园餐饮服务有限公司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91110101MA008MAA6G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京环检[2024]08210607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北京东单泰乐餐厅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92110101L31140690B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北京兴鼎源企业管理有限公司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91110101MA01RT354P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北京新思思酒家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92110101L44797800T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北京懿佳骏餐饮管理有限责任公司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91110101MA01G8MC5G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北京甜怡霖餐饮服务有限公司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91110101MA01GE740L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北京喜博餐饮店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91110101MA01CNFX1R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北京福凌曦餐饮有限责任公司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91110101553070770W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通用磨坊贸易（上海）有限公司北京安贞店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91110000688351369D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京环检[2024]08210468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北京米兰秋樱餐饮有限公司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91110101678220816U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京环检[2024]08210445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北京馋嘴鱼乡餐饮有限公司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911101017493615374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京环检[2024]08060546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北京神洲四海餐饮管理有限公司王府井分公司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91110101348290846W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卢欣,王伟华,杨雅芬</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京环检[2024]08060442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北京牛排家西餐有限公司王府井店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91110101MA01964L04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北京佐藤博美餐饮管理有限公司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91110101MA04B6381C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北京金隅酒店管理有限公司安贞分公司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91110101593848815B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京环检[2024]08190516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北京松鹤楼苏灶面餐饮管理有限公司安贞桥店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91110101MAC0RAP45F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京环检[2024]08190509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北京羲和小馆餐饮有限公司第六分公司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91110101MA04C61K27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北京灵感之茶餐饮管理有限公司安贞分公司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91110101MA7FTNC51U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北京悦活餐饮管理有限责任公司第二十分店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91110101MA00E91K8L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汉堡王（北京）餐饮管理有限公司北三环东路分公司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91110101MA003GEL8W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沃歌斯（天津）餐饮管理有限公司北京第十三分公司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91110101MA0188WJ27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北京水果先生餐饮管理有限公司东城第六分店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91110101MA006C0Y09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北京牧尚鲜生餐饮服务有限公司东城第一分公司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91110101MA01FUTQ97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北京金鼎轩酒楼有限责任公司安贞里分店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91110101690009191U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北京悦活餐饮管理有限责任公司第三十二分店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91110101MA01WB07X1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郭琨,吕小军,冯朔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京环检[2024]08080086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北京大董安贞环贸餐饮有限公司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91110101MA7NB8R8X8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京环检[2024]08190403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北京德隅隅餐饮管理有限公司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91110101MA7G5QQ32F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北京杏花堂安贞餐饮有限公司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91110101MA01YGBFXB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北京俏江南餐饮管理有限公司安贞餐饮分公司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91110101592398250H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北京金湖餐饮有限公司金湖环贸分店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91110101693278098J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北京光佳餐饮管理有限公司第一分公司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91110101MA01HBE26Y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北京汤城小厨餐饮管理有限公司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911101016787592488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北京鲜鲜唯煮餐饮有限公司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911101016669456090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京环检[2024]08190311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北京荣宝汇餐饮管理有限公司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91110102057380796F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京环检[2024]08190293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束河人家（北京）餐饮管理有限公司东单分公司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91110101318285210B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京环检[2024]08150510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北京昊瑞达汽车服务有限公司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911101017614248283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东城区2024年机动车维修行业联合双随机抽查任务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京环检[2024]08150438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北京义和瑞光汽车服务有限公司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91110101560393156P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东城区2024年机动车维修行业联合双随机抽查任务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京环检[2024]08150357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北京市汇通鑫隆汽车技术服务有限公司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91110101101323052U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东城区2024年机动车维修行业联合双随机抽查任务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京环检[2024]08150182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北京金丰瑞达汽车服务有限公司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9111010175526846XY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东城区2024年机动车维修行业联合双随机抽查任务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京环检[2024]08150081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北京安惠汽车服务有限公司安定门店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9111010179599858X8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东城区2024年机动车维修行业联合双随机抽查任务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京环检[2024]08140184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北京将太无二餐饮有限责任公司东城分公司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911101016812271033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京环检[2024]08140165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上海善宴餐饮管理有限公司北京工体北路店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91110101569452618A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京环检[2024]08140166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北京芙蓉园湘遇餐饮管理有限公司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91110101MA01A8FA1H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高品,王惠,李思伦,范晶晶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京环检[2024]08130405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北京茵赫餐饮管理有限公司安定门外大街分公司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91110101MA7G5WPD47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京环检[2024]08130413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北京奈雪餐饮管理有限公司东城第五分公司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91110101MA7HT4602T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京环检[2024]08130395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意璞思（北京）餐饮管理有限公司东城第三分公司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91110101MA029YC58T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京环检[2024]08130383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北京西贝万家餐饮管理有限公司安贞桥店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91110101MA008ANT16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京环检[2024]08130366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云海肴（北京）餐饮管理有限公司东城安贞店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91110101MA007U39XJ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东城区2024年8-9月对和平里街道餐饮单位联合双随机抽查任务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北京佳群餐饮管理有限公司东城分公司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91110101MA005BW083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北京西遇餐饮管理有限公司第二分公司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91110101MAD6TCL51Y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京环检[2024]08120271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北京茶太麦田餐饮中心（有限合伙）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91110112MA0213205G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京环检[2024]08120418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北京东来顺集团有限责任公司新东安饭庄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91110101801308646D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北京容景餐饮有限公司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91110101MA01RX0A7T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北京桃花泛东单餐饮服务有限公司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91110101MA7LY6625B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北京紫福餐饮有限公司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91110101584415719Y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北京花盐街餐饮管理有限公司第二分公司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91110101MA01T4PD24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北京福记祥云餐饮有限公司东城分公司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91110101MA01TYK49M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北京雁巢餐饮有限责任公司新东安分店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91110101MA00GRY55L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春鱿记（北京）餐饮有限公司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91110114MA7LBGNC7N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京环检[2024]08120431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北京广泰鲜餐饮管理有限公司北京市东城区分公司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91110101MACWC23U39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京环检[2024]08120401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北京我爱菲霏餐饮管理有限公司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91110101MA04DTLN2E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肥汁米兰（北京）餐饮管理有限公司第一分公司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91110101MABXMTRH7P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巨蜂鸟（北京）餐饮管理有限公司王府井分公司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91110101MA00FTR34J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北京味千餐饮管理有限公司东城新东安店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91110101MA01YFK951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北京恒泰丰餐饮有限公司东城新东安分店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911101013355846508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北京喜万府餐饮中心（有限合伙）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91110101MA01QWJ83K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北京梦炭欣东桉餐饮有限公司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91110101MACU18070X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京环检[2024]08120337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北京巴奴毛肚火锅有限公司王府井分公司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91110101MA01RN331F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东城区2024年8-9月对东直门街道餐饮单位联合双随机抽查任务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高品,李思伦,范晶晶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北京陈香贵餐饮管理有限公司第十一分公司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91110101MA7D9B2T0D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北京珍仕果餐饮管理有限责任公司东城第一分店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91110101348384957E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北京麻六记餐饮管理有限公司东城分店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91110101MA04FKFM2X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北京可洛饮餐饮管理有限公司东城金鱼胡同店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91110101MA01XCUU7R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毕恩熙（北京）餐饮管理有限公司东城新东安分店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91110101MA01XRCG9D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北京煮叶餐饮管理有限公司东城第一分公司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91110101MA008U66X8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北京吉野家快餐有限公司东安门大街餐厅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91110101MA01PFCCXG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北京麦当劳食品有限公司新东安第二餐厅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91110101MA01YK9EXL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北京悦活餐饮管理有限责任公司第二十二分店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91110101MA00FE5337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北京美时美乐餐饮管理有限公司第一分公司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91110101MACM565D0H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京环检[2024]08080179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北京椿风餐饮管理有限公司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91110114MAC9LQ4164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京环检[2024]08080187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椿风（北京）餐饮有限公司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91110105MABYCB5W7U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京环检[2024]08080199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北京茵赫餐饮管理有限公司东安门二分公司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91110101MACCUQ4C8Q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北京美美与乐餐饮管理有限公司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91110101MACNT1AE9U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北京薯一餐饮管理有限公司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91110101MAD3537J90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北京大象师兄东一号餐饮有限公司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91110101MA020K4H8L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北京家墅餐饮有限公司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91110101MAC8WX0Q3G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北京锦泽龙昇餐饮管理有限公司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91110101MA0207U5X5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利日餐饮管理（上海）有限公司北京王府井大街分公司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91110101MA01DUJ521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京环检[2024]08080309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蛙来哒（北京）餐饮管理有限公司东城新东安店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91110101MA01U7GQ5E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京环检[2024]08070594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北京泰谣餐饮管理有限公司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91110101MA0206BQ8M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京环检[2024]08080244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洱遇（北京）餐饮服务有限公司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91110101MA01K7CA48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京环检[2024]08070674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北京捕星光餐饮管理有限公司北京第四分公司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91110101MACRU3BT26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京环检[2024]08070655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北京唐肴小宴餐饮管理有限公司第一分公司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91110101MA04F2YD0R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京环检[2024]08070633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捞王（上海）餐饮管理有限公司北京王府井大街店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91110101MA00C9BJ2A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京环检[2024]08070591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北京添好运餐饮管理有限公司东华门分店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91110101MABXA7GJ8A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京环检[2024]08070543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小大董（北京）餐饮管理有限公司新东安店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91110101MA009MBL8E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京环检[2024]08070502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苏州松鹤楼苏灶面餐饮管理有限公司新东安广场店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91110101MA02A1B060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京环检[2024]08070241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元气寿司企业管理（上海）有限公司北京王府井大街餐饮分店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911101010828599931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东城区2024年8-9月对东华门街道餐饮单位联合双随机抽查任务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3.专项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京环检[2024]08300156</w:t>
            </w:r>
          </w:p>
        </w:tc>
        <w:tc>
          <w:tcPr>
            <w:tcW w:w="2115"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东城区2024年公共集团专项检查任务</w:t>
            </w:r>
          </w:p>
        </w:tc>
        <w:tc>
          <w:tcPr>
            <w:tcW w:w="1815" w:type="dxa"/>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马宁,苏蕊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京环检[2024]08300168</w:t>
            </w:r>
          </w:p>
        </w:tc>
        <w:tc>
          <w:tcPr>
            <w:tcW w:w="2115"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东城区2024年公共集团专项检查任务</w:t>
            </w:r>
          </w:p>
        </w:tc>
        <w:tc>
          <w:tcPr>
            <w:tcW w:w="1815" w:type="dxa"/>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京环检[2024]08300153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东城区2024年公共集团专项检查任务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于洋,刘爽</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京环检[2024]08270746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中国医学科学院医药生物技术研究所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12100000400819808G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2024/8/30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8月专项双随机检查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京环检[2024]08230134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北京市东城区第一人民医院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12110101400809773J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张乃欣,刘畅,王淅昀,张剑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京环检[2024]06210950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中海油销售（北京）股份有限公司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91110000710927644U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(东城区)2024年新化学物质环境管理登记专项执法任务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京环检[2024]08290496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东城区2024年公共集团专项检查任务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刘爽,于洋</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京环检[2024]08290389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中国石化集团百川经济贸易有限公司北京塔河宾馆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911101013483361705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京环检[2024]08280745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北京食之有味餐饮管理有限公司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91110101MABNKXW00M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京环检[2024]08010243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北京食瀚轩餐饮管理有限公司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91110101MA01XUXMXF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北京宜元庄餐饮服务有限公司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91110101MA04C3QF20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京环检[2024]08280685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北京珺然餐饮有限公司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91110101MA04BFWW7J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京环检[2024]08280696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北京鸿鹄一品餐饮有限公司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91110101MA00924D3N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京环检[2024]08280669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北京力志叔餐饮管理有限公司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91110101MA005H0D7R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京环检[2024]08230189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北京居然家政物业管理有限公司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91110101696394158U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北平三兄弟（北京）餐饮有限公司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91110101801217111C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北京蜀鼎香酒家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92110101L7330848XD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北京丰声斋餐饮有限责任公司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92110101L05398903L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京环检[2024]08280220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北京市交安交通设施器材厂</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9111000063370354XD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8月专项双随机检查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京环检[2024]08280248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北京通盈物业管理有限公司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91110101633650804Y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京环检[2024]08280128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北京亚洲大酒店有限公司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911100006259017224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北京隆中情餐饮有限公司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91110101563692741C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北京诚信家家酒楼有限公司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91110101MA017B4J7C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京环检[2024]08230113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北京君亭酒店管理有限公司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91110101MAC7C2EA7C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京环检[2024]08200252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北京东方广场有限公司东方君悦大酒店分公司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91110101X00092371T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京环检[2024]08200327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北京天伦王朝饭店有限公司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91110000741551301B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京环检[2024]08190108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北京保立信物业管理有限公司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91110101600059479P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北京聚点餐饮有限责任公司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91110101771961328Y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北京彼得堡西餐厅有限责任公司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91110101782510522P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北京京涮餐饮有限责任公司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91110101MA0199AR6K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京环检[2024]08060150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御掌柜（北京）餐饮有限公司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91110101790693234R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北京簋街怡园餐饮有限公司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911101017754858915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北京东兴楼餐饮管理服务有限责任公司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91110101762980711B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京环检[2024]08270435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北京汇园嗨辣餐饮中心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91110101782515139U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京环检[2024]08270343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北京薏人薏份餐饮管理有限公司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91110101MA004D3U9T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8月27日TVOC高值点位专项双随机抽查任务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京环检[2024]08270305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北京面兑面餐饮有限公司朝阳门分店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91110101085536225X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8月27日TVOC高值点位专项双随机抽查任务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京环检[2024]08230063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北京和平宾馆有限公司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91110000101304628H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京环检[2024]08190298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刘爽,于洋</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京环检[2024]08200499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北京摹闺餐饮有限公司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91110101355264128E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京环检[2024]08200435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北京市东城区人民政府东四街道办事处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1111010100003346XX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京环检[2024]08220375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北京好池餐饮有限公司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91110101MA01PXTT6C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8月22日TVOC高值点位专项双随机抽查任务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京环检[2024]08220389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北京芳草欣科贸有限公司新湖南菜酒家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911101017967444690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东城区2024年8月五分队餐饮专项双随机抽查任务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京环检[2024]08220384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花舍餐饮管理（北京）有限公司第二分公司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91110101678794625E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东城区2024年8月五分队餐饮专项双随机抽查任务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京环检[2024]08220378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北京万龙洲饮食有限责任公司广渠门海鲜大酒楼</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91110101MA001EC15N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东城区2024年8月五分队餐饮专项双随机抽查任务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北京弯弯月亮餐厅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92110101L63139213H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京环检[2024]08220368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北京市东城区同春酒楼</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91110101MA006F0000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8月22日TVOC高值点位专项双随机抽查任务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北京一族一道餐饮管理有限公司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911101010896459982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北京疆川餐饮服务有限公司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91110101MA01RR6M7B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北京朝记餐饮管理有限公司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91110101MA01HGXY2Q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京环检[2024]08210521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北京艾尚客餐饮有限公司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9111010131799113X8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京环检[2024]08210392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北京江上源粥店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9111010170015879XF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陈炳辉,张剑,侯佳楠,刘畅,王淅昀,张乃欣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京环检[2024]08210205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北京聚合顺餐饮有限责任公司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91110101MAC4FGHM6A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京环检[2024]08210363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奇点合创餐饮管理（北京）有限公司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91110105MA01LT8D9Y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陈炳辉,张剑,侯佳楠,刘畅,王淅昀,张乃欣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京环检[2024]08210379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北京金色家园餐饮有限公司（中華传统牛肉面）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9111010170024855XT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京环检[2024]08210370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北京高味屋包子铺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92110101L24374026E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京环检[2024]08210199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北京市龙绍衡商务大厦有限公司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91110101633681491N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8月20日PM2.5排名后10名街道专项双随机抽查任务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张浩,郑冰,张浩,郑冰,郭琨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北京陷老满餐饮管理有限责任公司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91110101780236507U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京环检[2024]08200096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刘爽,于洋</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北京鹏记电烤羊肉串餐饮有限公司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91110101MA7MGWXX4U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北京市京涛餐饮有限责任公司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91110101L00244841T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京环检[2024]08200525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北京满恒福餐饮有限责任公司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91110101318034892Q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京环检[2024]08200492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北京满锅金涮肉馆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92110101MA00GT5483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东城区2024年8月东四街道餐饮专项双随机抽查任务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京环检[2024]08190063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北京崇文·新世界房地产发展有限公司新世界酒店分公司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911101010918847015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北京川爽三人行餐饮管理有限公司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91110101MA01FHBB63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郑冰,张浩,吕小军</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北京鸿宝源餐饮管理服务有限公司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91110101MA01Q9WG9X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北京丝路轩清真餐饮有限公司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91110101MA008MNP1J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马兰拉面快餐连锁有限责任公司北京和平里北街分店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911101017526072433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京环检[2024]08140401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北京有余汇福餐饮管理有限公司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91110101MA01T8FDX7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京环检[2024]08140384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北京恒和辉餐饮有限公司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91110101MA009KQY4P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京环检[2024]08140349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北京涮火捞餐饮有限公司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91110101MA01MH899P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京环检[2024]08130075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京环检[2024]08050576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北京安外青年湖利民小吃店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92110101MA00DM0N6P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郑冰,张浩,吕小军</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京环检[2024]08010467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北京创意食代餐饮管理有限公司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91110101664608895T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郑冰,张浩,吕小军</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京环检[2024]08010464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北京鑫麦楼餐饮有限公司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91110101MA01PG884F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2024/8/1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8月油烟投诉前三街道专项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Pr>
        <w:widowControl/>
        <w:numPr>
          <w:ilvl w:val="0"/>
          <w:numId w:val="0"/>
        </w:numPr>
        <w:spacing w:line="400" w:lineRule="exact"/>
        <w:jc w:val="left"/>
        <w:rPr>
          <w:rFonts w:eastAsia="仿宋_GB2312"/>
          <w:bCs/>
          <w:color w:val="000000"/>
          <w:kern w:val="0"/>
          <w:sz w:val="32"/>
          <w:szCs w:val="32"/>
        </w:rPr>
      </w:pPr>
    </w:p>
    <w:p>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c2NzNmZDhmN2MzNjUzNzRkNjg0ODhiNWM0NWUifQ=="/>
  </w:docVars>
  <w:rsids>
    <w:rsidRoot w:val="00172A27"/>
    <w:rsid w:val="00AF6B53"/>
    <w:rsid w:val="00B86D80"/>
    <w:rsid w:val="014F7062"/>
    <w:rsid w:val="021E7974"/>
    <w:rsid w:val="03F3714E"/>
    <w:rsid w:val="06580931"/>
    <w:rsid w:val="0985626C"/>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56E134E"/>
    <w:rsid w:val="36630666"/>
    <w:rsid w:val="366B077E"/>
    <w:rsid w:val="376A1AC3"/>
    <w:rsid w:val="385327EE"/>
    <w:rsid w:val="393A1F2A"/>
    <w:rsid w:val="39852271"/>
    <w:rsid w:val="3B273C70"/>
    <w:rsid w:val="3C327340"/>
    <w:rsid w:val="3CCF0651"/>
    <w:rsid w:val="3D61390F"/>
    <w:rsid w:val="3E4C261B"/>
    <w:rsid w:val="42746EDF"/>
    <w:rsid w:val="44864A17"/>
    <w:rsid w:val="46285655"/>
    <w:rsid w:val="465447AD"/>
    <w:rsid w:val="4753341A"/>
    <w:rsid w:val="47C80360"/>
    <w:rsid w:val="489B69DF"/>
    <w:rsid w:val="48C72412"/>
    <w:rsid w:val="4A5B450F"/>
    <w:rsid w:val="4AC1424A"/>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72AC6C38"/>
    <w:rsid w:val="737C2760"/>
    <w:rsid w:val="748C1E66"/>
    <w:rsid w:val="75741BF4"/>
    <w:rsid w:val="773C6DAE"/>
    <w:rsid w:val="77513840"/>
    <w:rsid w:val="7ADA6F2C"/>
    <w:rsid w:val="7B51362B"/>
    <w:rsid w:val="7D520150"/>
    <w:rsid w:val="7E954F7C"/>
    <w:rsid w:val="7EA2398D"/>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69533</Words>
  <Characters>162965</Characters>
  <Lines>0</Lines>
  <Paragraphs>0</Paragraphs>
  <TotalTime>1</TotalTime>
  <ScaleCrop>false</ScaleCrop>
  <LinksUpToDate>false</LinksUpToDate>
  <CharactersWithSpaces>164217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阿宅</cp:lastModifiedBy>
  <dcterms:modified xsi:type="dcterms:W3CDTF">2024-09-09T06:47:42Z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7FF3F0912A564E438694C20BA87ABC3A</vt:lpwstr>
  </property>
</Properties>
</file>