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7</w:t>
      </w:r>
      <w:r>
        <w:rPr>
          <w:rFonts w:hint="eastAsia" w:ascii="方正小标宋简体" w:eastAsia="方正小标宋简体"/>
          <w:sz w:val="44"/>
          <w:szCs w:val="44"/>
        </w:rPr>
        <w:t>月污染源随机抽查工作开展情况</w:t>
      </w:r>
    </w:p>
    <w:p>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406"/>
        <w:gridCol w:w="1294"/>
        <w:gridCol w:w="1695"/>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vAlign w:val="center"/>
          </w:tcPr>
          <w:p>
            <w:pPr>
              <w:widowControl/>
              <w:jc w:val="center"/>
              <w:rPr>
                <w:rFonts w:eastAsia="黑体"/>
                <w:color w:val="000000"/>
                <w:kern w:val="0"/>
                <w:sz w:val="24"/>
              </w:rPr>
            </w:pPr>
            <w:r>
              <w:rPr>
                <w:rFonts w:eastAsia="黑体"/>
                <w:color w:val="000000"/>
                <w:kern w:val="0"/>
                <w:sz w:val="24"/>
              </w:rPr>
              <w:t>抽查项目</w:t>
            </w:r>
          </w:p>
        </w:tc>
        <w:tc>
          <w:tcPr>
            <w:tcW w:w="1902" w:type="dxa"/>
            <w:vMerge w:val="restart"/>
            <w:vAlign w:val="center"/>
          </w:tcPr>
          <w:p>
            <w:pPr>
              <w:widowControl/>
              <w:jc w:val="center"/>
              <w:rPr>
                <w:rFonts w:eastAsia="黑体"/>
                <w:color w:val="000000"/>
                <w:kern w:val="0"/>
                <w:sz w:val="24"/>
              </w:rPr>
            </w:pPr>
            <w:r>
              <w:rPr>
                <w:rFonts w:eastAsia="黑体"/>
                <w:color w:val="000000"/>
                <w:kern w:val="0"/>
                <w:sz w:val="24"/>
              </w:rPr>
              <w:t>检查对象</w:t>
            </w:r>
          </w:p>
        </w:tc>
        <w:tc>
          <w:tcPr>
            <w:tcW w:w="1406" w:type="dxa"/>
            <w:vMerge w:val="restart"/>
            <w:vAlign w:val="center"/>
          </w:tcPr>
          <w:p>
            <w:pPr>
              <w:widowControl/>
              <w:jc w:val="center"/>
              <w:rPr>
                <w:rFonts w:eastAsia="黑体"/>
                <w:color w:val="000000"/>
                <w:kern w:val="0"/>
                <w:sz w:val="24"/>
              </w:rPr>
            </w:pPr>
            <w:r>
              <w:rPr>
                <w:rFonts w:eastAsia="黑体"/>
                <w:color w:val="000000"/>
                <w:kern w:val="0"/>
                <w:sz w:val="24"/>
              </w:rPr>
              <w:t>事项类别</w:t>
            </w:r>
          </w:p>
        </w:tc>
        <w:tc>
          <w:tcPr>
            <w:tcW w:w="1294" w:type="dxa"/>
            <w:vMerge w:val="restart"/>
            <w:vAlign w:val="center"/>
          </w:tcPr>
          <w:p>
            <w:pPr>
              <w:widowControl/>
              <w:jc w:val="center"/>
              <w:rPr>
                <w:rFonts w:eastAsia="黑体"/>
                <w:color w:val="000000"/>
                <w:kern w:val="0"/>
                <w:sz w:val="24"/>
              </w:rPr>
            </w:pPr>
            <w:r>
              <w:rPr>
                <w:rFonts w:eastAsia="黑体"/>
                <w:color w:val="000000"/>
                <w:kern w:val="0"/>
                <w:sz w:val="24"/>
              </w:rPr>
              <w:t>检查方式</w:t>
            </w:r>
          </w:p>
        </w:tc>
        <w:tc>
          <w:tcPr>
            <w:tcW w:w="1695" w:type="dxa"/>
            <w:vMerge w:val="restart"/>
            <w:vAlign w:val="center"/>
          </w:tcPr>
          <w:p>
            <w:pPr>
              <w:widowControl/>
              <w:jc w:val="center"/>
              <w:rPr>
                <w:rFonts w:eastAsia="黑体"/>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eastAsia="黑体"/>
                <w:color w:val="000000"/>
                <w:kern w:val="0"/>
                <w:sz w:val="24"/>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vAlign w:val="center"/>
          </w:tcPr>
          <w:p>
            <w:pPr>
              <w:widowControl/>
              <w:jc w:val="center"/>
              <w:rPr>
                <w:rFonts w:eastAsia="黑体"/>
                <w:color w:val="000000"/>
                <w:kern w:val="0"/>
                <w:sz w:val="24"/>
              </w:rPr>
            </w:pPr>
            <w:r>
              <w:rPr>
                <w:rFonts w:eastAsia="黑体"/>
                <w:color w:val="000000"/>
                <w:kern w:val="0"/>
                <w:sz w:val="24"/>
              </w:rPr>
              <w:t>抽查类别</w:t>
            </w:r>
          </w:p>
        </w:tc>
        <w:tc>
          <w:tcPr>
            <w:tcW w:w="2418" w:type="dxa"/>
            <w:vAlign w:val="center"/>
          </w:tcPr>
          <w:p>
            <w:pPr>
              <w:widowControl/>
              <w:jc w:val="center"/>
              <w:rPr>
                <w:rFonts w:eastAsia="黑体"/>
                <w:color w:val="000000"/>
                <w:kern w:val="0"/>
                <w:sz w:val="24"/>
              </w:rPr>
            </w:pPr>
            <w:r>
              <w:rPr>
                <w:rFonts w:eastAsia="黑体"/>
                <w:color w:val="000000"/>
                <w:kern w:val="0"/>
                <w:sz w:val="24"/>
              </w:rPr>
              <w:t>抽查事项</w:t>
            </w:r>
          </w:p>
        </w:tc>
        <w:tc>
          <w:tcPr>
            <w:tcW w:w="1902" w:type="dxa"/>
            <w:vMerge w:val="continue"/>
            <w:vAlign w:val="center"/>
          </w:tcPr>
          <w:p>
            <w:pPr>
              <w:widowControl/>
              <w:jc w:val="left"/>
              <w:rPr>
                <w:rFonts w:eastAsia="黑体"/>
                <w:color w:val="000000"/>
                <w:kern w:val="0"/>
                <w:sz w:val="24"/>
              </w:rPr>
            </w:pPr>
          </w:p>
        </w:tc>
        <w:tc>
          <w:tcPr>
            <w:tcW w:w="1406" w:type="dxa"/>
            <w:vMerge w:val="continue"/>
            <w:vAlign w:val="center"/>
          </w:tcPr>
          <w:p>
            <w:pPr>
              <w:widowControl/>
              <w:jc w:val="left"/>
              <w:rPr>
                <w:rFonts w:eastAsia="黑体"/>
                <w:color w:val="000000"/>
                <w:kern w:val="0"/>
                <w:sz w:val="24"/>
              </w:rPr>
            </w:pPr>
          </w:p>
        </w:tc>
        <w:tc>
          <w:tcPr>
            <w:tcW w:w="1294" w:type="dxa"/>
            <w:vMerge w:val="continue"/>
            <w:vAlign w:val="center"/>
          </w:tcPr>
          <w:p>
            <w:pPr>
              <w:widowControl/>
              <w:jc w:val="left"/>
              <w:rPr>
                <w:rFonts w:eastAsia="黑体"/>
                <w:color w:val="000000"/>
                <w:kern w:val="0"/>
                <w:sz w:val="24"/>
              </w:rPr>
            </w:pPr>
          </w:p>
        </w:tc>
        <w:tc>
          <w:tcPr>
            <w:tcW w:w="1695" w:type="dxa"/>
            <w:vMerge w:val="continue"/>
            <w:vAlign w:val="center"/>
          </w:tcPr>
          <w:p>
            <w:pPr>
              <w:widowControl/>
              <w:jc w:val="left"/>
              <w:rPr>
                <w:rFonts w:eastAsia="黑体"/>
                <w:color w:val="000000"/>
                <w:kern w:val="0"/>
                <w:sz w:val="24"/>
              </w:rPr>
            </w:pPr>
          </w:p>
        </w:tc>
        <w:tc>
          <w:tcPr>
            <w:tcW w:w="4949" w:type="dxa"/>
            <w:vMerge w:val="continue"/>
            <w:vAlign w:val="center"/>
          </w:tcPr>
          <w:p>
            <w:pPr>
              <w:widowControl/>
              <w:jc w:val="left"/>
              <w:rPr>
                <w:rFonts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vAlign w:val="center"/>
          </w:tcPr>
          <w:p>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vAlign w:val="center"/>
          </w:tcPr>
          <w:p>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vAlign w:val="center"/>
          </w:tcPr>
          <w:p>
            <w:pPr>
              <w:widowControl/>
              <w:spacing w:line="300" w:lineRule="exact"/>
              <w:jc w:val="center"/>
              <w:rPr>
                <w:color w:val="000000"/>
                <w:kern w:val="0"/>
                <w:sz w:val="24"/>
              </w:rPr>
            </w:pPr>
            <w:r>
              <w:rPr>
                <w:color w:val="000000"/>
                <w:kern w:val="0"/>
                <w:sz w:val="24"/>
              </w:rPr>
              <w:t>一般检查事项</w:t>
            </w:r>
          </w:p>
        </w:tc>
        <w:tc>
          <w:tcPr>
            <w:tcW w:w="1294" w:type="dxa"/>
            <w:vMerge w:val="restart"/>
            <w:vAlign w:val="center"/>
          </w:tcPr>
          <w:p>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vAlign w:val="center"/>
          </w:tcPr>
          <w:p>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vAlign w:val="center"/>
          </w:tcPr>
          <w:p>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Merge w:val="continue"/>
            <w:vAlign w:val="center"/>
          </w:tcPr>
          <w:p>
            <w:pPr>
              <w:widowControl/>
              <w:spacing w:line="300" w:lineRule="exact"/>
              <w:jc w:val="left"/>
              <w:rPr>
                <w:color w:val="000000"/>
                <w:kern w:val="0"/>
                <w:sz w:val="24"/>
              </w:rPr>
            </w:pPr>
          </w:p>
        </w:tc>
        <w:tc>
          <w:tcPr>
            <w:tcW w:w="1902" w:type="dxa"/>
            <w:vMerge w:val="continue"/>
            <w:vAlign w:val="center"/>
          </w:tcPr>
          <w:p>
            <w:pPr>
              <w:widowControl/>
              <w:spacing w:line="300" w:lineRule="exact"/>
              <w:jc w:val="left"/>
              <w:rPr>
                <w:color w:val="000000"/>
                <w:kern w:val="0"/>
                <w:sz w:val="24"/>
              </w:rPr>
            </w:pPr>
          </w:p>
        </w:tc>
        <w:tc>
          <w:tcPr>
            <w:tcW w:w="1406" w:type="dxa"/>
            <w:vMerge w:val="continue"/>
            <w:vAlign w:val="center"/>
          </w:tcPr>
          <w:p>
            <w:pPr>
              <w:widowControl/>
              <w:spacing w:line="300" w:lineRule="exact"/>
              <w:jc w:val="left"/>
              <w:rPr>
                <w:color w:val="000000"/>
                <w:kern w:val="0"/>
                <w:sz w:val="24"/>
              </w:rPr>
            </w:pPr>
          </w:p>
        </w:tc>
        <w:tc>
          <w:tcPr>
            <w:tcW w:w="1294" w:type="dxa"/>
            <w:vMerge w:val="continue"/>
            <w:vAlign w:val="center"/>
          </w:tcPr>
          <w:p>
            <w:pPr>
              <w:widowControl/>
              <w:spacing w:line="300" w:lineRule="exact"/>
              <w:jc w:val="left"/>
              <w:rPr>
                <w:color w:val="000000"/>
                <w:kern w:val="0"/>
                <w:sz w:val="24"/>
              </w:rPr>
            </w:pPr>
          </w:p>
        </w:tc>
        <w:tc>
          <w:tcPr>
            <w:tcW w:w="1695" w:type="dxa"/>
            <w:vMerge w:val="continue"/>
            <w:vAlign w:val="center"/>
          </w:tcPr>
          <w:p>
            <w:pPr>
              <w:widowControl/>
              <w:spacing w:line="300" w:lineRule="exact"/>
              <w:jc w:val="left"/>
              <w:rPr>
                <w:color w:val="000000"/>
                <w:kern w:val="0"/>
                <w:sz w:val="24"/>
              </w:rPr>
            </w:pPr>
          </w:p>
        </w:tc>
        <w:tc>
          <w:tcPr>
            <w:tcW w:w="4949" w:type="dxa"/>
            <w:vMerge w:val="continue"/>
            <w:vAlign w:val="center"/>
          </w:tcPr>
          <w:p>
            <w:pPr>
              <w:widowControl/>
              <w:spacing w:line="30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排污单位污染物排放情况抽查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vAlign w:val="center"/>
          </w:tcPr>
          <w:p>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vAlign w:val="center"/>
          </w:tcPr>
          <w:p>
            <w:pPr>
              <w:widowControl/>
              <w:jc w:val="center"/>
              <w:rPr>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vAlign w:val="center"/>
          </w:tcPr>
          <w:p>
            <w:pPr>
              <w:widowControl/>
              <w:jc w:val="center"/>
              <w:rPr>
                <w:rFonts w:hint="eastAsia"/>
                <w:color w:val="000000"/>
                <w:kern w:val="0"/>
                <w:sz w:val="24"/>
              </w:rPr>
            </w:pPr>
            <w:r>
              <w:rPr>
                <w:rFonts w:eastAsia="黑体"/>
                <w:color w:val="000000"/>
                <w:kern w:val="0"/>
                <w:sz w:val="24"/>
              </w:rPr>
              <w:t>抽查类别</w:t>
            </w:r>
          </w:p>
        </w:tc>
        <w:tc>
          <w:tcPr>
            <w:tcW w:w="2418" w:type="dxa"/>
            <w:vAlign w:val="center"/>
          </w:tcPr>
          <w:p>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vAlign w:val="center"/>
          </w:tcPr>
          <w:p>
            <w:pPr>
              <w:widowControl/>
              <w:spacing w:line="300" w:lineRule="exact"/>
              <w:jc w:val="center"/>
              <w:rPr>
                <w:color w:val="000000"/>
                <w:kern w:val="0"/>
                <w:sz w:val="24"/>
              </w:rPr>
            </w:pPr>
          </w:p>
        </w:tc>
        <w:tc>
          <w:tcPr>
            <w:tcW w:w="4949"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Align w:val="center"/>
          </w:tcPr>
          <w:p>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vAlign w:val="center"/>
          </w:tcPr>
          <w:p>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p>
      <w:pPr>
        <w:spacing w:line="560" w:lineRule="exact"/>
        <w:ind w:firstLine="640" w:firstLineChars="200"/>
        <w:rPr>
          <w:rFonts w:eastAsia="仿宋_GB2312"/>
          <w:sz w:val="32"/>
          <w:szCs w:val="32"/>
        </w:rPr>
      </w:pPr>
      <w:r>
        <w:rPr>
          <w:rFonts w:eastAsia="黑体"/>
          <w:sz w:val="32"/>
          <w:szCs w:val="32"/>
        </w:rPr>
        <w:t>二、不适合随机抽查事项清单</w:t>
      </w:r>
    </w:p>
    <w:p>
      <w:pPr>
        <w:spacing w:line="560" w:lineRule="exact"/>
        <w:ind w:firstLine="640" w:firstLineChars="200"/>
        <w:rPr>
          <w:rFonts w:eastAsia="仿宋_GB2312"/>
          <w:sz w:val="32"/>
          <w:szCs w:val="32"/>
        </w:rPr>
      </w:pPr>
      <w:r>
        <w:rPr>
          <w:rFonts w:eastAsia="仿宋_GB2312"/>
          <w:sz w:val="32"/>
          <w:szCs w:val="32"/>
        </w:rPr>
        <w:t>无不适合随机抽查事项清单。</w:t>
      </w:r>
    </w:p>
    <w:p>
      <w:pPr>
        <w:spacing w:line="560" w:lineRule="exact"/>
        <w:ind w:firstLine="640" w:firstLineChars="200"/>
        <w:rPr>
          <w:rFonts w:eastAsia="黑体"/>
          <w:sz w:val="32"/>
          <w:szCs w:val="32"/>
        </w:rPr>
      </w:pPr>
      <w:r>
        <w:rPr>
          <w:rFonts w:eastAsia="黑体"/>
          <w:sz w:val="32"/>
          <w:szCs w:val="32"/>
        </w:rPr>
        <w:t>三、抽查情况</w:t>
      </w:r>
    </w:p>
    <w:p>
      <w:pPr>
        <w:spacing w:beforeLines="0" w:after="200" w:afterLines="0" w:line="276"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szCs w:val="24"/>
          <w:lang w:val="zh-CN"/>
        </w:rPr>
        <w:t>2024年</w:t>
      </w:r>
      <w:r>
        <w:rPr>
          <w:rFonts w:hint="eastAsia" w:ascii="仿宋_GB2312" w:hAnsi="仿宋_GB2312" w:eastAsia="仿宋_GB2312"/>
          <w:sz w:val="32"/>
          <w:szCs w:val="24"/>
          <w:highlight w:val="none"/>
          <w:lang w:val="en-US" w:eastAsia="zh-CN"/>
        </w:rPr>
        <w:t>7</w:t>
      </w:r>
      <w:r>
        <w:rPr>
          <w:rFonts w:hint="eastAsia" w:ascii="仿宋_GB2312" w:hAnsi="仿宋_GB2312" w:eastAsia="仿宋_GB2312"/>
          <w:sz w:val="32"/>
          <w:szCs w:val="24"/>
          <w:highlight w:val="none"/>
          <w:lang w:val="zh-CN"/>
        </w:rPr>
        <w:t>月，东城区生态环境局共</w:t>
      </w:r>
      <w:r>
        <w:rPr>
          <w:rFonts w:hint="eastAsia" w:ascii="仿宋_GB2312" w:hAnsi="仿宋_GB2312" w:eastAsia="仿宋_GB2312"/>
          <w:sz w:val="32"/>
          <w:szCs w:val="24"/>
          <w:highlight w:val="none"/>
          <w:lang w:val="en-US" w:eastAsia="zh-CN"/>
        </w:rPr>
        <w:t>108</w:t>
      </w:r>
      <w:r>
        <w:rPr>
          <w:rFonts w:hint="eastAsia" w:ascii="仿宋_GB2312" w:hAnsi="仿宋_GB2312" w:eastAsia="仿宋_GB2312"/>
          <w:sz w:val="32"/>
          <w:szCs w:val="24"/>
          <w:highlight w:val="none"/>
          <w:lang w:val="zh-CN"/>
        </w:rPr>
        <w:t>人次参加</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双随机</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抽查工作，完成本部门日常监管双随机抽查</w:t>
      </w:r>
      <w:r>
        <w:rPr>
          <w:rFonts w:hint="eastAsia" w:ascii="仿宋_GB2312" w:hAnsi="仿宋_GB2312" w:eastAsia="仿宋_GB2312"/>
          <w:sz w:val="32"/>
          <w:szCs w:val="24"/>
          <w:highlight w:val="none"/>
          <w:lang w:val="en-US" w:eastAsia="zh-CN"/>
        </w:rPr>
        <w:t>42</w:t>
      </w:r>
      <w:r>
        <w:rPr>
          <w:rFonts w:hint="eastAsia" w:ascii="仿宋_GB2312" w:hAnsi="仿宋_GB2312" w:eastAsia="仿宋_GB2312"/>
          <w:sz w:val="32"/>
          <w:szCs w:val="24"/>
          <w:highlight w:val="none"/>
          <w:lang w:val="zh-CN"/>
        </w:rPr>
        <w:t>家次，跨部门双随机抽查</w:t>
      </w:r>
      <w:r>
        <w:rPr>
          <w:rFonts w:hint="eastAsia" w:ascii="仿宋_GB2312" w:hAnsi="仿宋_GB2312" w:eastAsia="仿宋_GB2312"/>
          <w:sz w:val="32"/>
          <w:szCs w:val="24"/>
          <w:highlight w:val="none"/>
          <w:lang w:val="en-US" w:eastAsia="zh-CN"/>
        </w:rPr>
        <w:t>8</w:t>
      </w:r>
      <w:r>
        <w:rPr>
          <w:rFonts w:hint="eastAsia" w:ascii="仿宋_GB2312" w:hAnsi="仿宋_GB2312" w:eastAsia="仿宋_GB2312"/>
          <w:sz w:val="32"/>
          <w:szCs w:val="24"/>
          <w:highlight w:val="none"/>
          <w:lang w:val="zh-CN"/>
        </w:rPr>
        <w:t>家次</w:t>
      </w:r>
      <w:r>
        <w:rPr>
          <w:rFonts w:hint="eastAsia" w:ascii="仿宋_GB2312" w:hAnsi="仿宋_GB2312" w:eastAsia="仿宋_GB2312" w:cs="仿宋_GB2312"/>
          <w:color w:val="auto"/>
          <w:sz w:val="32"/>
          <w:szCs w:val="32"/>
          <w:highlight w:val="none"/>
          <w:lang w:val="en-US" w:eastAsia="zh-CN"/>
        </w:rPr>
        <w:t>，被抽查单位具体情况见下表：</w:t>
      </w:r>
    </w:p>
    <w:p>
      <w:pPr>
        <w:numPr>
          <w:ilvl w:val="0"/>
          <w:numId w:val="1"/>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统一社会信用代码</w:t>
            </w:r>
          </w:p>
        </w:tc>
        <w:tc>
          <w:tcPr>
            <w:tcW w:w="18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京环检[2024]07250065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王府饭店有限公司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91110000625902389G</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2024/7/31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京环检[2024]07090383</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机关服务中心热力站项目</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12100000400009717C</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2024/7/31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京环检[2024]07300188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花舍餐饮管理（北京）有限公司第二分公司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91110101678794625E</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京环检[2024]07170456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北京首华物业管理有限公司春秀路锅炉房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京环检[2024]07030249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北京市东城区东花市街道铁辘轳把社区卫生服务站</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121101016717269619</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京环检[2024]07030427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北京清江源投资有限公司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91110101788992788P</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京环检[2024]07030623</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北京天坛饭店有限公司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911101011014991979</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王伟华,卢欣,孟魁</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京环检[2024]07030806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中国铁路北京局集团有限公司北京机务段</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91110108801104096K</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京环检[2024]07160445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北京银丰国际商务酒店有限责任公司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9111010170002058XF</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京环检[2024]07040870</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北京宝盈物业管理有限公司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91110101700322895D</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2024/7/26</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郭琨,孙静,吕小军,冯朔</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京环检[2024]07080437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北京美通美达超市有限公司崇文门店</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9111010166690409XY</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2024/7/26</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孙静,郭琨,冯朔,吕小军</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京环检[2024]07250157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北京一轻研究院有限公司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911100004006165337</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京环检[2024]07250194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北京松韵那家餐饮有限公司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91110101MA017E3B3Q</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京环检[2024]07250145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北京市东城区市场监督管理局（锅炉房）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11110101MB17941995</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京环检[2024]07240280</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馨天方元（北京）文化创意发展有限公司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91110101771572453W</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桑瑞,齐笑祎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京环检[2024]07100166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北京市热力集团有限责任公司东城分公司（南颂年1号锅炉房）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桑瑞,齐笑祎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京环检[2024]07230310</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北京市第五幼儿园</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12110101400809298P</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京环检[2024]07020372</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北京启方物业管理有限责任公司（和平里九区一号院锅炉房）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91110101735584705M</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京环检[2024]07020373</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北京市热力集团有限责任公司东城分公司（民安3号锅炉房）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京环检[2024]07230174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刘家窑路（沙子口路～景泰路）道路工程</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91110101774091989w</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京环检[2024]07230117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北京瑞康口腔门诊部有限公司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91110101098264193Y</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京环检[2024]07220455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北京方腾胜达商贸有限公司沙滩餐厅</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91110101801299727E</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2024/7/22</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京环检[2024]07020530</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优和维尔健康产业投资管理（北京）有限公司优和维尔门诊部</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911101013272448593</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2024/7/22</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京环检[2024]07170195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北京天美饭庄有限公司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91110101801487832L</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2024/7/17</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京环检[2024]07160235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北京市奥士凯商贸连锁经营公司北京市灯市口分店</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91110101MA01G0638H</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2024/7/16</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京环检[2024]07110505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北京峰海小厨餐饮有限公司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91110101MA00E4YHX4</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2024/7/11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京环检[2024]07100345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北京国瑞关忠动物医院有限公司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91110101692339602D</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2024/7/10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陈炳辉,孙敬敏,刘畅,张乃欣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京环检[2024]07030148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北京富华行物业管理有限公司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911101016000430047</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2024/7/10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京环检[2024]07030144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北京首华物业管理有限公司东四七条锅炉房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2024/7/10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京环检[2024]07040178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东城区花市东二路道路工程</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91110000736454355W</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2024/7/10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京环检[2024]07040868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北京市东城区安乐幼儿园</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121101014008093198</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京环检[2024]07040869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北京爱保酒店管理有限公司天坛南门店</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91110101593810155N</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京环检[2024]07080428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新京熹银泰（北京）餐饮有限公司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91110101MA7E41MQXL</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京环检[2024]07080432</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北京江户川饮食服务有限公司扩建项目</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91110101633610992Q</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京环检[2024]07020531</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北京市国子监中学</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12110101400784799E</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2024/7/8</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京环检[2024]07050174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航空工业机关服务中心</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121000004000079065</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京环检[2024]07030207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北京东单菜市场有限公司新建直燃机组工程</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91110101101307335H</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京环检[2024]07030319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北京纵横三北热力科技有限公司（东方燕都锅炉房）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911101017861909179</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京环检[2024]07030398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北京市热力集团有限责任公司东城分公司（美术馆后街锅炉房）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京环检[2024]07030367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北京依然餐饮管理有限公司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91110101MACKQDMT1D</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京环检[2024]07030347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北京金隅地产经营管理有限公司金隅环贸分公司锅炉增项</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91110101593848815B</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京环检[2024]07030126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北京广源发冷暖环保技术有限公司（安化北里锅炉房）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91110101790691351R</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
    <w:p/>
    <w:p>
      <w:pPr>
        <w:widowControl/>
        <w:numPr>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2.</w:t>
      </w:r>
      <w:r>
        <w:rPr>
          <w:rFonts w:hint="eastAsia" w:ascii="仿宋_GB2312" w:eastAsia="仿宋_GB2312"/>
          <w:bCs/>
          <w:color w:val="000000"/>
          <w:kern w:val="0"/>
          <w:sz w:val="32"/>
          <w:szCs w:val="32"/>
        </w:rPr>
        <w:t>联合双随机</w:t>
      </w:r>
      <w:r>
        <w:rPr>
          <w:rFonts w:eastAsia="仿宋_GB2312"/>
          <w:bCs/>
          <w:color w:val="000000"/>
          <w:kern w:val="0"/>
          <w:sz w:val="32"/>
          <w:szCs w:val="32"/>
        </w:rPr>
        <w:t>抽查情况</w:t>
      </w:r>
      <w:bookmarkStart w:id="0" w:name="_GoBack"/>
      <w:bookmarkEnd w:id="0"/>
    </w:p>
    <w:p>
      <w:pPr>
        <w:widowControl/>
        <w:numPr>
          <w:ilvl w:val="0"/>
          <w:numId w:val="0"/>
        </w:numPr>
        <w:spacing w:line="400" w:lineRule="exact"/>
        <w:jc w:val="left"/>
        <w:rPr>
          <w:rFonts w:eastAsia="仿宋_GB2312"/>
          <w:bCs/>
          <w:color w:val="000000"/>
          <w:kern w:val="0"/>
          <w:sz w:val="32"/>
          <w:szCs w:val="32"/>
        </w:rPr>
      </w:pP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京环检[2024]06260902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北京威宇圣科技有限公司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91110101573180061M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2024/7/31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东城区2024年涉ODS企业跨部门联合双随机抽查任务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京环检[2024]07100068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中国医学科学院医药生物技术研究所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12100000400819808G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2024/7/10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京环检[2024]07050076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东城区对购买第二三类易制毒化学品备案情况联合双随机抽查任务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京环检[2024]07040706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北京市第二中学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1211010140078457XY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京环检[2024]07040161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中央工艺美术学院附属中学（北京市国际美术学校）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121101014007849168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京环检[2024]07040480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北京市第六十五中学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121101014007846848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京环检[2024]07040571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北京市第二中学分校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121101014007910167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京环检[2024]07040101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北京市第五十五中学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12110101400784668J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2024/7/4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
      <w:pPr>
        <w:widowControl/>
        <w:numPr>
          <w:ilvl w:val="0"/>
          <w:numId w:val="0"/>
        </w:numPr>
        <w:spacing w:line="400" w:lineRule="exact"/>
        <w:jc w:val="left"/>
        <w:rPr>
          <w:rFonts w:eastAsia="仿宋_GB2312"/>
          <w:bCs/>
          <w:color w:val="000000"/>
          <w:kern w:val="0"/>
          <w:sz w:val="32"/>
          <w:szCs w:val="32"/>
        </w:rPr>
      </w:pPr>
    </w:p>
    <w:p>
      <w:pPr>
        <w:keepNext w:val="0"/>
        <w:keepLines w:val="0"/>
        <w:widowControl/>
        <w:numPr>
          <w:ilvl w:val="0"/>
          <w:numId w:val="0"/>
        </w:numPr>
        <w:suppressLineNumbers w:val="0"/>
        <w:jc w:val="both"/>
        <w:textAlignment w:val="center"/>
        <w:rPr>
          <w:rFonts w:hint="default" w:eastAsia="仿宋_GB2312"/>
          <w:bCs/>
          <w:color w:val="000000"/>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73C4"/>
    <w:multiLevelType w:val="singleLevel"/>
    <w:tmpl w:val="CA2E7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c2NzNmZDhmN2MzNjUzNzRkNjg0ODhiNWM0NWUifQ=="/>
  </w:docVars>
  <w:rsids>
    <w:rsidRoot w:val="00172A27"/>
    <w:rsid w:val="00B86D80"/>
    <w:rsid w:val="014F7062"/>
    <w:rsid w:val="021E7974"/>
    <w:rsid w:val="03F3714E"/>
    <w:rsid w:val="06580931"/>
    <w:rsid w:val="0985626C"/>
    <w:rsid w:val="0C81737A"/>
    <w:rsid w:val="0D153EBE"/>
    <w:rsid w:val="0D6F6E8F"/>
    <w:rsid w:val="0F804330"/>
    <w:rsid w:val="11CA179A"/>
    <w:rsid w:val="121149C1"/>
    <w:rsid w:val="13AD68D3"/>
    <w:rsid w:val="15D755BE"/>
    <w:rsid w:val="176A615C"/>
    <w:rsid w:val="177A44CC"/>
    <w:rsid w:val="17DF7492"/>
    <w:rsid w:val="19963D61"/>
    <w:rsid w:val="19F74AEA"/>
    <w:rsid w:val="1A747C57"/>
    <w:rsid w:val="1BB4706F"/>
    <w:rsid w:val="1D80050F"/>
    <w:rsid w:val="1E1B18FD"/>
    <w:rsid w:val="1F831038"/>
    <w:rsid w:val="211A58C9"/>
    <w:rsid w:val="225828AC"/>
    <w:rsid w:val="22877D32"/>
    <w:rsid w:val="25A629C6"/>
    <w:rsid w:val="270C5364"/>
    <w:rsid w:val="279854AB"/>
    <w:rsid w:val="27C420BF"/>
    <w:rsid w:val="27DB1E09"/>
    <w:rsid w:val="28AF416D"/>
    <w:rsid w:val="2A9770AB"/>
    <w:rsid w:val="2B132AE9"/>
    <w:rsid w:val="2B140BBE"/>
    <w:rsid w:val="2B9024A7"/>
    <w:rsid w:val="2BED1FB3"/>
    <w:rsid w:val="2C80482E"/>
    <w:rsid w:val="2E55268F"/>
    <w:rsid w:val="2F753584"/>
    <w:rsid w:val="2FB55C9D"/>
    <w:rsid w:val="356E134E"/>
    <w:rsid w:val="36630666"/>
    <w:rsid w:val="366B077E"/>
    <w:rsid w:val="376A1AC3"/>
    <w:rsid w:val="385327EE"/>
    <w:rsid w:val="393A1F2A"/>
    <w:rsid w:val="39852271"/>
    <w:rsid w:val="3B273C70"/>
    <w:rsid w:val="3C327340"/>
    <w:rsid w:val="3CCF0651"/>
    <w:rsid w:val="3D61390F"/>
    <w:rsid w:val="3E4C261B"/>
    <w:rsid w:val="42746EDF"/>
    <w:rsid w:val="44864A17"/>
    <w:rsid w:val="46285655"/>
    <w:rsid w:val="465447AD"/>
    <w:rsid w:val="4753341A"/>
    <w:rsid w:val="47C80360"/>
    <w:rsid w:val="489B69DF"/>
    <w:rsid w:val="4A5B450F"/>
    <w:rsid w:val="4AC1424A"/>
    <w:rsid w:val="4BAE14F8"/>
    <w:rsid w:val="4E5B16E6"/>
    <w:rsid w:val="50340ED9"/>
    <w:rsid w:val="52235B5D"/>
    <w:rsid w:val="5330564A"/>
    <w:rsid w:val="55C9233A"/>
    <w:rsid w:val="58237624"/>
    <w:rsid w:val="58C80A33"/>
    <w:rsid w:val="59DC44B7"/>
    <w:rsid w:val="5C6B4F92"/>
    <w:rsid w:val="616D1446"/>
    <w:rsid w:val="61AC666B"/>
    <w:rsid w:val="61CC675E"/>
    <w:rsid w:val="632377A5"/>
    <w:rsid w:val="6394471D"/>
    <w:rsid w:val="64A80BAB"/>
    <w:rsid w:val="65526CBE"/>
    <w:rsid w:val="66FF6E79"/>
    <w:rsid w:val="6AF4300E"/>
    <w:rsid w:val="6D6A039F"/>
    <w:rsid w:val="6DCD3459"/>
    <w:rsid w:val="6E7D64DB"/>
    <w:rsid w:val="6EE927DF"/>
    <w:rsid w:val="6F6101CB"/>
    <w:rsid w:val="72AC6C38"/>
    <w:rsid w:val="737C2760"/>
    <w:rsid w:val="748C1E66"/>
    <w:rsid w:val="75741BF4"/>
    <w:rsid w:val="773C6DAE"/>
    <w:rsid w:val="77513840"/>
    <w:rsid w:val="7ADA6F2C"/>
    <w:rsid w:val="7B51362B"/>
    <w:rsid w:val="7D520150"/>
    <w:rsid w:val="7E954F7C"/>
    <w:rsid w:val="7EA2398D"/>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69533</Words>
  <Characters>162965</Characters>
  <Lines>0</Lines>
  <Paragraphs>0</Paragraphs>
  <TotalTime>0</TotalTime>
  <ScaleCrop>false</ScaleCrop>
  <LinksUpToDate>false</LinksUpToDate>
  <CharactersWithSpaces>164217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阿宅</cp:lastModifiedBy>
  <dcterms:modified xsi:type="dcterms:W3CDTF">2024-08-06T03:23:48Z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7FF3F0912A564E438694C20BA87ABC3A</vt:lpwstr>
  </property>
</Properties>
</file>