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3D" w:rsidRPr="00B55443" w:rsidRDefault="00A87E34" w:rsidP="001B06CE">
      <w:pPr>
        <w:ind w:firstLineChars="0" w:firstLine="0"/>
        <w:jc w:val="center"/>
        <w:rPr>
          <w:rFonts w:ascii="方正小标宋简体" w:eastAsia="方正小标宋简体"/>
          <w:sz w:val="44"/>
          <w:szCs w:val="44"/>
        </w:rPr>
      </w:pPr>
      <w:r w:rsidRPr="00B55443">
        <w:rPr>
          <w:rFonts w:ascii="方正小标宋简体" w:eastAsia="方正小标宋简体" w:hint="eastAsia"/>
          <w:sz w:val="44"/>
          <w:szCs w:val="44"/>
        </w:rPr>
        <w:t>北京市东城区</w:t>
      </w:r>
      <w:r w:rsidR="00314397" w:rsidRPr="00B55443">
        <w:rPr>
          <w:rFonts w:ascii="方正小标宋简体" w:eastAsia="方正小标宋简体" w:hint="eastAsia"/>
          <w:sz w:val="44"/>
          <w:szCs w:val="44"/>
        </w:rPr>
        <w:t>201</w:t>
      </w:r>
      <w:r w:rsidR="00C55F3D" w:rsidRPr="00B55443">
        <w:rPr>
          <w:rFonts w:ascii="方正小标宋简体" w:eastAsia="方正小标宋简体" w:hint="eastAsia"/>
          <w:sz w:val="44"/>
          <w:szCs w:val="44"/>
        </w:rPr>
        <w:t>6</w:t>
      </w:r>
      <w:r w:rsidRPr="00B55443">
        <w:rPr>
          <w:rFonts w:ascii="方正小标宋简体" w:eastAsia="方正小标宋简体" w:hint="eastAsia"/>
          <w:sz w:val="44"/>
          <w:szCs w:val="44"/>
        </w:rPr>
        <w:t>年国民经济</w:t>
      </w:r>
    </w:p>
    <w:p w:rsidR="00B26966" w:rsidRDefault="00A87E34" w:rsidP="001B06CE">
      <w:pPr>
        <w:ind w:firstLineChars="0" w:firstLine="0"/>
        <w:jc w:val="center"/>
        <w:rPr>
          <w:rFonts w:ascii="方正小标宋简体" w:eastAsia="方正小标宋简体"/>
          <w:sz w:val="44"/>
          <w:szCs w:val="44"/>
        </w:rPr>
      </w:pPr>
      <w:r w:rsidRPr="00B55443">
        <w:rPr>
          <w:rFonts w:ascii="方正小标宋简体" w:eastAsia="方正小标宋简体" w:hint="eastAsia"/>
          <w:sz w:val="44"/>
          <w:szCs w:val="44"/>
        </w:rPr>
        <w:t>和社会发展统计公报</w:t>
      </w:r>
    </w:p>
    <w:p w:rsidR="00996F72" w:rsidRPr="00EB337D" w:rsidRDefault="00996F72" w:rsidP="001B06CE">
      <w:pPr>
        <w:ind w:firstLine="880"/>
        <w:jc w:val="center"/>
        <w:rPr>
          <w:rFonts w:ascii="方正小标宋简体" w:eastAsia="方正小标宋简体"/>
          <w:color w:val="FF0000"/>
          <w:sz w:val="44"/>
          <w:szCs w:val="44"/>
        </w:rPr>
      </w:pPr>
    </w:p>
    <w:p w:rsidR="00B55443" w:rsidRPr="00900194" w:rsidRDefault="00996F72" w:rsidP="001B06CE">
      <w:pPr>
        <w:autoSpaceDE w:val="0"/>
        <w:autoSpaceDN w:val="0"/>
        <w:adjustRightInd w:val="0"/>
        <w:snapToGrid w:val="0"/>
        <w:ind w:firstLine="640"/>
        <w:jc w:val="left"/>
        <w:rPr>
          <w:rFonts w:ascii="仿宋_GB2312" w:eastAsia="仿宋_GB2312"/>
          <w:sz w:val="32"/>
          <w:szCs w:val="32"/>
        </w:rPr>
      </w:pPr>
      <w:r w:rsidRPr="00B55443">
        <w:rPr>
          <w:rFonts w:ascii="仿宋_GB2312" w:eastAsia="仿宋_GB2312" w:hint="eastAsia"/>
          <w:sz w:val="32"/>
          <w:szCs w:val="32"/>
        </w:rPr>
        <w:t>201</w:t>
      </w:r>
      <w:r w:rsidR="00C55F3D" w:rsidRPr="00B55443">
        <w:rPr>
          <w:rFonts w:ascii="仿宋_GB2312" w:eastAsia="仿宋_GB2312" w:hint="eastAsia"/>
          <w:sz w:val="32"/>
          <w:szCs w:val="32"/>
        </w:rPr>
        <w:t>6</w:t>
      </w:r>
      <w:r w:rsidRPr="00B55443">
        <w:rPr>
          <w:rFonts w:ascii="仿宋_GB2312" w:eastAsia="仿宋_GB2312" w:hint="eastAsia"/>
          <w:sz w:val="32"/>
          <w:szCs w:val="32"/>
        </w:rPr>
        <w:t>年，</w:t>
      </w:r>
      <w:r w:rsidR="0051692D">
        <w:rPr>
          <w:rFonts w:ascii="仿宋_GB2312" w:eastAsia="仿宋_GB2312" w:hint="eastAsia"/>
          <w:sz w:val="32"/>
          <w:szCs w:val="32"/>
        </w:rPr>
        <w:t>全区人民</w:t>
      </w:r>
      <w:r w:rsidR="000368C6" w:rsidRPr="00B55443">
        <w:rPr>
          <w:rFonts w:ascii="仿宋_GB2312" w:eastAsia="仿宋_GB2312" w:hint="eastAsia"/>
          <w:sz w:val="32"/>
          <w:szCs w:val="32"/>
        </w:rPr>
        <w:t>在区委、区政府的</w:t>
      </w:r>
      <w:r w:rsidR="004A5C3E" w:rsidRPr="00B55443">
        <w:rPr>
          <w:rFonts w:ascii="仿宋_GB2312" w:eastAsia="仿宋_GB2312" w:hint="eastAsia"/>
          <w:sz w:val="32"/>
          <w:szCs w:val="32"/>
        </w:rPr>
        <w:t>正确领导下</w:t>
      </w:r>
      <w:r w:rsidRPr="00B55443">
        <w:rPr>
          <w:rFonts w:ascii="仿宋_GB2312" w:eastAsia="仿宋_GB2312" w:hint="eastAsia"/>
          <w:sz w:val="32"/>
          <w:szCs w:val="32"/>
        </w:rPr>
        <w:t>，</w:t>
      </w:r>
      <w:r w:rsidR="0051692D">
        <w:rPr>
          <w:rFonts w:eastAsia="仿宋_GB2312" w:hint="eastAsia"/>
          <w:sz w:val="32"/>
          <w:szCs w:val="32"/>
        </w:rPr>
        <w:t>坚持“稳中求进”工作总基调，</w:t>
      </w:r>
      <w:r w:rsidR="00095255" w:rsidRPr="00B55443">
        <w:rPr>
          <w:rFonts w:ascii="仿宋_GB2312" w:eastAsia="仿宋_GB2312" w:hint="eastAsia"/>
          <w:sz w:val="32"/>
          <w:szCs w:val="32"/>
        </w:rPr>
        <w:t>紧紧围绕“一条主线、四个重点”战略任务，</w:t>
      </w:r>
      <w:r w:rsidR="00724CF6">
        <w:rPr>
          <w:rFonts w:eastAsia="仿宋_GB2312" w:hint="eastAsia"/>
          <w:sz w:val="32"/>
          <w:szCs w:val="32"/>
        </w:rPr>
        <w:t>牢牢把握区域功能定位，加快疏解非首都功能，主动融入京津冀协同发展大局，统筹兼顾，迎难而上，</w:t>
      </w:r>
      <w:r w:rsidR="00B55443" w:rsidRPr="00B55443">
        <w:rPr>
          <w:rFonts w:ascii="仿宋_GB2312" w:eastAsia="仿宋_GB2312" w:hint="eastAsia"/>
          <w:sz w:val="32"/>
          <w:szCs w:val="32"/>
        </w:rPr>
        <w:t>深化改革，严抓实谋，攻坚克难，确保</w:t>
      </w:r>
      <w:r w:rsidR="0051692D">
        <w:rPr>
          <w:rFonts w:ascii="仿宋_GB2312" w:eastAsia="仿宋_GB2312" w:hint="eastAsia"/>
          <w:sz w:val="32"/>
          <w:szCs w:val="32"/>
        </w:rPr>
        <w:t>了</w:t>
      </w:r>
      <w:r w:rsidR="00B55443" w:rsidRPr="00B55443">
        <w:rPr>
          <w:rFonts w:ascii="仿宋_GB2312" w:eastAsia="仿宋_GB2312" w:hint="eastAsia"/>
          <w:sz w:val="32"/>
          <w:szCs w:val="32"/>
        </w:rPr>
        <w:t>疏功能、控人口、稳增长</w:t>
      </w:r>
      <w:r w:rsidRPr="00B55443">
        <w:rPr>
          <w:rFonts w:ascii="仿宋_GB2312" w:eastAsia="仿宋_GB2312" w:hint="eastAsia"/>
          <w:sz w:val="32"/>
          <w:szCs w:val="32"/>
        </w:rPr>
        <w:t>等各项工作</w:t>
      </w:r>
      <w:r w:rsidR="0051692D">
        <w:rPr>
          <w:rFonts w:ascii="仿宋_GB2312" w:eastAsia="仿宋_GB2312" w:hint="eastAsia"/>
          <w:sz w:val="32"/>
          <w:szCs w:val="32"/>
        </w:rPr>
        <w:t>顺利</w:t>
      </w:r>
      <w:r w:rsidR="000368C6" w:rsidRPr="00B55443">
        <w:rPr>
          <w:rFonts w:ascii="仿宋_GB2312" w:eastAsia="仿宋_GB2312" w:hint="eastAsia"/>
          <w:sz w:val="32"/>
          <w:szCs w:val="32"/>
        </w:rPr>
        <w:t>推进</w:t>
      </w:r>
      <w:r w:rsidRPr="00B55443">
        <w:rPr>
          <w:rFonts w:ascii="仿宋_GB2312" w:eastAsia="仿宋_GB2312" w:hint="eastAsia"/>
          <w:sz w:val="32"/>
          <w:szCs w:val="32"/>
        </w:rPr>
        <w:t>，经济社会</w:t>
      </w:r>
      <w:r w:rsidR="0051692D">
        <w:rPr>
          <w:rFonts w:ascii="仿宋_GB2312" w:eastAsia="仿宋_GB2312" w:hint="eastAsia"/>
          <w:sz w:val="32"/>
          <w:szCs w:val="32"/>
        </w:rPr>
        <w:t>保持了平稳健康</w:t>
      </w:r>
      <w:r w:rsidR="000368C6" w:rsidRPr="00B55443">
        <w:rPr>
          <w:rFonts w:ascii="仿宋_GB2312" w:eastAsia="仿宋_GB2312" w:hint="eastAsia"/>
          <w:sz w:val="32"/>
          <w:szCs w:val="32"/>
        </w:rPr>
        <w:t>发展</w:t>
      </w:r>
      <w:r w:rsidR="0051692D">
        <w:rPr>
          <w:rFonts w:ascii="仿宋_GB2312" w:eastAsia="仿宋_GB2312" w:hint="eastAsia"/>
          <w:sz w:val="32"/>
          <w:szCs w:val="32"/>
        </w:rPr>
        <w:t>，实现了“十三五”良好开局</w:t>
      </w:r>
      <w:r w:rsidRPr="00B55443">
        <w:rPr>
          <w:rFonts w:ascii="仿宋_GB2312" w:eastAsia="仿宋_GB2312" w:hint="eastAsia"/>
          <w:sz w:val="32"/>
          <w:szCs w:val="32"/>
        </w:rPr>
        <w:t>。</w:t>
      </w:r>
    </w:p>
    <w:p w:rsidR="00314397" w:rsidRPr="00900194" w:rsidRDefault="00314397" w:rsidP="001B06CE">
      <w:pPr>
        <w:adjustRightInd w:val="0"/>
        <w:snapToGrid w:val="0"/>
        <w:ind w:firstLine="640"/>
        <w:rPr>
          <w:rFonts w:ascii="黑体" w:eastAsia="黑体"/>
          <w:bCs/>
          <w:sz w:val="32"/>
          <w:szCs w:val="32"/>
        </w:rPr>
      </w:pPr>
      <w:r w:rsidRPr="00900194">
        <w:rPr>
          <w:rFonts w:ascii="黑体" w:eastAsia="黑体" w:hint="eastAsia"/>
          <w:bCs/>
          <w:sz w:val="32"/>
          <w:szCs w:val="32"/>
        </w:rPr>
        <w:t>一、</w:t>
      </w:r>
      <w:r w:rsidR="00A87E34" w:rsidRPr="00900194">
        <w:rPr>
          <w:rFonts w:ascii="黑体" w:eastAsia="黑体" w:hint="eastAsia"/>
          <w:bCs/>
          <w:sz w:val="32"/>
          <w:szCs w:val="32"/>
        </w:rPr>
        <w:t>人口</w:t>
      </w:r>
    </w:p>
    <w:p w:rsidR="00A87E34" w:rsidRPr="00C55F3D" w:rsidRDefault="00314397" w:rsidP="001B06CE">
      <w:pPr>
        <w:adjustRightInd w:val="0"/>
        <w:snapToGrid w:val="0"/>
        <w:ind w:firstLine="640"/>
        <w:rPr>
          <w:rFonts w:ascii="仿宋_GB2312" w:eastAsia="仿宋_GB2312"/>
          <w:color w:val="FF0000"/>
          <w:sz w:val="32"/>
          <w:szCs w:val="32"/>
        </w:rPr>
      </w:pPr>
      <w:r w:rsidRPr="00900194">
        <w:rPr>
          <w:rFonts w:ascii="仿宋_GB2312" w:eastAsia="仿宋_GB2312" w:hint="eastAsia"/>
          <w:sz w:val="32"/>
          <w:szCs w:val="32"/>
        </w:rPr>
        <w:t>201</w:t>
      </w:r>
      <w:r w:rsidR="00B55443" w:rsidRPr="00900194">
        <w:rPr>
          <w:rFonts w:ascii="仿宋_GB2312" w:eastAsia="仿宋_GB2312" w:hint="eastAsia"/>
          <w:sz w:val="32"/>
          <w:szCs w:val="32"/>
        </w:rPr>
        <w:t>6</w:t>
      </w:r>
      <w:r w:rsidRPr="00900194">
        <w:rPr>
          <w:rFonts w:ascii="仿宋_GB2312" w:eastAsia="仿宋_GB2312" w:hint="eastAsia"/>
          <w:sz w:val="32"/>
          <w:szCs w:val="32"/>
        </w:rPr>
        <w:t>年末，全区常住人口</w:t>
      </w:r>
      <w:r w:rsidR="00B55443" w:rsidRPr="00900194">
        <w:rPr>
          <w:rFonts w:ascii="仿宋_GB2312" w:eastAsia="仿宋_GB2312" w:hint="eastAsia"/>
          <w:sz w:val="32"/>
          <w:szCs w:val="32"/>
        </w:rPr>
        <w:t>87.8</w:t>
      </w:r>
      <w:r w:rsidRPr="00900194">
        <w:rPr>
          <w:rFonts w:ascii="仿宋_GB2312" w:eastAsia="仿宋_GB2312"/>
          <w:sz w:val="32"/>
          <w:szCs w:val="32"/>
        </w:rPr>
        <w:t>万人</w:t>
      </w:r>
      <w:r w:rsidRPr="00900194">
        <w:rPr>
          <w:rFonts w:ascii="仿宋_GB2312" w:eastAsia="仿宋_GB2312" w:hint="eastAsia"/>
          <w:sz w:val="32"/>
          <w:szCs w:val="32"/>
        </w:rPr>
        <w:t>，较201</w:t>
      </w:r>
      <w:r w:rsidR="00B55443" w:rsidRPr="00900194">
        <w:rPr>
          <w:rFonts w:ascii="仿宋_GB2312" w:eastAsia="仿宋_GB2312" w:hint="eastAsia"/>
          <w:sz w:val="32"/>
          <w:szCs w:val="32"/>
        </w:rPr>
        <w:t>5</w:t>
      </w:r>
      <w:r w:rsidRPr="00900194">
        <w:rPr>
          <w:rFonts w:ascii="仿宋_GB2312" w:eastAsia="仿宋_GB2312" w:hint="eastAsia"/>
          <w:sz w:val="32"/>
          <w:szCs w:val="32"/>
        </w:rPr>
        <w:t>年末减少</w:t>
      </w:r>
      <w:r w:rsidR="00B55443" w:rsidRPr="00900194">
        <w:rPr>
          <w:rFonts w:ascii="仿宋_GB2312" w:eastAsia="仿宋_GB2312" w:hint="eastAsia"/>
          <w:sz w:val="32"/>
          <w:szCs w:val="32"/>
        </w:rPr>
        <w:t>2.7万</w:t>
      </w:r>
      <w:r w:rsidRPr="00900194">
        <w:rPr>
          <w:rFonts w:ascii="仿宋_GB2312" w:eastAsia="仿宋_GB2312" w:hint="eastAsia"/>
          <w:sz w:val="32"/>
          <w:szCs w:val="32"/>
        </w:rPr>
        <w:t>人，降幅为</w:t>
      </w:r>
      <w:r w:rsidR="00B55443" w:rsidRPr="00900194">
        <w:rPr>
          <w:rFonts w:ascii="仿宋_GB2312" w:eastAsia="仿宋_GB2312" w:hint="eastAsia"/>
          <w:sz w:val="32"/>
          <w:szCs w:val="32"/>
        </w:rPr>
        <w:t>3</w:t>
      </w:r>
      <w:r w:rsidRPr="00900194">
        <w:rPr>
          <w:rFonts w:ascii="仿宋_GB2312" w:eastAsia="仿宋_GB2312" w:hint="eastAsia"/>
          <w:sz w:val="32"/>
          <w:szCs w:val="32"/>
        </w:rPr>
        <w:t>%。其中，常住外来人口</w:t>
      </w:r>
      <w:r w:rsidR="00900194" w:rsidRPr="00900194">
        <w:rPr>
          <w:rFonts w:ascii="仿宋_GB2312" w:eastAsia="仿宋_GB2312" w:hint="eastAsia"/>
          <w:sz w:val="32"/>
          <w:szCs w:val="32"/>
        </w:rPr>
        <w:t>19.2</w:t>
      </w:r>
      <w:r w:rsidRPr="00900194">
        <w:rPr>
          <w:rFonts w:ascii="仿宋_GB2312" w:eastAsia="仿宋_GB2312" w:hint="eastAsia"/>
          <w:sz w:val="32"/>
          <w:szCs w:val="32"/>
        </w:rPr>
        <w:t>万人，较201</w:t>
      </w:r>
      <w:r w:rsidR="00900194" w:rsidRPr="00900194">
        <w:rPr>
          <w:rFonts w:ascii="仿宋_GB2312" w:eastAsia="仿宋_GB2312" w:hint="eastAsia"/>
          <w:sz w:val="32"/>
          <w:szCs w:val="32"/>
        </w:rPr>
        <w:t>5</w:t>
      </w:r>
      <w:r w:rsidRPr="00900194">
        <w:rPr>
          <w:rFonts w:ascii="仿宋_GB2312" w:eastAsia="仿宋_GB2312" w:hint="eastAsia"/>
          <w:sz w:val="32"/>
          <w:szCs w:val="32"/>
        </w:rPr>
        <w:t>末减少</w:t>
      </w:r>
      <w:r w:rsidR="00900194" w:rsidRPr="00900194">
        <w:rPr>
          <w:rFonts w:ascii="仿宋_GB2312" w:eastAsia="仿宋_GB2312" w:hint="eastAsia"/>
          <w:sz w:val="32"/>
          <w:szCs w:val="32"/>
        </w:rPr>
        <w:t>1.5万</w:t>
      </w:r>
      <w:r w:rsidRPr="00900194">
        <w:rPr>
          <w:rFonts w:ascii="仿宋_GB2312" w:eastAsia="仿宋_GB2312" w:hint="eastAsia"/>
          <w:sz w:val="32"/>
          <w:szCs w:val="32"/>
        </w:rPr>
        <w:t>人，降幅为</w:t>
      </w:r>
      <w:r w:rsidR="00900194" w:rsidRPr="00900194">
        <w:rPr>
          <w:rFonts w:ascii="仿宋_GB2312" w:eastAsia="仿宋_GB2312" w:hint="eastAsia"/>
          <w:sz w:val="32"/>
          <w:szCs w:val="32"/>
        </w:rPr>
        <w:t>7.2</w:t>
      </w:r>
      <w:r w:rsidRPr="00900194">
        <w:rPr>
          <w:rFonts w:ascii="仿宋_GB2312" w:eastAsia="仿宋_GB2312" w:hint="eastAsia"/>
          <w:sz w:val="32"/>
          <w:szCs w:val="32"/>
        </w:rPr>
        <w:t>%，占常住人口的比重为</w:t>
      </w:r>
      <w:r w:rsidR="00900194" w:rsidRPr="00900194">
        <w:rPr>
          <w:rFonts w:ascii="仿宋_GB2312" w:eastAsia="仿宋_GB2312" w:hint="eastAsia"/>
          <w:sz w:val="32"/>
          <w:szCs w:val="32"/>
        </w:rPr>
        <w:t>21.9</w:t>
      </w:r>
      <w:r w:rsidRPr="00900194">
        <w:rPr>
          <w:rFonts w:ascii="仿宋_GB2312" w:eastAsia="仿宋_GB2312" w:hint="eastAsia"/>
          <w:sz w:val="32"/>
          <w:szCs w:val="32"/>
        </w:rPr>
        <w:t>%。常住人口密度为2.</w:t>
      </w:r>
      <w:r w:rsidR="00900194" w:rsidRPr="00900194">
        <w:rPr>
          <w:rFonts w:ascii="仿宋_GB2312" w:eastAsia="仿宋_GB2312" w:hint="eastAsia"/>
          <w:sz w:val="32"/>
          <w:szCs w:val="32"/>
        </w:rPr>
        <w:t>1</w:t>
      </w:r>
      <w:r w:rsidRPr="00900194">
        <w:rPr>
          <w:rFonts w:ascii="仿宋_GB2312" w:eastAsia="仿宋_GB2312" w:hint="eastAsia"/>
          <w:sz w:val="32"/>
          <w:szCs w:val="32"/>
        </w:rPr>
        <w:t>万人/平方公里，</w:t>
      </w:r>
      <w:r w:rsidR="00900194" w:rsidRPr="00900194">
        <w:rPr>
          <w:rFonts w:ascii="仿宋_GB2312" w:eastAsia="仿宋_GB2312" w:hint="eastAsia"/>
          <w:sz w:val="32"/>
          <w:szCs w:val="32"/>
        </w:rPr>
        <w:t>较上年减少0.1万人/平方公里</w:t>
      </w:r>
      <w:r w:rsidRPr="00900194">
        <w:rPr>
          <w:rFonts w:ascii="仿宋_GB2312" w:eastAsia="仿宋_GB2312" w:hint="eastAsia"/>
          <w:sz w:val="32"/>
          <w:szCs w:val="32"/>
        </w:rPr>
        <w:t>。</w:t>
      </w:r>
      <w:r w:rsidRPr="00851609">
        <w:rPr>
          <w:rFonts w:ascii="仿宋_GB2312" w:eastAsia="仿宋_GB2312" w:hint="eastAsia"/>
          <w:sz w:val="32"/>
          <w:szCs w:val="32"/>
        </w:rPr>
        <w:t>年末全区户籍人口97.4万人。</w:t>
      </w:r>
    </w:p>
    <w:p w:rsidR="00A87E34" w:rsidRPr="00900194" w:rsidRDefault="00A87E34" w:rsidP="00C549BE">
      <w:pPr>
        <w:widowControl/>
        <w:shd w:val="clear" w:color="auto" w:fill="FFFFFF"/>
        <w:adjustRightInd w:val="0"/>
        <w:snapToGrid w:val="0"/>
        <w:ind w:firstLine="562"/>
        <w:jc w:val="center"/>
        <w:rPr>
          <w:rFonts w:ascii="Simsun" w:hAnsi="Simsun" w:cs="宋体" w:hint="eastAsia"/>
          <w:kern w:val="0"/>
          <w:sz w:val="28"/>
          <w:szCs w:val="28"/>
        </w:rPr>
      </w:pPr>
      <w:r w:rsidRPr="00900194">
        <w:rPr>
          <w:rFonts w:ascii="宋体" w:hAnsi="宋体" w:cs="宋体" w:hint="eastAsia"/>
          <w:b/>
          <w:bCs/>
          <w:kern w:val="0"/>
          <w:sz w:val="28"/>
          <w:szCs w:val="28"/>
        </w:rPr>
        <w:t>表1</w:t>
      </w:r>
      <w:r w:rsidR="001B06CE">
        <w:rPr>
          <w:rFonts w:ascii="宋体" w:hAnsi="宋体" w:cs="宋体" w:hint="eastAsia"/>
          <w:b/>
          <w:bCs/>
          <w:kern w:val="0"/>
          <w:sz w:val="28"/>
          <w:szCs w:val="28"/>
        </w:rPr>
        <w:t xml:space="preserve"> </w:t>
      </w:r>
      <w:r w:rsidRPr="00900194">
        <w:rPr>
          <w:rFonts w:ascii="宋体" w:hAnsi="宋体" w:cs="宋体" w:hint="eastAsia"/>
          <w:b/>
          <w:bCs/>
          <w:kern w:val="0"/>
          <w:sz w:val="28"/>
          <w:szCs w:val="28"/>
        </w:rPr>
        <w:t>201</w:t>
      </w:r>
      <w:r w:rsidR="00900194" w:rsidRPr="00900194">
        <w:rPr>
          <w:rFonts w:ascii="宋体" w:hAnsi="宋体" w:cs="宋体" w:hint="eastAsia"/>
          <w:b/>
          <w:bCs/>
          <w:kern w:val="0"/>
          <w:sz w:val="28"/>
          <w:szCs w:val="28"/>
        </w:rPr>
        <w:t>6</w:t>
      </w:r>
      <w:r w:rsidRPr="00900194">
        <w:rPr>
          <w:rFonts w:ascii="宋体" w:hAnsi="宋体" w:cs="宋体" w:hint="eastAsia"/>
          <w:b/>
          <w:bCs/>
          <w:kern w:val="0"/>
          <w:sz w:val="28"/>
          <w:szCs w:val="28"/>
        </w:rPr>
        <w:t>年末常住人口及构成</w:t>
      </w:r>
    </w:p>
    <w:tbl>
      <w:tblPr>
        <w:tblW w:w="5000" w:type="pct"/>
        <w:jc w:val="center"/>
        <w:tblCellMar>
          <w:left w:w="0" w:type="dxa"/>
          <w:right w:w="0" w:type="dxa"/>
        </w:tblCellMar>
        <w:tblLook w:val="0000"/>
      </w:tblPr>
      <w:tblGrid>
        <w:gridCol w:w="4478"/>
        <w:gridCol w:w="2465"/>
        <w:gridCol w:w="2009"/>
      </w:tblGrid>
      <w:tr w:rsidR="00A87E34" w:rsidRPr="00900194">
        <w:trPr>
          <w:trHeight w:val="403"/>
          <w:jc w:val="center"/>
        </w:trPr>
        <w:tc>
          <w:tcPr>
            <w:tcW w:w="2501" w:type="pct"/>
            <w:tcBorders>
              <w:top w:val="single" w:sz="8" w:space="0" w:color="000000"/>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center"/>
              <w:rPr>
                <w:rFonts w:ascii="宋体" w:hAnsi="宋体" w:cs="宋体"/>
                <w:kern w:val="0"/>
                <w:szCs w:val="21"/>
              </w:rPr>
            </w:pPr>
            <w:r w:rsidRPr="00900194">
              <w:rPr>
                <w:rFonts w:ascii="宋体" w:hAnsi="宋体" w:cs="宋体" w:hint="eastAsia"/>
                <w:kern w:val="0"/>
                <w:szCs w:val="21"/>
              </w:rPr>
              <w:t>指 　标</w:t>
            </w:r>
          </w:p>
        </w:tc>
        <w:tc>
          <w:tcPr>
            <w:tcW w:w="137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C4722C">
            <w:pPr>
              <w:widowControl/>
              <w:spacing w:line="227" w:lineRule="atLeast"/>
              <w:ind w:firstLine="420"/>
              <w:jc w:val="center"/>
              <w:rPr>
                <w:rFonts w:ascii="宋体" w:hAnsi="宋体" w:cs="宋体"/>
                <w:kern w:val="0"/>
                <w:szCs w:val="21"/>
              </w:rPr>
            </w:pPr>
            <w:r w:rsidRPr="00900194">
              <w:rPr>
                <w:rFonts w:ascii="宋体" w:hAnsi="宋体" w:cs="宋体" w:hint="eastAsia"/>
                <w:kern w:val="0"/>
                <w:szCs w:val="21"/>
              </w:rPr>
              <w:t>年末数（万人）</w:t>
            </w:r>
          </w:p>
        </w:tc>
        <w:tc>
          <w:tcPr>
            <w:tcW w:w="1122" w:type="pct"/>
            <w:tcBorders>
              <w:top w:val="single" w:sz="8" w:space="0" w:color="000000"/>
              <w:left w:val="nil"/>
              <w:bottom w:val="single" w:sz="8" w:space="0" w:color="000000"/>
              <w:right w:val="nil"/>
            </w:tcBorders>
            <w:tcMar>
              <w:left w:w="108" w:type="dxa"/>
              <w:right w:w="108" w:type="dxa"/>
            </w:tcMar>
            <w:vAlign w:val="center"/>
          </w:tcPr>
          <w:p w:rsidR="00A87E34" w:rsidRPr="00900194" w:rsidRDefault="00A87E34" w:rsidP="00C4722C">
            <w:pPr>
              <w:widowControl/>
              <w:spacing w:line="227" w:lineRule="atLeast"/>
              <w:ind w:firstLine="420"/>
              <w:jc w:val="center"/>
              <w:rPr>
                <w:rFonts w:ascii="宋体" w:hAnsi="宋体" w:cs="宋体"/>
                <w:kern w:val="0"/>
                <w:szCs w:val="21"/>
              </w:rPr>
            </w:pPr>
            <w:r w:rsidRPr="00900194">
              <w:rPr>
                <w:rFonts w:ascii="宋体" w:hAnsi="宋体" w:cs="宋体" w:hint="eastAsia"/>
                <w:kern w:val="0"/>
                <w:szCs w:val="21"/>
              </w:rPr>
              <w:t>比重（%）</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常住人口</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900194" w:rsidP="00C4722C">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87.8</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A87E34" w:rsidP="00C4722C">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100.0</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 xml:space="preserve">　按性别分：男性</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 xml:space="preserve">　4</w:t>
            </w:r>
            <w:r w:rsidR="00900194" w:rsidRPr="00900194">
              <w:rPr>
                <w:rFonts w:ascii="宋体" w:hAnsi="宋体" w:cs="宋体" w:hint="eastAsia"/>
                <w:kern w:val="0"/>
                <w:szCs w:val="21"/>
              </w:rPr>
              <w:t>2.7</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D91FAE"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48.</w:t>
            </w:r>
            <w:r w:rsidR="00900194" w:rsidRPr="00900194">
              <w:rPr>
                <w:rFonts w:ascii="宋体" w:hAnsi="宋体" w:cs="宋体" w:hint="eastAsia"/>
                <w:kern w:val="0"/>
                <w:szCs w:val="21"/>
              </w:rPr>
              <w:t>6</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 xml:space="preserve">　　　　　　女性</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4</w:t>
            </w:r>
            <w:r w:rsidR="00900194" w:rsidRPr="00900194">
              <w:rPr>
                <w:rFonts w:ascii="宋体" w:hAnsi="宋体" w:cs="宋体" w:hint="eastAsia"/>
                <w:kern w:val="0"/>
                <w:szCs w:val="21"/>
              </w:rPr>
              <w:t>5.1</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D91FAE"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51.</w:t>
            </w:r>
            <w:r w:rsidR="00900194" w:rsidRPr="00900194">
              <w:rPr>
                <w:rFonts w:ascii="宋体" w:hAnsi="宋体" w:cs="宋体" w:hint="eastAsia"/>
                <w:kern w:val="0"/>
                <w:szCs w:val="21"/>
              </w:rPr>
              <w:t>4</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 xml:space="preserve">　按年龄组分：0-14岁</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8.</w:t>
            </w:r>
            <w:r w:rsidR="00900194" w:rsidRPr="00900194">
              <w:rPr>
                <w:rFonts w:ascii="宋体" w:hAnsi="宋体" w:cs="宋体" w:hint="eastAsia"/>
                <w:kern w:val="0"/>
                <w:szCs w:val="21"/>
              </w:rPr>
              <w:t>5</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9.</w:t>
            </w:r>
            <w:r w:rsidR="00900194" w:rsidRPr="00900194">
              <w:rPr>
                <w:rFonts w:ascii="宋体" w:hAnsi="宋体" w:cs="宋体" w:hint="eastAsia"/>
                <w:kern w:val="0"/>
                <w:szCs w:val="21"/>
              </w:rPr>
              <w:t>7</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 xml:space="preserve">　　　　　　　15-</w:t>
            </w:r>
            <w:r w:rsidR="007C6A9B" w:rsidRPr="00900194">
              <w:rPr>
                <w:rFonts w:ascii="宋体" w:hAnsi="宋体" w:cs="宋体" w:hint="eastAsia"/>
                <w:kern w:val="0"/>
                <w:szCs w:val="21"/>
              </w:rPr>
              <w:t>64</w:t>
            </w:r>
            <w:r w:rsidRPr="00900194">
              <w:rPr>
                <w:rFonts w:ascii="宋体" w:hAnsi="宋体" w:cs="宋体" w:hint="eastAsia"/>
                <w:kern w:val="0"/>
                <w:szCs w:val="21"/>
              </w:rPr>
              <w:t>岁</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 xml:space="preserve">　6</w:t>
            </w:r>
            <w:r w:rsidR="00900194" w:rsidRPr="00900194">
              <w:rPr>
                <w:rFonts w:ascii="宋体" w:hAnsi="宋体" w:cs="宋体" w:hint="eastAsia"/>
                <w:kern w:val="0"/>
                <w:szCs w:val="21"/>
              </w:rPr>
              <w:t>5.4</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7</w:t>
            </w:r>
            <w:r w:rsidR="00900194" w:rsidRPr="00900194">
              <w:rPr>
                <w:rFonts w:ascii="宋体" w:hAnsi="宋体" w:cs="宋体" w:hint="eastAsia"/>
                <w:kern w:val="0"/>
                <w:szCs w:val="21"/>
              </w:rPr>
              <w:t>4.5</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 xml:space="preserve">　　　　　　　6</w:t>
            </w:r>
            <w:r w:rsidR="007C6A9B" w:rsidRPr="00900194">
              <w:rPr>
                <w:rFonts w:ascii="宋体" w:hAnsi="宋体" w:cs="宋体" w:hint="eastAsia"/>
                <w:kern w:val="0"/>
                <w:szCs w:val="21"/>
              </w:rPr>
              <w:t>5</w:t>
            </w:r>
            <w:r w:rsidRPr="00900194">
              <w:rPr>
                <w:rFonts w:ascii="宋体" w:hAnsi="宋体" w:cs="宋体" w:hint="eastAsia"/>
                <w:kern w:val="0"/>
                <w:szCs w:val="21"/>
              </w:rPr>
              <w:t>岁及以上</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1</w:t>
            </w:r>
            <w:r w:rsidR="00900194" w:rsidRPr="00900194">
              <w:rPr>
                <w:rFonts w:ascii="宋体" w:hAnsi="宋体" w:cs="宋体" w:hint="eastAsia"/>
                <w:kern w:val="0"/>
                <w:szCs w:val="21"/>
              </w:rPr>
              <w:t>3.9</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7C6A9B"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15.</w:t>
            </w:r>
            <w:r w:rsidR="00900194" w:rsidRPr="00900194">
              <w:rPr>
                <w:rFonts w:ascii="宋体" w:hAnsi="宋体" w:cs="宋体" w:hint="eastAsia"/>
                <w:kern w:val="0"/>
                <w:szCs w:val="21"/>
              </w:rPr>
              <w:t>8</w:t>
            </w:r>
            <w:r w:rsidR="00A87E34" w:rsidRPr="00900194">
              <w:rPr>
                <w:rFonts w:ascii="宋体" w:hAnsi="宋体" w:cs="宋体" w:hint="eastAsia"/>
                <w:kern w:val="0"/>
                <w:szCs w:val="21"/>
              </w:rPr>
              <w:t xml:space="preserve"> </w:t>
            </w:r>
          </w:p>
        </w:tc>
      </w:tr>
      <w:tr w:rsidR="00A87E34" w:rsidRPr="00900194">
        <w:trPr>
          <w:trHeight w:val="403"/>
          <w:jc w:val="center"/>
        </w:trPr>
        <w:tc>
          <w:tcPr>
            <w:tcW w:w="2501" w:type="pct"/>
            <w:tcBorders>
              <w:top w:val="nil"/>
              <w:left w:val="nil"/>
              <w:bottom w:val="single" w:sz="8" w:space="0" w:color="000000"/>
              <w:right w:val="single" w:sz="8" w:space="0" w:color="000000"/>
            </w:tcBorders>
            <w:vAlign w:val="center"/>
          </w:tcPr>
          <w:p w:rsidR="00A87E34" w:rsidRPr="00900194" w:rsidRDefault="00A87E34" w:rsidP="00C4722C">
            <w:pPr>
              <w:widowControl/>
              <w:spacing w:line="227" w:lineRule="atLeast"/>
              <w:ind w:firstLine="420"/>
              <w:jc w:val="left"/>
              <w:rPr>
                <w:rFonts w:ascii="宋体" w:hAnsi="宋体" w:cs="宋体"/>
                <w:kern w:val="0"/>
                <w:szCs w:val="21"/>
              </w:rPr>
            </w:pPr>
            <w:r w:rsidRPr="00900194">
              <w:rPr>
                <w:rFonts w:ascii="宋体" w:hAnsi="宋体" w:cs="宋体" w:hint="eastAsia"/>
                <w:kern w:val="0"/>
                <w:szCs w:val="21"/>
              </w:rPr>
              <w:t xml:space="preserve">　　　　　　　6</w:t>
            </w:r>
            <w:r w:rsidR="007C6A9B" w:rsidRPr="00900194">
              <w:rPr>
                <w:rFonts w:ascii="宋体" w:hAnsi="宋体" w:cs="宋体" w:hint="eastAsia"/>
                <w:kern w:val="0"/>
                <w:szCs w:val="21"/>
              </w:rPr>
              <w:t>0</w:t>
            </w:r>
            <w:r w:rsidRPr="00900194">
              <w:rPr>
                <w:rFonts w:ascii="宋体" w:hAnsi="宋体" w:cs="宋体" w:hint="eastAsia"/>
                <w:kern w:val="0"/>
                <w:szCs w:val="21"/>
              </w:rPr>
              <w:t>岁及以上</w:t>
            </w:r>
          </w:p>
        </w:tc>
        <w:tc>
          <w:tcPr>
            <w:tcW w:w="137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7E34" w:rsidRPr="00900194" w:rsidRDefault="00A87E34" w:rsidP="00C4722C">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1</w:t>
            </w:r>
            <w:r w:rsidR="007C6A9B" w:rsidRPr="00900194">
              <w:rPr>
                <w:rFonts w:ascii="宋体" w:hAnsi="宋体" w:cs="宋体" w:hint="eastAsia"/>
                <w:kern w:val="0"/>
                <w:szCs w:val="21"/>
              </w:rPr>
              <w:t>8.2</w:t>
            </w:r>
          </w:p>
        </w:tc>
        <w:tc>
          <w:tcPr>
            <w:tcW w:w="1122" w:type="pct"/>
            <w:tcBorders>
              <w:top w:val="nil"/>
              <w:left w:val="nil"/>
              <w:bottom w:val="single" w:sz="8" w:space="0" w:color="000000"/>
              <w:right w:val="nil"/>
            </w:tcBorders>
            <w:tcMar>
              <w:left w:w="108" w:type="dxa"/>
              <w:right w:w="108" w:type="dxa"/>
            </w:tcMar>
            <w:vAlign w:val="center"/>
          </w:tcPr>
          <w:p w:rsidR="00A87E34" w:rsidRPr="00900194" w:rsidRDefault="007C6A9B" w:rsidP="00900194">
            <w:pPr>
              <w:widowControl/>
              <w:spacing w:line="227" w:lineRule="atLeast"/>
              <w:ind w:right="611" w:firstLine="420"/>
              <w:jc w:val="right"/>
              <w:rPr>
                <w:rFonts w:ascii="宋体" w:hAnsi="宋体" w:cs="宋体"/>
                <w:kern w:val="0"/>
                <w:szCs w:val="21"/>
              </w:rPr>
            </w:pPr>
            <w:r w:rsidRPr="00900194">
              <w:rPr>
                <w:rFonts w:ascii="宋体" w:hAnsi="宋体" w:cs="宋体" w:hint="eastAsia"/>
                <w:kern w:val="0"/>
                <w:szCs w:val="21"/>
              </w:rPr>
              <w:t>20.</w:t>
            </w:r>
            <w:r w:rsidR="00900194" w:rsidRPr="00900194">
              <w:rPr>
                <w:rFonts w:ascii="宋体" w:hAnsi="宋体" w:cs="宋体" w:hint="eastAsia"/>
                <w:kern w:val="0"/>
                <w:szCs w:val="21"/>
              </w:rPr>
              <w:t>7</w:t>
            </w:r>
          </w:p>
        </w:tc>
      </w:tr>
    </w:tbl>
    <w:p w:rsidR="000D328C" w:rsidRDefault="000D328C" w:rsidP="00AF3EC5">
      <w:pPr>
        <w:adjustRightInd w:val="0"/>
        <w:snapToGrid w:val="0"/>
        <w:ind w:firstLine="562"/>
        <w:jc w:val="center"/>
        <w:rPr>
          <w:rFonts w:ascii="宋体" w:hAnsi="宋体"/>
          <w:b/>
          <w:sz w:val="28"/>
          <w:szCs w:val="28"/>
        </w:rPr>
      </w:pPr>
    </w:p>
    <w:p w:rsidR="00C549BE" w:rsidRPr="00043F7B" w:rsidRDefault="00DF7BFE" w:rsidP="00AF3EC5">
      <w:pPr>
        <w:adjustRightInd w:val="0"/>
        <w:snapToGrid w:val="0"/>
        <w:ind w:firstLine="562"/>
        <w:jc w:val="center"/>
        <w:rPr>
          <w:rFonts w:ascii="仿宋_GB2312" w:eastAsia="仿宋_GB2312"/>
          <w:sz w:val="32"/>
          <w:szCs w:val="32"/>
        </w:rPr>
      </w:pPr>
      <w:r>
        <w:rPr>
          <w:rFonts w:ascii="宋体" w:hAnsi="宋体" w:hint="eastAsia"/>
          <w:b/>
          <w:noProof/>
          <w:sz w:val="28"/>
          <w:szCs w:val="28"/>
        </w:rPr>
        <w:drawing>
          <wp:anchor distT="134112" distB="765048" distL="297180" distR="711708" simplePos="0" relativeHeight="251651584" behindDoc="0" locked="0" layoutInCell="1" allowOverlap="1">
            <wp:simplePos x="0" y="0"/>
            <wp:positionH relativeFrom="column">
              <wp:posOffset>629666</wp:posOffset>
            </wp:positionH>
            <wp:positionV relativeFrom="paragraph">
              <wp:posOffset>344424</wp:posOffset>
            </wp:positionV>
            <wp:extent cx="4571873" cy="2781427"/>
            <wp:effectExtent l="0" t="0" r="0" b="0"/>
            <wp:wrapNone/>
            <wp:docPr id="14"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F3EC5" w:rsidRPr="00043F7B">
        <w:rPr>
          <w:rFonts w:ascii="宋体" w:hAnsi="宋体" w:hint="eastAsia"/>
          <w:b/>
          <w:sz w:val="28"/>
          <w:szCs w:val="28"/>
        </w:rPr>
        <w:t>图1 2011年-201</w:t>
      </w:r>
      <w:r w:rsidR="00043F7B" w:rsidRPr="00043F7B">
        <w:rPr>
          <w:rFonts w:ascii="宋体" w:hAnsi="宋体" w:hint="eastAsia"/>
          <w:b/>
          <w:sz w:val="28"/>
          <w:szCs w:val="28"/>
        </w:rPr>
        <w:t>6</w:t>
      </w:r>
      <w:r w:rsidR="00AF3EC5" w:rsidRPr="00043F7B">
        <w:rPr>
          <w:rFonts w:ascii="宋体" w:hAnsi="宋体" w:hint="eastAsia"/>
          <w:b/>
          <w:sz w:val="28"/>
          <w:szCs w:val="28"/>
        </w:rPr>
        <w:t>年常住人口情况</w:t>
      </w:r>
    </w:p>
    <w:p w:rsidR="00C549BE" w:rsidRPr="00C55F3D" w:rsidRDefault="00C549BE" w:rsidP="00AF3EC5">
      <w:pPr>
        <w:adjustRightInd w:val="0"/>
        <w:snapToGrid w:val="0"/>
        <w:ind w:firstLine="640"/>
        <w:rPr>
          <w:rFonts w:ascii="仿宋_GB2312" w:eastAsia="仿宋_GB2312"/>
          <w:color w:val="FF0000"/>
          <w:sz w:val="32"/>
          <w:szCs w:val="32"/>
        </w:rPr>
      </w:pPr>
    </w:p>
    <w:p w:rsidR="00C549BE" w:rsidRPr="00C55F3D" w:rsidRDefault="00C549BE" w:rsidP="00C549BE">
      <w:pPr>
        <w:adjustRightInd w:val="0"/>
        <w:snapToGrid w:val="0"/>
        <w:ind w:firstLine="640"/>
        <w:rPr>
          <w:rFonts w:ascii="仿宋_GB2312" w:eastAsia="仿宋_GB2312"/>
          <w:color w:val="FF0000"/>
          <w:sz w:val="32"/>
          <w:szCs w:val="32"/>
        </w:rPr>
      </w:pPr>
    </w:p>
    <w:p w:rsidR="00C549BE" w:rsidRPr="00C55F3D" w:rsidRDefault="00C549BE" w:rsidP="00C549BE">
      <w:pPr>
        <w:adjustRightInd w:val="0"/>
        <w:snapToGrid w:val="0"/>
        <w:ind w:firstLine="640"/>
        <w:rPr>
          <w:rFonts w:ascii="仿宋_GB2312" w:eastAsia="仿宋_GB2312"/>
          <w:color w:val="FF0000"/>
          <w:sz w:val="32"/>
          <w:szCs w:val="32"/>
        </w:rPr>
      </w:pPr>
    </w:p>
    <w:p w:rsidR="00C549BE" w:rsidRPr="00C55F3D" w:rsidRDefault="00C549BE" w:rsidP="00C549BE">
      <w:pPr>
        <w:adjustRightInd w:val="0"/>
        <w:snapToGrid w:val="0"/>
        <w:ind w:firstLine="640"/>
        <w:rPr>
          <w:rFonts w:ascii="仿宋_GB2312" w:eastAsia="仿宋_GB2312"/>
          <w:color w:val="FF0000"/>
          <w:sz w:val="32"/>
          <w:szCs w:val="32"/>
        </w:rPr>
      </w:pPr>
    </w:p>
    <w:p w:rsidR="00C549BE" w:rsidRPr="00C55F3D" w:rsidRDefault="00C549BE" w:rsidP="00C549BE">
      <w:pPr>
        <w:adjustRightInd w:val="0"/>
        <w:snapToGrid w:val="0"/>
        <w:ind w:firstLine="640"/>
        <w:rPr>
          <w:rFonts w:ascii="仿宋_GB2312" w:eastAsia="仿宋_GB2312"/>
          <w:color w:val="FF0000"/>
          <w:sz w:val="32"/>
          <w:szCs w:val="32"/>
        </w:rPr>
      </w:pPr>
    </w:p>
    <w:p w:rsidR="00C549BE" w:rsidRPr="00C55F3D" w:rsidRDefault="00C549BE" w:rsidP="00C549BE">
      <w:pPr>
        <w:adjustRightInd w:val="0"/>
        <w:snapToGrid w:val="0"/>
        <w:ind w:firstLine="640"/>
        <w:rPr>
          <w:rFonts w:ascii="仿宋_GB2312" w:eastAsia="仿宋_GB2312"/>
          <w:color w:val="FF0000"/>
          <w:sz w:val="32"/>
          <w:szCs w:val="32"/>
        </w:rPr>
      </w:pPr>
    </w:p>
    <w:p w:rsidR="000D328C" w:rsidRDefault="000D328C" w:rsidP="00E51051">
      <w:pPr>
        <w:adjustRightInd w:val="0"/>
        <w:snapToGrid w:val="0"/>
        <w:ind w:firstLineChars="0" w:firstLine="0"/>
        <w:rPr>
          <w:rFonts w:ascii="黑体" w:eastAsia="黑体" w:hint="eastAsia"/>
          <w:bCs/>
          <w:sz w:val="32"/>
          <w:szCs w:val="32"/>
        </w:rPr>
      </w:pPr>
    </w:p>
    <w:p w:rsidR="00E51051" w:rsidRDefault="00E51051" w:rsidP="00E51051">
      <w:pPr>
        <w:adjustRightInd w:val="0"/>
        <w:snapToGrid w:val="0"/>
        <w:ind w:firstLineChars="0" w:firstLine="0"/>
        <w:rPr>
          <w:rFonts w:ascii="黑体" w:eastAsia="黑体"/>
          <w:bCs/>
          <w:sz w:val="32"/>
          <w:szCs w:val="32"/>
        </w:rPr>
      </w:pPr>
    </w:p>
    <w:p w:rsidR="00314397" w:rsidRPr="00084BB0" w:rsidRDefault="00314397" w:rsidP="001B06CE">
      <w:pPr>
        <w:adjustRightInd w:val="0"/>
        <w:snapToGrid w:val="0"/>
        <w:ind w:firstLine="640"/>
        <w:rPr>
          <w:rFonts w:ascii="黑体" w:eastAsia="黑体"/>
          <w:bCs/>
          <w:sz w:val="32"/>
          <w:szCs w:val="32"/>
        </w:rPr>
      </w:pPr>
      <w:r w:rsidRPr="00084BB0">
        <w:rPr>
          <w:rFonts w:ascii="黑体" w:eastAsia="黑体" w:hint="eastAsia"/>
          <w:bCs/>
          <w:sz w:val="32"/>
          <w:szCs w:val="32"/>
        </w:rPr>
        <w:t>二、综合经济</w:t>
      </w:r>
    </w:p>
    <w:p w:rsidR="00314397" w:rsidRPr="00084BB0" w:rsidRDefault="00314397" w:rsidP="001B06CE">
      <w:pPr>
        <w:adjustRightInd w:val="0"/>
        <w:snapToGrid w:val="0"/>
        <w:ind w:firstLine="640"/>
        <w:rPr>
          <w:rFonts w:ascii="仿宋_GB2312" w:eastAsia="仿宋_GB2312" w:hAnsi="宋体" w:cs="宋体"/>
          <w:kern w:val="0"/>
          <w:sz w:val="32"/>
          <w:szCs w:val="32"/>
        </w:rPr>
      </w:pPr>
      <w:r w:rsidRPr="00084BB0">
        <w:rPr>
          <w:rFonts w:ascii="黑体" w:eastAsia="黑体" w:hint="eastAsia"/>
          <w:bCs/>
          <w:sz w:val="32"/>
          <w:szCs w:val="32"/>
        </w:rPr>
        <w:t>经济总量：</w:t>
      </w:r>
      <w:r w:rsidRPr="00084BB0">
        <w:rPr>
          <w:rFonts w:ascii="仿宋_GB2312" w:eastAsia="仿宋_GB2312" w:hint="eastAsia"/>
          <w:sz w:val="32"/>
          <w:szCs w:val="32"/>
        </w:rPr>
        <w:t>初步核算，全年</w:t>
      </w:r>
      <w:r w:rsidRPr="00084BB0">
        <w:rPr>
          <w:rFonts w:ascii="仿宋_GB2312" w:eastAsia="仿宋_GB2312" w:hAnsi="宋体" w:cs="宋体" w:hint="eastAsia"/>
          <w:kern w:val="0"/>
          <w:sz w:val="32"/>
          <w:szCs w:val="32"/>
        </w:rPr>
        <w:t>实现地区生产总值</w:t>
      </w:r>
      <w:r w:rsidR="00084BB0" w:rsidRPr="00084BB0">
        <w:rPr>
          <w:rFonts w:ascii="仿宋_GB2312" w:eastAsia="仿宋_GB2312" w:hAnsi="宋体" w:cs="宋体" w:hint="eastAsia"/>
          <w:kern w:val="0"/>
          <w:sz w:val="32"/>
          <w:szCs w:val="32"/>
        </w:rPr>
        <w:t>2009</w:t>
      </w:r>
      <w:r w:rsidRPr="00084BB0">
        <w:rPr>
          <w:rFonts w:ascii="仿宋_GB2312" w:eastAsia="仿宋_GB2312" w:hAnsi="宋体" w:cs="宋体" w:hint="eastAsia"/>
          <w:kern w:val="0"/>
          <w:sz w:val="32"/>
          <w:szCs w:val="32"/>
        </w:rPr>
        <w:t>.8亿元，</w:t>
      </w:r>
      <w:r w:rsidRPr="00084BB0">
        <w:rPr>
          <w:rFonts w:ascii="仿宋_GB2312" w:eastAsia="仿宋_GB2312" w:hint="eastAsia"/>
          <w:sz w:val="32"/>
          <w:szCs w:val="32"/>
        </w:rPr>
        <w:t>按</w:t>
      </w:r>
      <w:r w:rsidR="00084BB0" w:rsidRPr="00084BB0">
        <w:rPr>
          <w:rFonts w:ascii="仿宋_GB2312" w:eastAsia="仿宋_GB2312" w:hint="eastAsia"/>
          <w:sz w:val="32"/>
          <w:szCs w:val="32"/>
        </w:rPr>
        <w:t>不变价</w:t>
      </w:r>
      <w:r w:rsidRPr="00084BB0">
        <w:rPr>
          <w:rFonts w:ascii="仿宋_GB2312" w:eastAsia="仿宋_GB2312" w:hint="eastAsia"/>
          <w:sz w:val="32"/>
          <w:szCs w:val="32"/>
        </w:rPr>
        <w:t>计算，</w:t>
      </w:r>
      <w:r w:rsidR="00891233" w:rsidRPr="00084BB0">
        <w:rPr>
          <w:rFonts w:ascii="仿宋_GB2312" w:eastAsia="仿宋_GB2312" w:hAnsi="宋体" w:cs="宋体" w:hint="eastAsia"/>
          <w:kern w:val="0"/>
          <w:sz w:val="32"/>
          <w:szCs w:val="32"/>
        </w:rPr>
        <w:t>比上年</w:t>
      </w:r>
      <w:r w:rsidRPr="00084BB0">
        <w:rPr>
          <w:rFonts w:ascii="仿宋_GB2312" w:eastAsia="仿宋_GB2312" w:hAnsi="宋体" w:cs="宋体" w:hint="eastAsia"/>
          <w:kern w:val="0"/>
          <w:sz w:val="32"/>
          <w:szCs w:val="32"/>
        </w:rPr>
        <w:t>增长</w:t>
      </w:r>
      <w:r w:rsidR="00084BB0" w:rsidRPr="00084BB0">
        <w:rPr>
          <w:rFonts w:ascii="仿宋_GB2312" w:eastAsia="仿宋_GB2312" w:hAnsi="宋体" w:cs="宋体" w:hint="eastAsia"/>
          <w:kern w:val="0"/>
          <w:sz w:val="32"/>
          <w:szCs w:val="32"/>
        </w:rPr>
        <w:t>6.7</w:t>
      </w:r>
      <w:r w:rsidRPr="00084BB0">
        <w:rPr>
          <w:rFonts w:ascii="仿宋_GB2312" w:eastAsia="仿宋_GB2312" w:hAnsi="宋体" w:cs="宋体" w:hint="eastAsia"/>
          <w:kern w:val="0"/>
          <w:sz w:val="32"/>
          <w:szCs w:val="32"/>
        </w:rPr>
        <w:t>%，其中，第三产业实现增加值</w:t>
      </w:r>
      <w:r w:rsidR="00084BB0" w:rsidRPr="00084BB0">
        <w:rPr>
          <w:rFonts w:ascii="仿宋_GB2312" w:eastAsia="仿宋_GB2312" w:hAnsi="宋体" w:cs="宋体" w:hint="eastAsia"/>
          <w:kern w:val="0"/>
          <w:sz w:val="32"/>
          <w:szCs w:val="32"/>
        </w:rPr>
        <w:t>1930.8</w:t>
      </w:r>
      <w:r w:rsidRPr="00084BB0">
        <w:rPr>
          <w:rFonts w:ascii="仿宋_GB2312" w:eastAsia="仿宋_GB2312" w:hAnsi="宋体" w:cs="宋体" w:hint="eastAsia"/>
          <w:kern w:val="0"/>
          <w:sz w:val="32"/>
          <w:szCs w:val="32"/>
        </w:rPr>
        <w:t>亿元，增长</w:t>
      </w:r>
      <w:r w:rsidR="00084BB0" w:rsidRPr="00084BB0">
        <w:rPr>
          <w:rFonts w:ascii="仿宋_GB2312" w:eastAsia="仿宋_GB2312" w:hAnsi="宋体" w:cs="宋体" w:hint="eastAsia"/>
          <w:kern w:val="0"/>
          <w:sz w:val="32"/>
          <w:szCs w:val="32"/>
        </w:rPr>
        <w:t>6.7</w:t>
      </w:r>
      <w:r w:rsidRPr="00084BB0">
        <w:rPr>
          <w:rFonts w:ascii="仿宋_GB2312" w:eastAsia="仿宋_GB2312" w:hAnsi="宋体" w:cs="宋体" w:hint="eastAsia"/>
          <w:kern w:val="0"/>
          <w:sz w:val="32"/>
          <w:szCs w:val="32"/>
        </w:rPr>
        <w:t>%，占经济总量的9</w:t>
      </w:r>
      <w:r w:rsidR="00084BB0" w:rsidRPr="00084BB0">
        <w:rPr>
          <w:rFonts w:ascii="仿宋_GB2312" w:eastAsia="仿宋_GB2312" w:hAnsi="宋体" w:cs="宋体" w:hint="eastAsia"/>
          <w:kern w:val="0"/>
          <w:sz w:val="32"/>
          <w:szCs w:val="32"/>
        </w:rPr>
        <w:t>6.1</w:t>
      </w:r>
      <w:r w:rsidRPr="00084BB0">
        <w:rPr>
          <w:rFonts w:ascii="仿宋_GB2312" w:eastAsia="仿宋_GB2312" w:hAnsi="宋体" w:cs="宋体" w:hint="eastAsia"/>
          <w:kern w:val="0"/>
          <w:sz w:val="32"/>
          <w:szCs w:val="32"/>
        </w:rPr>
        <w:t>%</w:t>
      </w:r>
      <w:r w:rsidRPr="00084BB0">
        <w:rPr>
          <w:rFonts w:ascii="仿宋_GB2312" w:eastAsia="仿宋_GB2312" w:hint="eastAsia"/>
          <w:sz w:val="32"/>
          <w:szCs w:val="32"/>
        </w:rPr>
        <w:t>；</w:t>
      </w:r>
      <w:r w:rsidRPr="00084BB0">
        <w:rPr>
          <w:rFonts w:ascii="仿宋_GB2312" w:eastAsia="仿宋_GB2312" w:hAnsi="宋体" w:cs="宋体" w:hint="eastAsia"/>
          <w:kern w:val="0"/>
          <w:sz w:val="32"/>
          <w:szCs w:val="32"/>
        </w:rPr>
        <w:t>第二产业实现增加值7</w:t>
      </w:r>
      <w:r w:rsidR="00084BB0" w:rsidRPr="00084BB0">
        <w:rPr>
          <w:rFonts w:ascii="仿宋_GB2312" w:eastAsia="仿宋_GB2312" w:hAnsi="宋体" w:cs="宋体" w:hint="eastAsia"/>
          <w:kern w:val="0"/>
          <w:sz w:val="32"/>
          <w:szCs w:val="32"/>
        </w:rPr>
        <w:t>9</w:t>
      </w:r>
      <w:r w:rsidRPr="00084BB0">
        <w:rPr>
          <w:rFonts w:ascii="仿宋_GB2312" w:eastAsia="仿宋_GB2312" w:hAnsi="宋体" w:cs="宋体" w:hint="eastAsia"/>
          <w:kern w:val="0"/>
          <w:sz w:val="32"/>
          <w:szCs w:val="32"/>
        </w:rPr>
        <w:t>亿元，增长</w:t>
      </w:r>
      <w:r w:rsidR="00084BB0" w:rsidRPr="00084BB0">
        <w:rPr>
          <w:rFonts w:ascii="仿宋_GB2312" w:eastAsia="仿宋_GB2312" w:hAnsi="宋体" w:cs="宋体" w:hint="eastAsia"/>
          <w:kern w:val="0"/>
          <w:sz w:val="32"/>
          <w:szCs w:val="32"/>
        </w:rPr>
        <w:t>5.9</w:t>
      </w:r>
      <w:r w:rsidRPr="00084BB0">
        <w:rPr>
          <w:rFonts w:ascii="仿宋_GB2312" w:eastAsia="仿宋_GB2312" w:hAnsi="宋体" w:cs="宋体" w:hint="eastAsia"/>
          <w:kern w:val="0"/>
          <w:sz w:val="32"/>
          <w:szCs w:val="32"/>
        </w:rPr>
        <w:t>%，占全区GDP 的</w:t>
      </w:r>
      <w:r w:rsidR="00084BB0" w:rsidRPr="00084BB0">
        <w:rPr>
          <w:rFonts w:ascii="仿宋_GB2312" w:eastAsia="仿宋_GB2312" w:hAnsi="宋体" w:cs="宋体" w:hint="eastAsia"/>
          <w:kern w:val="0"/>
          <w:sz w:val="32"/>
          <w:szCs w:val="32"/>
        </w:rPr>
        <w:t>3.9</w:t>
      </w:r>
      <w:r w:rsidRPr="00084BB0">
        <w:rPr>
          <w:rFonts w:ascii="仿宋_GB2312" w:eastAsia="仿宋_GB2312" w:hAnsi="宋体" w:cs="宋体" w:hint="eastAsia"/>
          <w:kern w:val="0"/>
          <w:sz w:val="32"/>
          <w:szCs w:val="32"/>
        </w:rPr>
        <w:t>%。</w:t>
      </w:r>
    </w:p>
    <w:p w:rsidR="000B5693" w:rsidRPr="00D61302" w:rsidRDefault="000B5693" w:rsidP="001B06CE">
      <w:pPr>
        <w:adjustRightInd w:val="0"/>
        <w:snapToGrid w:val="0"/>
        <w:ind w:firstLine="640"/>
        <w:rPr>
          <w:rFonts w:ascii="仿宋_GB2312" w:eastAsia="仿宋_GB2312" w:hAnsi="宋体" w:cs="宋体"/>
          <w:kern w:val="0"/>
          <w:sz w:val="32"/>
          <w:szCs w:val="32"/>
        </w:rPr>
      </w:pPr>
      <w:r w:rsidRPr="00084BB0">
        <w:rPr>
          <w:rFonts w:ascii="仿宋_GB2312" w:eastAsia="仿宋_GB2312" w:hAnsi="宋体" w:cs="宋体" w:hint="eastAsia"/>
          <w:kern w:val="0"/>
          <w:sz w:val="32"/>
          <w:szCs w:val="32"/>
        </w:rPr>
        <w:t>按常住人口计算，全区人均地区生产总值达到</w:t>
      </w:r>
      <w:r w:rsidR="009F07D7" w:rsidRPr="00084BB0">
        <w:rPr>
          <w:rFonts w:ascii="仿宋_GB2312" w:eastAsia="仿宋_GB2312" w:hAnsi="宋体" w:cs="宋体" w:hint="eastAsia"/>
          <w:kern w:val="0"/>
          <w:sz w:val="32"/>
          <w:szCs w:val="32"/>
        </w:rPr>
        <w:t>2</w:t>
      </w:r>
      <w:r w:rsidR="00084BB0" w:rsidRPr="00084BB0">
        <w:rPr>
          <w:rFonts w:ascii="仿宋_GB2312" w:eastAsia="仿宋_GB2312" w:hAnsi="宋体" w:cs="宋体" w:hint="eastAsia"/>
          <w:kern w:val="0"/>
          <w:sz w:val="32"/>
          <w:szCs w:val="32"/>
        </w:rPr>
        <w:t>25437</w:t>
      </w:r>
      <w:r w:rsidRPr="00084BB0">
        <w:rPr>
          <w:rFonts w:ascii="仿宋_GB2312" w:eastAsia="仿宋_GB2312" w:hAnsi="宋体" w:cs="宋体" w:hint="eastAsia"/>
          <w:kern w:val="0"/>
          <w:sz w:val="32"/>
          <w:szCs w:val="32"/>
        </w:rPr>
        <w:t>元</w:t>
      </w:r>
      <w:r w:rsidRPr="00D61302">
        <w:rPr>
          <w:rFonts w:ascii="仿宋_GB2312" w:eastAsia="仿宋_GB2312" w:hAnsi="宋体" w:cs="宋体" w:hint="eastAsia"/>
          <w:kern w:val="0"/>
          <w:sz w:val="32"/>
          <w:szCs w:val="32"/>
        </w:rPr>
        <w:t>（按年平均汇率折合</w:t>
      </w:r>
      <w:r w:rsidR="00AA7AE2" w:rsidRPr="00D61302">
        <w:rPr>
          <w:rFonts w:ascii="仿宋_GB2312" w:eastAsia="仿宋_GB2312" w:hAnsi="宋体" w:cs="宋体" w:hint="eastAsia"/>
          <w:kern w:val="0"/>
          <w:sz w:val="32"/>
          <w:szCs w:val="32"/>
        </w:rPr>
        <w:t>3</w:t>
      </w:r>
      <w:r w:rsidR="00D61302" w:rsidRPr="00D61302">
        <w:rPr>
          <w:rFonts w:ascii="仿宋_GB2312" w:eastAsia="仿宋_GB2312" w:hAnsi="宋体" w:cs="宋体" w:hint="eastAsia"/>
          <w:kern w:val="0"/>
          <w:sz w:val="32"/>
          <w:szCs w:val="32"/>
        </w:rPr>
        <w:t>3941</w:t>
      </w:r>
      <w:r w:rsidRPr="00D61302">
        <w:rPr>
          <w:rFonts w:ascii="仿宋_GB2312" w:eastAsia="仿宋_GB2312" w:hAnsi="宋体" w:cs="宋体" w:hint="eastAsia"/>
          <w:kern w:val="0"/>
          <w:sz w:val="32"/>
          <w:szCs w:val="32"/>
        </w:rPr>
        <w:t>美元）。</w:t>
      </w:r>
    </w:p>
    <w:p w:rsidR="00A87E34" w:rsidRPr="003D21A4" w:rsidRDefault="00314397" w:rsidP="001B06CE">
      <w:pPr>
        <w:widowControl/>
        <w:adjustRightInd w:val="0"/>
        <w:snapToGrid w:val="0"/>
        <w:ind w:firstLine="640"/>
        <w:rPr>
          <w:rFonts w:ascii="仿宋_GB2312" w:eastAsia="仿宋_GB2312" w:hAnsi="宋体" w:cs="宋体"/>
          <w:kern w:val="0"/>
          <w:sz w:val="32"/>
          <w:szCs w:val="32"/>
        </w:rPr>
      </w:pPr>
      <w:r w:rsidRPr="003D21A4">
        <w:rPr>
          <w:rFonts w:ascii="仿宋_GB2312" w:eastAsia="仿宋_GB2312" w:hAnsi="宋体" w:cs="宋体" w:hint="eastAsia"/>
          <w:kern w:val="0"/>
          <w:sz w:val="32"/>
          <w:szCs w:val="32"/>
        </w:rPr>
        <w:t>从行业看，金融业实现增加值4</w:t>
      </w:r>
      <w:r w:rsidR="002D3098" w:rsidRPr="003D21A4">
        <w:rPr>
          <w:rFonts w:ascii="仿宋_GB2312" w:eastAsia="仿宋_GB2312" w:hAnsi="宋体" w:cs="宋体" w:hint="eastAsia"/>
          <w:kern w:val="0"/>
          <w:sz w:val="32"/>
          <w:szCs w:val="32"/>
        </w:rPr>
        <w:t>76</w:t>
      </w:r>
      <w:r w:rsidRPr="003D21A4">
        <w:rPr>
          <w:rFonts w:ascii="仿宋_GB2312" w:eastAsia="仿宋_GB2312" w:hAnsi="宋体" w:cs="宋体" w:hint="eastAsia"/>
          <w:kern w:val="0"/>
          <w:sz w:val="32"/>
          <w:szCs w:val="32"/>
        </w:rPr>
        <w:t>.9亿元，增长</w:t>
      </w:r>
      <w:r w:rsidR="002D3098" w:rsidRPr="003D21A4">
        <w:rPr>
          <w:rFonts w:ascii="仿宋_GB2312" w:eastAsia="仿宋_GB2312" w:hAnsi="宋体" w:cs="宋体" w:hint="eastAsia"/>
          <w:kern w:val="0"/>
          <w:sz w:val="32"/>
          <w:szCs w:val="32"/>
        </w:rPr>
        <w:t>4.0</w:t>
      </w:r>
      <w:r w:rsidRPr="003D21A4">
        <w:rPr>
          <w:rFonts w:ascii="仿宋_GB2312" w:eastAsia="仿宋_GB2312" w:hAnsi="宋体" w:cs="宋体" w:hint="eastAsia"/>
          <w:kern w:val="0"/>
          <w:sz w:val="32"/>
          <w:szCs w:val="32"/>
        </w:rPr>
        <w:t>%，占经济总量比重为2</w:t>
      </w:r>
      <w:r w:rsidR="002D3098" w:rsidRPr="003D21A4">
        <w:rPr>
          <w:rFonts w:ascii="仿宋_GB2312" w:eastAsia="仿宋_GB2312" w:hAnsi="宋体" w:cs="宋体" w:hint="eastAsia"/>
          <w:kern w:val="0"/>
          <w:sz w:val="32"/>
          <w:szCs w:val="32"/>
        </w:rPr>
        <w:t>3.7</w:t>
      </w:r>
      <w:r w:rsidRPr="003D21A4">
        <w:rPr>
          <w:rFonts w:ascii="仿宋_GB2312" w:eastAsia="仿宋_GB2312" w:hAnsi="宋体" w:cs="宋体" w:hint="eastAsia"/>
          <w:kern w:val="0"/>
          <w:sz w:val="32"/>
          <w:szCs w:val="32"/>
        </w:rPr>
        <w:t>%；信息传输、软件和信息技术服务业</w:t>
      </w:r>
      <w:r w:rsidR="009658FD" w:rsidRPr="003D21A4">
        <w:rPr>
          <w:rFonts w:ascii="仿宋_GB2312" w:eastAsia="仿宋_GB2312" w:hAnsi="宋体" w:cs="宋体" w:hint="eastAsia"/>
          <w:kern w:val="0"/>
          <w:sz w:val="32"/>
          <w:szCs w:val="32"/>
        </w:rPr>
        <w:t>实现增加值2</w:t>
      </w:r>
      <w:r w:rsidR="002D3098" w:rsidRPr="003D21A4">
        <w:rPr>
          <w:rFonts w:ascii="仿宋_GB2312" w:eastAsia="仿宋_GB2312" w:hAnsi="宋体" w:cs="宋体" w:hint="eastAsia"/>
          <w:kern w:val="0"/>
          <w:sz w:val="32"/>
          <w:szCs w:val="32"/>
        </w:rPr>
        <w:t>35.2</w:t>
      </w:r>
      <w:r w:rsidR="009658FD" w:rsidRPr="003D21A4">
        <w:rPr>
          <w:rFonts w:ascii="仿宋_GB2312" w:eastAsia="仿宋_GB2312" w:hAnsi="宋体" w:cs="宋体" w:hint="eastAsia"/>
          <w:kern w:val="0"/>
          <w:sz w:val="32"/>
          <w:szCs w:val="32"/>
        </w:rPr>
        <w:t>亿元</w:t>
      </w:r>
      <w:r w:rsidRPr="003D21A4">
        <w:rPr>
          <w:rFonts w:ascii="仿宋_GB2312" w:eastAsia="仿宋_GB2312" w:hAnsi="宋体" w:cs="宋体" w:hint="eastAsia"/>
          <w:kern w:val="0"/>
          <w:sz w:val="32"/>
          <w:szCs w:val="32"/>
        </w:rPr>
        <w:t>，增长</w:t>
      </w:r>
      <w:r w:rsidR="002D3098" w:rsidRPr="003D21A4">
        <w:rPr>
          <w:rFonts w:ascii="仿宋_GB2312" w:eastAsia="仿宋_GB2312" w:hAnsi="宋体" w:cs="宋体" w:hint="eastAsia"/>
          <w:kern w:val="0"/>
          <w:sz w:val="32"/>
          <w:szCs w:val="32"/>
        </w:rPr>
        <w:t>11.0</w:t>
      </w:r>
      <w:r w:rsidRPr="003D21A4">
        <w:rPr>
          <w:rFonts w:ascii="仿宋_GB2312" w:eastAsia="仿宋_GB2312" w:hAnsi="宋体" w:cs="宋体" w:hint="eastAsia"/>
          <w:kern w:val="0"/>
          <w:sz w:val="32"/>
          <w:szCs w:val="32"/>
        </w:rPr>
        <w:t>%，绝对量居第二位，占全区比重11.</w:t>
      </w:r>
      <w:r w:rsidR="002D3098" w:rsidRPr="003D21A4">
        <w:rPr>
          <w:rFonts w:ascii="仿宋_GB2312" w:eastAsia="仿宋_GB2312" w:hAnsi="宋体" w:cs="宋体" w:hint="eastAsia"/>
          <w:kern w:val="0"/>
          <w:sz w:val="32"/>
          <w:szCs w:val="32"/>
        </w:rPr>
        <w:t>7</w:t>
      </w:r>
      <w:r w:rsidRPr="003D21A4">
        <w:rPr>
          <w:rFonts w:ascii="仿宋_GB2312" w:eastAsia="仿宋_GB2312" w:hAnsi="宋体" w:cs="宋体" w:hint="eastAsia"/>
          <w:kern w:val="0"/>
          <w:sz w:val="32"/>
          <w:szCs w:val="32"/>
        </w:rPr>
        <w:t>%。租赁与商务服务业</w:t>
      </w:r>
      <w:r w:rsidR="009658FD" w:rsidRPr="003D21A4">
        <w:rPr>
          <w:rFonts w:ascii="仿宋_GB2312" w:eastAsia="仿宋_GB2312" w:hAnsi="宋体" w:cs="宋体" w:hint="eastAsia"/>
          <w:kern w:val="0"/>
          <w:sz w:val="32"/>
          <w:szCs w:val="32"/>
        </w:rPr>
        <w:t>实现增加值2</w:t>
      </w:r>
      <w:r w:rsidR="002D3098" w:rsidRPr="003D21A4">
        <w:rPr>
          <w:rFonts w:ascii="仿宋_GB2312" w:eastAsia="仿宋_GB2312" w:hAnsi="宋体" w:cs="宋体" w:hint="eastAsia"/>
          <w:kern w:val="0"/>
          <w:sz w:val="32"/>
          <w:szCs w:val="32"/>
        </w:rPr>
        <w:t>16.3</w:t>
      </w:r>
      <w:r w:rsidR="009658FD" w:rsidRPr="003D21A4">
        <w:rPr>
          <w:rFonts w:ascii="仿宋_GB2312" w:eastAsia="仿宋_GB2312" w:hAnsi="宋体" w:cs="宋体" w:hint="eastAsia"/>
          <w:kern w:val="0"/>
          <w:sz w:val="32"/>
          <w:szCs w:val="32"/>
        </w:rPr>
        <w:t>亿元</w:t>
      </w:r>
      <w:r w:rsidRPr="003D21A4">
        <w:rPr>
          <w:rFonts w:ascii="仿宋_GB2312" w:eastAsia="仿宋_GB2312" w:hAnsi="宋体" w:cs="宋体" w:hint="eastAsia"/>
          <w:kern w:val="0"/>
          <w:sz w:val="32"/>
          <w:szCs w:val="32"/>
        </w:rPr>
        <w:t>，增长</w:t>
      </w:r>
      <w:r w:rsidR="002D3098" w:rsidRPr="003D21A4">
        <w:rPr>
          <w:rFonts w:ascii="仿宋_GB2312" w:eastAsia="仿宋_GB2312" w:hAnsi="宋体" w:cs="宋体" w:hint="eastAsia"/>
          <w:kern w:val="0"/>
          <w:sz w:val="32"/>
          <w:szCs w:val="32"/>
        </w:rPr>
        <w:t>3.1</w:t>
      </w:r>
      <w:r w:rsidRPr="003D21A4">
        <w:rPr>
          <w:rFonts w:ascii="仿宋_GB2312" w:eastAsia="仿宋_GB2312" w:hAnsi="宋体" w:cs="宋体" w:hint="eastAsia"/>
          <w:kern w:val="0"/>
          <w:sz w:val="32"/>
          <w:szCs w:val="32"/>
        </w:rPr>
        <w:t>%，</w:t>
      </w:r>
      <w:r w:rsidRPr="003D21A4">
        <w:rPr>
          <w:rFonts w:ascii="仿宋_GB2312" w:eastAsia="仿宋_GB2312" w:hAnsi="宋体" w:cs="宋体" w:hint="eastAsia"/>
          <w:kern w:val="0"/>
          <w:sz w:val="32"/>
          <w:szCs w:val="32"/>
        </w:rPr>
        <w:lastRenderedPageBreak/>
        <w:t>占全区总量的1</w:t>
      </w:r>
      <w:r w:rsidR="002D3098" w:rsidRPr="003D21A4">
        <w:rPr>
          <w:rFonts w:ascii="仿宋_GB2312" w:eastAsia="仿宋_GB2312" w:hAnsi="宋体" w:cs="宋体" w:hint="eastAsia"/>
          <w:kern w:val="0"/>
          <w:sz w:val="32"/>
          <w:szCs w:val="32"/>
        </w:rPr>
        <w:t>0.8</w:t>
      </w:r>
      <w:r w:rsidRPr="003D21A4">
        <w:rPr>
          <w:rFonts w:ascii="仿宋_GB2312" w:eastAsia="仿宋_GB2312" w:hAnsi="宋体" w:cs="宋体" w:hint="eastAsia"/>
          <w:kern w:val="0"/>
          <w:sz w:val="32"/>
          <w:szCs w:val="32"/>
        </w:rPr>
        <w:t>%；批发和零售业</w:t>
      </w:r>
      <w:r w:rsidR="009658FD" w:rsidRPr="003D21A4">
        <w:rPr>
          <w:rFonts w:ascii="仿宋_GB2312" w:eastAsia="仿宋_GB2312" w:hAnsi="宋体" w:cs="宋体" w:hint="eastAsia"/>
          <w:kern w:val="0"/>
          <w:sz w:val="32"/>
          <w:szCs w:val="32"/>
        </w:rPr>
        <w:t>实现增加值20</w:t>
      </w:r>
      <w:r w:rsidR="002D3098" w:rsidRPr="003D21A4">
        <w:rPr>
          <w:rFonts w:ascii="仿宋_GB2312" w:eastAsia="仿宋_GB2312" w:hAnsi="宋体" w:cs="宋体" w:hint="eastAsia"/>
          <w:kern w:val="0"/>
          <w:sz w:val="32"/>
          <w:szCs w:val="32"/>
        </w:rPr>
        <w:t>7</w:t>
      </w:r>
      <w:r w:rsidR="009658FD" w:rsidRPr="003D21A4">
        <w:rPr>
          <w:rFonts w:ascii="仿宋_GB2312" w:eastAsia="仿宋_GB2312" w:hAnsi="宋体" w:cs="宋体" w:hint="eastAsia"/>
          <w:kern w:val="0"/>
          <w:sz w:val="32"/>
          <w:szCs w:val="32"/>
        </w:rPr>
        <w:t>.7亿元，</w:t>
      </w:r>
      <w:r w:rsidR="002D3098" w:rsidRPr="003D21A4">
        <w:rPr>
          <w:rFonts w:ascii="仿宋_GB2312" w:eastAsia="仿宋_GB2312" w:hAnsi="宋体" w:cs="宋体" w:hint="eastAsia"/>
          <w:kern w:val="0"/>
          <w:sz w:val="32"/>
          <w:szCs w:val="32"/>
        </w:rPr>
        <w:t>增长5.0</w:t>
      </w:r>
      <w:r w:rsidRPr="003D21A4">
        <w:rPr>
          <w:rFonts w:ascii="仿宋_GB2312" w:eastAsia="仿宋_GB2312" w:hAnsi="宋体" w:cs="宋体" w:hint="eastAsia"/>
          <w:kern w:val="0"/>
          <w:sz w:val="32"/>
          <w:szCs w:val="32"/>
        </w:rPr>
        <w:t>%，绝对量占全区比重10.</w:t>
      </w:r>
      <w:r w:rsidR="002D3098" w:rsidRPr="003D21A4">
        <w:rPr>
          <w:rFonts w:ascii="仿宋_GB2312" w:eastAsia="仿宋_GB2312" w:hAnsi="宋体" w:cs="宋体" w:hint="eastAsia"/>
          <w:kern w:val="0"/>
          <w:sz w:val="32"/>
          <w:szCs w:val="32"/>
        </w:rPr>
        <w:t>3</w:t>
      </w:r>
      <w:r w:rsidRPr="003D21A4">
        <w:rPr>
          <w:rFonts w:ascii="仿宋_GB2312" w:eastAsia="仿宋_GB2312" w:hAnsi="宋体" w:cs="宋体" w:hint="eastAsia"/>
          <w:kern w:val="0"/>
          <w:sz w:val="32"/>
          <w:szCs w:val="32"/>
        </w:rPr>
        <w:t>%。</w:t>
      </w:r>
    </w:p>
    <w:p w:rsidR="00B917E2" w:rsidRPr="003D21A4" w:rsidRDefault="00A87E34" w:rsidP="001B06CE">
      <w:pPr>
        <w:adjustRightInd w:val="0"/>
        <w:snapToGrid w:val="0"/>
        <w:spacing w:line="600" w:lineRule="exact"/>
        <w:ind w:firstLineChars="0" w:firstLine="0"/>
        <w:jc w:val="center"/>
        <w:rPr>
          <w:rFonts w:ascii="宋体" w:hAnsi="宋体" w:cs="宋体"/>
          <w:b/>
          <w:bCs/>
          <w:kern w:val="0"/>
          <w:sz w:val="28"/>
          <w:szCs w:val="28"/>
        </w:rPr>
      </w:pPr>
      <w:r w:rsidRPr="003D21A4">
        <w:rPr>
          <w:rFonts w:ascii="宋体" w:hAnsi="宋体" w:cs="宋体" w:hint="eastAsia"/>
          <w:b/>
          <w:bCs/>
          <w:kern w:val="0"/>
          <w:sz w:val="28"/>
          <w:szCs w:val="28"/>
        </w:rPr>
        <w:t>表2 201</w:t>
      </w:r>
      <w:r w:rsidR="002D3098" w:rsidRPr="003D21A4">
        <w:rPr>
          <w:rFonts w:ascii="宋体" w:hAnsi="宋体" w:cs="宋体" w:hint="eastAsia"/>
          <w:b/>
          <w:bCs/>
          <w:kern w:val="0"/>
          <w:sz w:val="28"/>
          <w:szCs w:val="28"/>
        </w:rPr>
        <w:t>6</w:t>
      </w:r>
      <w:r w:rsidRPr="003D21A4">
        <w:rPr>
          <w:rFonts w:ascii="宋体" w:hAnsi="宋体" w:cs="宋体" w:hint="eastAsia"/>
          <w:b/>
          <w:bCs/>
          <w:kern w:val="0"/>
          <w:sz w:val="28"/>
          <w:szCs w:val="28"/>
        </w:rPr>
        <w:t>年东城区地区生产总值</w:t>
      </w:r>
    </w:p>
    <w:tbl>
      <w:tblPr>
        <w:tblW w:w="5000" w:type="pct"/>
        <w:jc w:val="center"/>
        <w:tblLook w:val="04A0"/>
      </w:tblPr>
      <w:tblGrid>
        <w:gridCol w:w="3614"/>
        <w:gridCol w:w="2191"/>
        <w:gridCol w:w="2095"/>
        <w:gridCol w:w="1160"/>
      </w:tblGrid>
      <w:tr w:rsidR="003D21A4" w:rsidRPr="001B06CE">
        <w:trPr>
          <w:trHeight w:val="397"/>
          <w:jc w:val="center"/>
        </w:trPr>
        <w:tc>
          <w:tcPr>
            <w:tcW w:w="1994" w:type="pct"/>
            <w:tcBorders>
              <w:top w:val="single" w:sz="4" w:space="0" w:color="auto"/>
              <w:left w:val="nil"/>
              <w:bottom w:val="single" w:sz="4" w:space="0" w:color="auto"/>
              <w:right w:val="single" w:sz="4" w:space="0" w:color="auto"/>
            </w:tcBorders>
            <w:shd w:val="clear" w:color="auto" w:fill="auto"/>
            <w:vAlign w:val="center"/>
          </w:tcPr>
          <w:p w:rsidR="003D21A4" w:rsidRPr="001B06CE" w:rsidRDefault="003D21A4" w:rsidP="003D21A4">
            <w:pPr>
              <w:widowControl/>
              <w:spacing w:line="240" w:lineRule="auto"/>
              <w:ind w:firstLineChars="0" w:firstLine="0"/>
              <w:jc w:val="center"/>
              <w:rPr>
                <w:rFonts w:ascii="宋体" w:hAnsi="宋体" w:cs="宋体"/>
                <w:kern w:val="0"/>
                <w:szCs w:val="21"/>
              </w:rPr>
            </w:pPr>
            <w:r w:rsidRPr="001B06CE">
              <w:rPr>
                <w:rFonts w:ascii="宋体" w:hAnsi="宋体" w:cs="宋体" w:hint="eastAsia"/>
                <w:kern w:val="0"/>
                <w:szCs w:val="21"/>
              </w:rPr>
              <w:t>指标</w:t>
            </w:r>
          </w:p>
        </w:tc>
        <w:tc>
          <w:tcPr>
            <w:tcW w:w="1209" w:type="pct"/>
            <w:tcBorders>
              <w:top w:val="single" w:sz="4" w:space="0" w:color="auto"/>
              <w:left w:val="nil"/>
              <w:bottom w:val="nil"/>
              <w:right w:val="single" w:sz="4" w:space="0" w:color="auto"/>
            </w:tcBorders>
            <w:shd w:val="clear" w:color="auto" w:fill="auto"/>
            <w:vAlign w:val="center"/>
          </w:tcPr>
          <w:p w:rsidR="003D21A4" w:rsidRPr="001B06CE" w:rsidRDefault="003D21A4" w:rsidP="003D21A4">
            <w:pPr>
              <w:widowControl/>
              <w:spacing w:line="240" w:lineRule="auto"/>
              <w:ind w:firstLineChars="0" w:firstLine="0"/>
              <w:jc w:val="center"/>
              <w:rPr>
                <w:rFonts w:ascii="宋体" w:hAnsi="宋体" w:cs="宋体"/>
                <w:kern w:val="0"/>
                <w:szCs w:val="21"/>
              </w:rPr>
            </w:pPr>
            <w:r w:rsidRPr="001B06CE">
              <w:rPr>
                <w:rFonts w:ascii="宋体" w:hAnsi="宋体" w:cs="宋体" w:hint="eastAsia"/>
                <w:kern w:val="0"/>
                <w:szCs w:val="21"/>
              </w:rPr>
              <w:t>绝对量          （亿元）</w:t>
            </w:r>
          </w:p>
        </w:tc>
        <w:tc>
          <w:tcPr>
            <w:tcW w:w="1156" w:type="pct"/>
            <w:tcBorders>
              <w:top w:val="single" w:sz="4" w:space="0" w:color="auto"/>
              <w:left w:val="nil"/>
              <w:bottom w:val="nil"/>
              <w:right w:val="single" w:sz="4" w:space="0" w:color="auto"/>
            </w:tcBorders>
            <w:shd w:val="clear" w:color="auto" w:fill="auto"/>
            <w:vAlign w:val="center"/>
          </w:tcPr>
          <w:p w:rsidR="003D21A4" w:rsidRPr="001B06CE" w:rsidRDefault="003D21A4" w:rsidP="003D21A4">
            <w:pPr>
              <w:widowControl/>
              <w:spacing w:line="240" w:lineRule="auto"/>
              <w:ind w:firstLineChars="0" w:firstLine="0"/>
              <w:jc w:val="center"/>
              <w:rPr>
                <w:rFonts w:ascii="宋体" w:hAnsi="宋体" w:cs="宋体"/>
                <w:kern w:val="0"/>
                <w:szCs w:val="21"/>
              </w:rPr>
            </w:pPr>
            <w:r w:rsidRPr="001B06CE">
              <w:rPr>
                <w:rFonts w:ascii="宋体" w:hAnsi="宋体" w:cs="宋体" w:hint="eastAsia"/>
                <w:kern w:val="0"/>
                <w:szCs w:val="21"/>
              </w:rPr>
              <w:t>不变价增速   （±％）</w:t>
            </w:r>
          </w:p>
        </w:tc>
        <w:tc>
          <w:tcPr>
            <w:tcW w:w="640" w:type="pct"/>
            <w:tcBorders>
              <w:top w:val="single" w:sz="4" w:space="0" w:color="auto"/>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center"/>
              <w:rPr>
                <w:rFonts w:ascii="宋体" w:hAnsi="宋体" w:cs="宋体"/>
                <w:kern w:val="0"/>
                <w:szCs w:val="21"/>
              </w:rPr>
            </w:pPr>
            <w:r w:rsidRPr="001B06CE">
              <w:rPr>
                <w:rFonts w:ascii="宋体" w:hAnsi="宋体" w:cs="宋体" w:hint="eastAsia"/>
                <w:kern w:val="0"/>
                <w:szCs w:val="21"/>
              </w:rPr>
              <w:t>比重  （%）</w:t>
            </w:r>
          </w:p>
        </w:tc>
      </w:tr>
      <w:tr w:rsidR="003D21A4" w:rsidRPr="001B06CE">
        <w:trPr>
          <w:trHeight w:val="397"/>
          <w:jc w:val="center"/>
        </w:trPr>
        <w:tc>
          <w:tcPr>
            <w:tcW w:w="1994" w:type="pct"/>
            <w:tcBorders>
              <w:top w:val="single" w:sz="4" w:space="0" w:color="auto"/>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地区生产总值</w:t>
            </w:r>
          </w:p>
        </w:tc>
        <w:tc>
          <w:tcPr>
            <w:tcW w:w="1209" w:type="pct"/>
            <w:tcBorders>
              <w:top w:val="single" w:sz="4" w:space="0" w:color="auto"/>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2009.8 </w:t>
            </w:r>
          </w:p>
        </w:tc>
        <w:tc>
          <w:tcPr>
            <w:tcW w:w="1156" w:type="pct"/>
            <w:tcBorders>
              <w:top w:val="single" w:sz="4" w:space="0" w:color="auto"/>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6.7 </w:t>
            </w:r>
          </w:p>
        </w:tc>
        <w:tc>
          <w:tcPr>
            <w:tcW w:w="640" w:type="pct"/>
            <w:tcBorders>
              <w:top w:val="single" w:sz="4" w:space="0" w:color="auto"/>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100.0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按产业分：</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第二产业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79.0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5.9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3.9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第三产业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1930.8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6.7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96.1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按行业分：</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工业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39.6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9.3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2.0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建筑业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39.4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2.4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2.0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批发和零售业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207.7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5.0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10.3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交通运输、仓储和邮政业</w:t>
            </w:r>
          </w:p>
        </w:tc>
        <w:tc>
          <w:tcPr>
            <w:tcW w:w="1209" w:type="pct"/>
            <w:tcBorders>
              <w:top w:val="nil"/>
              <w:left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40.2 </w:t>
            </w:r>
          </w:p>
        </w:tc>
        <w:tc>
          <w:tcPr>
            <w:tcW w:w="1156" w:type="pct"/>
            <w:tcBorders>
              <w:top w:val="nil"/>
              <w:left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5.5 </w:t>
            </w:r>
          </w:p>
        </w:tc>
        <w:tc>
          <w:tcPr>
            <w:tcW w:w="640" w:type="pct"/>
            <w:tcBorders>
              <w:top w:val="nil"/>
              <w:left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2.0 </w:t>
            </w:r>
          </w:p>
        </w:tc>
      </w:tr>
      <w:tr w:rsidR="003D21A4" w:rsidRPr="001B06CE">
        <w:trPr>
          <w:trHeight w:val="397"/>
          <w:jc w:val="center"/>
        </w:trPr>
        <w:tc>
          <w:tcPr>
            <w:tcW w:w="1994" w:type="pct"/>
            <w:tcBorders>
              <w:top w:val="nil"/>
              <w:left w:val="nil"/>
              <w:bottom w:val="single" w:sz="4" w:space="0" w:color="auto"/>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住宿和餐饮业</w:t>
            </w:r>
          </w:p>
        </w:tc>
        <w:tc>
          <w:tcPr>
            <w:tcW w:w="1209" w:type="pct"/>
            <w:tcBorders>
              <w:top w:val="nil"/>
              <w:left w:val="single" w:sz="4" w:space="0" w:color="auto"/>
              <w:bottom w:val="single" w:sz="4" w:space="0" w:color="auto"/>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61.1 </w:t>
            </w:r>
          </w:p>
        </w:tc>
        <w:tc>
          <w:tcPr>
            <w:tcW w:w="1156" w:type="pct"/>
            <w:tcBorders>
              <w:top w:val="nil"/>
              <w:bottom w:val="single" w:sz="4" w:space="0" w:color="auto"/>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1.5 </w:t>
            </w:r>
          </w:p>
        </w:tc>
        <w:tc>
          <w:tcPr>
            <w:tcW w:w="640" w:type="pct"/>
            <w:tcBorders>
              <w:top w:val="nil"/>
              <w:bottom w:val="single" w:sz="4" w:space="0" w:color="auto"/>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3.0 </w:t>
            </w:r>
          </w:p>
        </w:tc>
      </w:tr>
      <w:tr w:rsidR="003D21A4" w:rsidRPr="001B06CE">
        <w:trPr>
          <w:trHeight w:val="397"/>
          <w:jc w:val="center"/>
        </w:trPr>
        <w:tc>
          <w:tcPr>
            <w:tcW w:w="1994" w:type="pct"/>
            <w:tcBorders>
              <w:top w:val="single" w:sz="4" w:space="0" w:color="auto"/>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信息传输、软件和信息技术服务业</w:t>
            </w:r>
          </w:p>
        </w:tc>
        <w:tc>
          <w:tcPr>
            <w:tcW w:w="1209" w:type="pct"/>
            <w:tcBorders>
              <w:top w:val="single" w:sz="4" w:space="0" w:color="auto"/>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235.2 </w:t>
            </w:r>
          </w:p>
        </w:tc>
        <w:tc>
          <w:tcPr>
            <w:tcW w:w="1156" w:type="pct"/>
            <w:tcBorders>
              <w:top w:val="single" w:sz="4" w:space="0" w:color="auto"/>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11.0 </w:t>
            </w:r>
          </w:p>
        </w:tc>
        <w:tc>
          <w:tcPr>
            <w:tcW w:w="640" w:type="pct"/>
            <w:tcBorders>
              <w:top w:val="single" w:sz="4" w:space="0" w:color="auto"/>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11.7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金融业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476.9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4.0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23.7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房地产业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132.6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12.5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6.6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租赁与商务服务业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216.3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3.1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10.8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科学研究和技术服务业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191.1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13.8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9.5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水利、环境和公共设施管理业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8.1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0.1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0.4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居民服务、修理和其他服务业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12.3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4.7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0.6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教育</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56.3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13.6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2.8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卫生和社会工作</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77.0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8.2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3.8 </w:t>
            </w:r>
          </w:p>
        </w:tc>
      </w:tr>
      <w:tr w:rsidR="003D21A4" w:rsidRPr="001B06CE">
        <w:trPr>
          <w:trHeight w:val="397"/>
          <w:jc w:val="center"/>
        </w:trPr>
        <w:tc>
          <w:tcPr>
            <w:tcW w:w="1994" w:type="pct"/>
            <w:tcBorders>
              <w:top w:val="nil"/>
              <w:left w:val="nil"/>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文化、体育和娱乐业</w:t>
            </w:r>
          </w:p>
        </w:tc>
        <w:tc>
          <w:tcPr>
            <w:tcW w:w="1209"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88.6 </w:t>
            </w:r>
          </w:p>
        </w:tc>
        <w:tc>
          <w:tcPr>
            <w:tcW w:w="1156" w:type="pct"/>
            <w:tcBorders>
              <w:top w:val="nil"/>
              <w:left w:val="nil"/>
              <w:bottom w:val="nil"/>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8.4 </w:t>
            </w:r>
          </w:p>
        </w:tc>
        <w:tc>
          <w:tcPr>
            <w:tcW w:w="640" w:type="pct"/>
            <w:tcBorders>
              <w:top w:val="nil"/>
              <w:left w:val="nil"/>
              <w:bottom w:val="nil"/>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4.4 </w:t>
            </w:r>
          </w:p>
        </w:tc>
      </w:tr>
      <w:tr w:rsidR="003D21A4" w:rsidRPr="001B06CE">
        <w:trPr>
          <w:trHeight w:val="397"/>
          <w:jc w:val="center"/>
        </w:trPr>
        <w:tc>
          <w:tcPr>
            <w:tcW w:w="1994" w:type="pct"/>
            <w:tcBorders>
              <w:top w:val="nil"/>
              <w:left w:val="nil"/>
              <w:bottom w:val="single" w:sz="4" w:space="0" w:color="auto"/>
              <w:right w:val="single" w:sz="4" w:space="0" w:color="auto"/>
            </w:tcBorders>
            <w:shd w:val="clear" w:color="auto" w:fill="auto"/>
            <w:noWrap/>
            <w:vAlign w:val="center"/>
          </w:tcPr>
          <w:p w:rsidR="003D21A4" w:rsidRPr="001B06CE" w:rsidRDefault="003D21A4" w:rsidP="003D21A4">
            <w:pPr>
              <w:widowControl/>
              <w:spacing w:line="240" w:lineRule="auto"/>
              <w:ind w:firstLineChars="0" w:firstLine="0"/>
              <w:jc w:val="left"/>
              <w:rPr>
                <w:rFonts w:ascii="宋体" w:hAnsi="宋体" w:cs="宋体"/>
                <w:kern w:val="0"/>
                <w:szCs w:val="21"/>
              </w:rPr>
            </w:pPr>
            <w:r w:rsidRPr="001B06CE">
              <w:rPr>
                <w:rFonts w:ascii="宋体" w:hAnsi="宋体" w:cs="宋体" w:hint="eastAsia"/>
                <w:kern w:val="0"/>
                <w:szCs w:val="21"/>
              </w:rPr>
              <w:t xml:space="preserve">  公共管理、社会保障和社会组织</w:t>
            </w:r>
          </w:p>
        </w:tc>
        <w:tc>
          <w:tcPr>
            <w:tcW w:w="1209" w:type="pct"/>
            <w:tcBorders>
              <w:top w:val="nil"/>
              <w:left w:val="nil"/>
              <w:bottom w:val="single" w:sz="4" w:space="0" w:color="auto"/>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127.1 </w:t>
            </w:r>
          </w:p>
        </w:tc>
        <w:tc>
          <w:tcPr>
            <w:tcW w:w="1156" w:type="pct"/>
            <w:tcBorders>
              <w:top w:val="nil"/>
              <w:left w:val="nil"/>
              <w:bottom w:val="single" w:sz="4" w:space="0" w:color="auto"/>
              <w:right w:val="nil"/>
            </w:tcBorders>
            <w:shd w:val="clear" w:color="auto" w:fill="auto"/>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3.1 </w:t>
            </w:r>
          </w:p>
        </w:tc>
        <w:tc>
          <w:tcPr>
            <w:tcW w:w="640" w:type="pct"/>
            <w:tcBorders>
              <w:top w:val="nil"/>
              <w:left w:val="nil"/>
              <w:bottom w:val="single" w:sz="4" w:space="0" w:color="auto"/>
              <w:right w:val="nil"/>
            </w:tcBorders>
            <w:shd w:val="clear" w:color="auto" w:fill="auto"/>
            <w:noWrap/>
            <w:vAlign w:val="center"/>
          </w:tcPr>
          <w:p w:rsidR="003D21A4" w:rsidRPr="001B06CE" w:rsidRDefault="003D21A4" w:rsidP="003D21A4">
            <w:pPr>
              <w:widowControl/>
              <w:spacing w:line="240" w:lineRule="auto"/>
              <w:ind w:firstLineChars="0" w:firstLine="0"/>
              <w:jc w:val="right"/>
              <w:rPr>
                <w:rFonts w:ascii="宋体" w:hAnsi="宋体" w:cs="宋体"/>
                <w:kern w:val="0"/>
                <w:szCs w:val="21"/>
              </w:rPr>
            </w:pPr>
            <w:r w:rsidRPr="001B06CE">
              <w:rPr>
                <w:rFonts w:ascii="宋体" w:hAnsi="宋体" w:cs="宋体" w:hint="eastAsia"/>
                <w:kern w:val="0"/>
                <w:szCs w:val="21"/>
              </w:rPr>
              <w:t xml:space="preserve">6.3 </w:t>
            </w:r>
          </w:p>
        </w:tc>
      </w:tr>
    </w:tbl>
    <w:p w:rsidR="00F23042" w:rsidRDefault="00F23042" w:rsidP="00AF3EC5">
      <w:pPr>
        <w:pStyle w:val="a9"/>
        <w:adjustRightInd w:val="0"/>
        <w:snapToGrid w:val="0"/>
        <w:ind w:firstLineChars="0" w:firstLine="0"/>
        <w:jc w:val="center"/>
        <w:rPr>
          <w:rFonts w:hAnsi="宋体"/>
          <w:b/>
          <w:sz w:val="28"/>
          <w:szCs w:val="28"/>
        </w:rPr>
      </w:pPr>
    </w:p>
    <w:p w:rsidR="00AF3EC5" w:rsidRPr="00C55F3D" w:rsidRDefault="00AF3EC5" w:rsidP="009E7DF2">
      <w:pPr>
        <w:pStyle w:val="a9"/>
        <w:adjustRightInd w:val="0"/>
        <w:snapToGrid w:val="0"/>
        <w:ind w:firstLine="640"/>
        <w:rPr>
          <w:rFonts w:ascii="仿宋_GB2312" w:eastAsia="仿宋_GB2312"/>
          <w:color w:val="FF0000"/>
          <w:sz w:val="32"/>
          <w:szCs w:val="32"/>
        </w:rPr>
      </w:pPr>
    </w:p>
    <w:p w:rsidR="00E51051" w:rsidRDefault="00E51051" w:rsidP="00E51051">
      <w:pPr>
        <w:pStyle w:val="a9"/>
        <w:adjustRightInd w:val="0"/>
        <w:snapToGrid w:val="0"/>
        <w:ind w:firstLineChars="0" w:firstLine="0"/>
        <w:jc w:val="center"/>
        <w:rPr>
          <w:rFonts w:hAnsi="宋体" w:hint="eastAsia"/>
          <w:b/>
          <w:sz w:val="28"/>
          <w:szCs w:val="28"/>
        </w:rPr>
      </w:pPr>
    </w:p>
    <w:p w:rsidR="00AF3EC5" w:rsidRPr="00E51051" w:rsidRDefault="00E51051" w:rsidP="00E51051">
      <w:pPr>
        <w:pStyle w:val="a9"/>
        <w:adjustRightInd w:val="0"/>
        <w:snapToGrid w:val="0"/>
        <w:ind w:firstLineChars="0" w:firstLine="0"/>
        <w:jc w:val="center"/>
        <w:rPr>
          <w:rFonts w:ascii="仿宋_GB2312" w:eastAsia="仿宋_GB2312"/>
          <w:sz w:val="32"/>
          <w:szCs w:val="32"/>
        </w:rPr>
      </w:pPr>
      <w:r w:rsidRPr="003D21A4">
        <w:rPr>
          <w:rFonts w:hAnsi="宋体" w:hint="eastAsia"/>
          <w:b/>
          <w:sz w:val="28"/>
          <w:szCs w:val="28"/>
        </w:rPr>
        <w:lastRenderedPageBreak/>
        <w:t>图2 2011年-2016年地区生产总值及增长速度</w:t>
      </w:r>
    </w:p>
    <w:p w:rsidR="00AF3EC5" w:rsidRPr="00C55F3D" w:rsidRDefault="00E51051" w:rsidP="00C549BE">
      <w:pPr>
        <w:pStyle w:val="a9"/>
        <w:adjustRightInd w:val="0"/>
        <w:snapToGrid w:val="0"/>
        <w:ind w:firstLine="640"/>
        <w:rPr>
          <w:rFonts w:ascii="仿宋_GB2312" w:eastAsia="仿宋_GB2312"/>
          <w:color w:val="FF0000"/>
          <w:sz w:val="32"/>
          <w:szCs w:val="32"/>
        </w:rPr>
      </w:pPr>
      <w:r>
        <w:rPr>
          <w:rFonts w:ascii="仿宋_GB2312" w:eastAsia="仿宋_GB2312"/>
          <w:noProof/>
          <w:color w:val="FF0000"/>
          <w:sz w:val="32"/>
          <w:szCs w:val="32"/>
        </w:rPr>
        <w:drawing>
          <wp:anchor distT="0" distB="0" distL="114300" distR="114300" simplePos="0" relativeHeight="251665920" behindDoc="0" locked="0" layoutInCell="1" allowOverlap="1">
            <wp:simplePos x="0" y="0"/>
            <wp:positionH relativeFrom="column">
              <wp:posOffset>220345</wp:posOffset>
            </wp:positionH>
            <wp:positionV relativeFrom="paragraph">
              <wp:posOffset>93345</wp:posOffset>
            </wp:positionV>
            <wp:extent cx="5276850" cy="2533650"/>
            <wp:effectExtent l="0" t="0" r="0"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F3EC5" w:rsidRPr="00C55F3D" w:rsidRDefault="00AF3EC5" w:rsidP="00C549BE">
      <w:pPr>
        <w:pStyle w:val="a9"/>
        <w:adjustRightInd w:val="0"/>
        <w:snapToGrid w:val="0"/>
        <w:ind w:firstLine="640"/>
        <w:rPr>
          <w:rFonts w:ascii="仿宋_GB2312" w:eastAsia="仿宋_GB2312"/>
          <w:color w:val="FF0000"/>
          <w:sz w:val="32"/>
          <w:szCs w:val="32"/>
        </w:rPr>
      </w:pPr>
    </w:p>
    <w:p w:rsidR="00AF3EC5" w:rsidRPr="00C55F3D" w:rsidRDefault="00AF3EC5" w:rsidP="00C549BE">
      <w:pPr>
        <w:pStyle w:val="a9"/>
        <w:adjustRightInd w:val="0"/>
        <w:snapToGrid w:val="0"/>
        <w:ind w:firstLine="640"/>
        <w:rPr>
          <w:rFonts w:ascii="仿宋_GB2312" w:eastAsia="仿宋_GB2312"/>
          <w:color w:val="FF0000"/>
          <w:sz w:val="32"/>
          <w:szCs w:val="32"/>
        </w:rPr>
      </w:pPr>
    </w:p>
    <w:p w:rsidR="00AF3EC5" w:rsidRPr="00C55F3D" w:rsidRDefault="00AF3EC5" w:rsidP="003D21A4">
      <w:pPr>
        <w:pStyle w:val="a9"/>
        <w:adjustRightInd w:val="0"/>
        <w:snapToGrid w:val="0"/>
        <w:ind w:firstLine="640"/>
        <w:rPr>
          <w:rFonts w:ascii="仿宋_GB2312" w:eastAsia="仿宋_GB2312"/>
          <w:color w:val="FF0000"/>
          <w:sz w:val="32"/>
          <w:szCs w:val="32"/>
        </w:rPr>
      </w:pPr>
    </w:p>
    <w:p w:rsidR="00AF3EC5" w:rsidRDefault="00AF3EC5" w:rsidP="00C549BE">
      <w:pPr>
        <w:pStyle w:val="a9"/>
        <w:adjustRightInd w:val="0"/>
        <w:snapToGrid w:val="0"/>
        <w:ind w:firstLine="640"/>
        <w:rPr>
          <w:rFonts w:ascii="仿宋_GB2312" w:eastAsia="仿宋_GB2312" w:hint="eastAsia"/>
          <w:color w:val="FF0000"/>
          <w:sz w:val="32"/>
          <w:szCs w:val="32"/>
        </w:rPr>
      </w:pPr>
    </w:p>
    <w:p w:rsidR="00E51051" w:rsidRDefault="00E51051" w:rsidP="00C549BE">
      <w:pPr>
        <w:pStyle w:val="a9"/>
        <w:adjustRightInd w:val="0"/>
        <w:snapToGrid w:val="0"/>
        <w:ind w:firstLine="640"/>
        <w:rPr>
          <w:rFonts w:ascii="仿宋_GB2312" w:eastAsia="仿宋_GB2312" w:hint="eastAsia"/>
          <w:color w:val="FF0000"/>
          <w:sz w:val="32"/>
          <w:szCs w:val="32"/>
        </w:rPr>
      </w:pPr>
    </w:p>
    <w:p w:rsidR="00E51051" w:rsidRPr="00C55F3D" w:rsidRDefault="00E51051" w:rsidP="00C549BE">
      <w:pPr>
        <w:pStyle w:val="a9"/>
        <w:adjustRightInd w:val="0"/>
        <w:snapToGrid w:val="0"/>
        <w:ind w:firstLine="640"/>
        <w:rPr>
          <w:rFonts w:ascii="仿宋_GB2312" w:eastAsia="仿宋_GB2312"/>
          <w:color w:val="FF0000"/>
          <w:sz w:val="32"/>
          <w:szCs w:val="32"/>
        </w:rPr>
      </w:pPr>
    </w:p>
    <w:p w:rsidR="00F23042" w:rsidRPr="00F23042" w:rsidRDefault="00F23042" w:rsidP="00E51051">
      <w:pPr>
        <w:adjustRightInd w:val="0"/>
        <w:snapToGrid w:val="0"/>
        <w:spacing w:beforeLines="50" w:line="400" w:lineRule="exact"/>
        <w:ind w:firstLine="420"/>
        <w:rPr>
          <w:rFonts w:ascii="宋体" w:hAnsi="宋体"/>
          <w:szCs w:val="21"/>
        </w:rPr>
      </w:pPr>
      <w:r w:rsidRPr="00F23042">
        <w:rPr>
          <w:rFonts w:ascii="宋体" w:hAnsi="宋体" w:hint="eastAsia"/>
          <w:bCs/>
          <w:szCs w:val="21"/>
        </w:rPr>
        <w:t>注：</w:t>
      </w:r>
      <w:r w:rsidRPr="00F23042">
        <w:rPr>
          <w:rFonts w:ascii="宋体" w:hAnsi="宋体" w:hint="eastAsia"/>
          <w:szCs w:val="21"/>
        </w:rPr>
        <w:t>地区生产总值为下算一级指标，根据北京市统计局要求，从2016年起，不再反馈和使用现价增速，统一使用不变价增速。</w:t>
      </w:r>
    </w:p>
    <w:p w:rsidR="00CF2FCA" w:rsidRPr="00F23042" w:rsidRDefault="00FF6A03" w:rsidP="001B06CE">
      <w:pPr>
        <w:adjustRightInd w:val="0"/>
        <w:snapToGrid w:val="0"/>
        <w:ind w:firstLine="640"/>
        <w:rPr>
          <w:rFonts w:ascii="宋体" w:hAnsi="宋体"/>
          <w:b/>
          <w:sz w:val="28"/>
          <w:szCs w:val="28"/>
        </w:rPr>
      </w:pPr>
      <w:r w:rsidRPr="004F0F93">
        <w:rPr>
          <w:rFonts w:ascii="黑体" w:eastAsia="黑体" w:hint="eastAsia"/>
          <w:bCs/>
          <w:sz w:val="32"/>
          <w:szCs w:val="32"/>
        </w:rPr>
        <w:t>财政：</w:t>
      </w:r>
      <w:r w:rsidRPr="004F0F93">
        <w:rPr>
          <w:rFonts w:ascii="仿宋_GB2312" w:eastAsia="仿宋_GB2312" w:hint="eastAsia"/>
          <w:sz w:val="32"/>
          <w:szCs w:val="32"/>
        </w:rPr>
        <w:t>全区</w:t>
      </w:r>
      <w:r w:rsidR="00D67121" w:rsidRPr="004F0F93">
        <w:rPr>
          <w:rFonts w:ascii="仿宋_GB2312" w:eastAsia="仿宋_GB2312" w:hint="eastAsia"/>
          <w:sz w:val="32"/>
          <w:szCs w:val="32"/>
        </w:rPr>
        <w:t>一般公共</w:t>
      </w:r>
      <w:r w:rsidRPr="004F0F93">
        <w:rPr>
          <w:rFonts w:ascii="仿宋_GB2312" w:eastAsia="仿宋_GB2312" w:hint="eastAsia"/>
          <w:sz w:val="32"/>
          <w:szCs w:val="32"/>
        </w:rPr>
        <w:t>预算收入达到</w:t>
      </w:r>
      <w:r w:rsidRPr="004F0F93">
        <w:rPr>
          <w:rFonts w:ascii="仿宋_GB2312" w:eastAsia="仿宋_GB2312" w:hAnsi="宋体" w:hint="eastAsia"/>
          <w:sz w:val="32"/>
          <w:szCs w:val="32"/>
        </w:rPr>
        <w:t>16</w:t>
      </w:r>
      <w:r w:rsidR="00D67121" w:rsidRPr="004F0F93">
        <w:rPr>
          <w:rFonts w:ascii="仿宋_GB2312" w:eastAsia="仿宋_GB2312" w:hAnsi="宋体" w:hint="eastAsia"/>
          <w:sz w:val="32"/>
          <w:szCs w:val="32"/>
        </w:rPr>
        <w:t>6.3</w:t>
      </w:r>
      <w:r w:rsidRPr="004F0F93">
        <w:rPr>
          <w:rFonts w:ascii="仿宋_GB2312" w:eastAsia="仿宋_GB2312" w:hAnsi="宋体" w:hint="eastAsia"/>
          <w:sz w:val="32"/>
          <w:szCs w:val="32"/>
        </w:rPr>
        <w:t>亿元，</w:t>
      </w:r>
      <w:r w:rsidR="00285641" w:rsidRPr="004F0F93">
        <w:rPr>
          <w:rFonts w:ascii="仿宋_GB2312" w:eastAsia="仿宋_GB2312" w:hAnsi="宋体" w:hint="eastAsia"/>
          <w:sz w:val="32"/>
          <w:szCs w:val="32"/>
        </w:rPr>
        <w:t>比上年</w:t>
      </w:r>
      <w:r w:rsidRPr="004F0F93">
        <w:rPr>
          <w:rFonts w:ascii="仿宋_GB2312" w:eastAsia="仿宋_GB2312" w:hAnsi="宋体" w:hint="eastAsia"/>
          <w:sz w:val="32"/>
          <w:szCs w:val="32"/>
        </w:rPr>
        <w:t>增长</w:t>
      </w:r>
      <w:r w:rsidR="00D67121" w:rsidRPr="004F0F93">
        <w:rPr>
          <w:rFonts w:ascii="仿宋_GB2312" w:eastAsia="仿宋_GB2312" w:hAnsi="宋体" w:hint="eastAsia"/>
          <w:sz w:val="32"/>
          <w:szCs w:val="32"/>
        </w:rPr>
        <w:t>1.1</w:t>
      </w:r>
      <w:r w:rsidRPr="004F0F93">
        <w:rPr>
          <w:rFonts w:ascii="仿宋_GB2312" w:eastAsia="仿宋_GB2312" w:hAnsi="宋体" w:hint="eastAsia"/>
          <w:sz w:val="32"/>
          <w:szCs w:val="32"/>
        </w:rPr>
        <w:t>%</w:t>
      </w:r>
      <w:r w:rsidRPr="004F0F93">
        <w:rPr>
          <w:rFonts w:ascii="仿宋_GB2312" w:eastAsia="仿宋_GB2312" w:hint="eastAsia"/>
          <w:sz w:val="32"/>
          <w:szCs w:val="32"/>
        </w:rPr>
        <w:t>。其中，</w:t>
      </w:r>
      <w:r w:rsidR="00D67121" w:rsidRPr="004F0F93">
        <w:rPr>
          <w:rFonts w:ascii="仿宋_GB2312" w:eastAsia="仿宋_GB2312" w:hint="eastAsia"/>
          <w:sz w:val="32"/>
          <w:szCs w:val="32"/>
        </w:rPr>
        <w:t>增值税完成43亿元，增长2</w:t>
      </w:r>
      <w:r w:rsidR="00AF4C4F" w:rsidRPr="004F0F93">
        <w:rPr>
          <w:rFonts w:ascii="仿宋_GB2312" w:eastAsia="仿宋_GB2312" w:hint="eastAsia"/>
          <w:sz w:val="32"/>
          <w:szCs w:val="32"/>
        </w:rPr>
        <w:t>9</w:t>
      </w:r>
      <w:r w:rsidR="00D67121" w:rsidRPr="004F0F93">
        <w:rPr>
          <w:rFonts w:ascii="仿宋_GB2312" w:eastAsia="仿宋_GB2312" w:hint="eastAsia"/>
          <w:sz w:val="32"/>
          <w:szCs w:val="32"/>
        </w:rPr>
        <w:t>.5%；</w:t>
      </w:r>
      <w:r w:rsidRPr="004F0F93">
        <w:rPr>
          <w:rFonts w:ascii="仿宋_GB2312" w:eastAsia="仿宋_GB2312" w:hint="eastAsia"/>
          <w:sz w:val="32"/>
          <w:szCs w:val="32"/>
        </w:rPr>
        <w:t>企业所得税完成3</w:t>
      </w:r>
      <w:r w:rsidR="00AF4C4F" w:rsidRPr="004F0F93">
        <w:rPr>
          <w:rFonts w:ascii="仿宋_GB2312" w:eastAsia="仿宋_GB2312" w:hint="eastAsia"/>
          <w:sz w:val="32"/>
          <w:szCs w:val="32"/>
        </w:rPr>
        <w:t>2.7</w:t>
      </w:r>
      <w:r w:rsidRPr="004F0F93">
        <w:rPr>
          <w:rFonts w:ascii="仿宋_GB2312" w:eastAsia="仿宋_GB2312" w:hint="eastAsia"/>
          <w:sz w:val="32"/>
          <w:szCs w:val="32"/>
        </w:rPr>
        <w:t>亿元，</w:t>
      </w:r>
      <w:r w:rsidR="00AF4C4F" w:rsidRPr="004F0F93">
        <w:rPr>
          <w:rFonts w:ascii="仿宋_GB2312" w:eastAsia="仿宋_GB2312" w:hint="eastAsia"/>
          <w:sz w:val="32"/>
          <w:szCs w:val="32"/>
        </w:rPr>
        <w:t>下降6</w:t>
      </w:r>
      <w:r w:rsidRPr="004F0F93">
        <w:rPr>
          <w:rFonts w:ascii="仿宋_GB2312" w:eastAsia="仿宋_GB2312" w:hint="eastAsia"/>
          <w:sz w:val="32"/>
          <w:szCs w:val="32"/>
        </w:rPr>
        <w:t>.4%；</w:t>
      </w:r>
      <w:r w:rsidR="00AF4C4F" w:rsidRPr="004F0F93">
        <w:rPr>
          <w:rFonts w:ascii="仿宋_GB2312" w:eastAsia="仿宋_GB2312" w:hint="eastAsia"/>
          <w:sz w:val="32"/>
          <w:szCs w:val="32"/>
        </w:rPr>
        <w:t>营业税完成21.7亿元，下降48.1%；</w:t>
      </w:r>
      <w:r w:rsidRPr="004F0F93">
        <w:rPr>
          <w:rFonts w:ascii="仿宋_GB2312" w:eastAsia="仿宋_GB2312" w:hint="eastAsia"/>
          <w:sz w:val="32"/>
          <w:szCs w:val="32"/>
        </w:rPr>
        <w:t>房产税完成</w:t>
      </w:r>
      <w:r w:rsidR="00AF4C4F" w:rsidRPr="004F0F93">
        <w:rPr>
          <w:rFonts w:ascii="仿宋_GB2312" w:eastAsia="仿宋_GB2312" w:hint="eastAsia"/>
          <w:sz w:val="32"/>
          <w:szCs w:val="32"/>
        </w:rPr>
        <w:t>20.</w:t>
      </w:r>
      <w:r w:rsidR="00FB1522">
        <w:rPr>
          <w:rFonts w:ascii="仿宋_GB2312" w:eastAsia="仿宋_GB2312" w:hint="eastAsia"/>
          <w:sz w:val="32"/>
          <w:szCs w:val="32"/>
        </w:rPr>
        <w:t>3</w:t>
      </w:r>
      <w:r w:rsidRPr="004F0F93">
        <w:rPr>
          <w:rFonts w:ascii="仿宋_GB2312" w:eastAsia="仿宋_GB2312" w:hint="eastAsia"/>
          <w:sz w:val="32"/>
          <w:szCs w:val="32"/>
        </w:rPr>
        <w:t>亿元，增长</w:t>
      </w:r>
      <w:r w:rsidR="00AF4C4F" w:rsidRPr="004F0F93">
        <w:rPr>
          <w:rFonts w:ascii="仿宋_GB2312" w:eastAsia="仿宋_GB2312" w:hint="eastAsia"/>
          <w:sz w:val="32"/>
          <w:szCs w:val="32"/>
        </w:rPr>
        <w:t>12</w:t>
      </w:r>
      <w:r w:rsidRPr="004F0F93">
        <w:rPr>
          <w:rFonts w:ascii="仿宋_GB2312" w:eastAsia="仿宋_GB2312" w:hint="eastAsia"/>
          <w:sz w:val="32"/>
          <w:szCs w:val="32"/>
        </w:rPr>
        <w:t>%；城市维护建设税完成1</w:t>
      </w:r>
      <w:r w:rsidR="00AF4C4F" w:rsidRPr="004F0F93">
        <w:rPr>
          <w:rFonts w:ascii="仿宋_GB2312" w:eastAsia="仿宋_GB2312" w:hint="eastAsia"/>
          <w:sz w:val="32"/>
          <w:szCs w:val="32"/>
        </w:rPr>
        <w:t>3.2</w:t>
      </w:r>
      <w:r w:rsidRPr="004F0F93">
        <w:rPr>
          <w:rFonts w:ascii="仿宋_GB2312" w:eastAsia="仿宋_GB2312" w:hint="eastAsia"/>
          <w:sz w:val="32"/>
          <w:szCs w:val="32"/>
        </w:rPr>
        <w:t>亿元，增长</w:t>
      </w:r>
      <w:r w:rsidR="004F0F93" w:rsidRPr="004F0F93">
        <w:rPr>
          <w:rFonts w:ascii="仿宋_GB2312" w:eastAsia="仿宋_GB2312" w:hint="eastAsia"/>
          <w:sz w:val="32"/>
          <w:szCs w:val="32"/>
        </w:rPr>
        <w:t>3.1</w:t>
      </w:r>
      <w:r w:rsidRPr="004F0F93">
        <w:rPr>
          <w:rFonts w:ascii="仿宋_GB2312" w:eastAsia="仿宋_GB2312" w:hint="eastAsia"/>
          <w:sz w:val="32"/>
          <w:szCs w:val="32"/>
        </w:rPr>
        <w:t>%。</w:t>
      </w:r>
    </w:p>
    <w:p w:rsidR="00A87E34" w:rsidRPr="00F92521" w:rsidRDefault="00A87E34" w:rsidP="00C549BE">
      <w:pPr>
        <w:adjustRightInd w:val="0"/>
        <w:snapToGrid w:val="0"/>
        <w:ind w:firstLine="562"/>
        <w:jc w:val="center"/>
        <w:rPr>
          <w:rFonts w:ascii="仿宋_GB2312" w:eastAsia="仿宋_GB2312"/>
          <w:sz w:val="28"/>
          <w:szCs w:val="28"/>
        </w:rPr>
      </w:pPr>
      <w:r w:rsidRPr="00F92521">
        <w:rPr>
          <w:rFonts w:ascii="宋体" w:hAnsi="宋体" w:cs="宋体" w:hint="eastAsia"/>
          <w:b/>
          <w:bCs/>
          <w:kern w:val="0"/>
          <w:sz w:val="28"/>
          <w:szCs w:val="28"/>
        </w:rPr>
        <w:t>图</w:t>
      </w:r>
      <w:r w:rsidR="00AF3EC5" w:rsidRPr="00F92521">
        <w:rPr>
          <w:rFonts w:ascii="宋体" w:hAnsi="宋体" w:cs="宋体" w:hint="eastAsia"/>
          <w:b/>
          <w:bCs/>
          <w:kern w:val="0"/>
          <w:sz w:val="28"/>
          <w:szCs w:val="28"/>
        </w:rPr>
        <w:t>3</w:t>
      </w:r>
      <w:r w:rsidR="00FF6A03" w:rsidRPr="00F92521">
        <w:rPr>
          <w:rFonts w:ascii="宋体" w:hAnsi="宋体" w:cs="宋体" w:hint="eastAsia"/>
          <w:b/>
          <w:bCs/>
          <w:kern w:val="0"/>
          <w:sz w:val="28"/>
          <w:szCs w:val="28"/>
        </w:rPr>
        <w:t xml:space="preserve"> 201</w:t>
      </w:r>
      <w:r w:rsidR="004F0F93" w:rsidRPr="00F92521">
        <w:rPr>
          <w:rFonts w:ascii="宋体" w:hAnsi="宋体" w:cs="宋体" w:hint="eastAsia"/>
          <w:b/>
          <w:bCs/>
          <w:kern w:val="0"/>
          <w:sz w:val="28"/>
          <w:szCs w:val="28"/>
        </w:rPr>
        <w:t>6</w:t>
      </w:r>
      <w:r w:rsidRPr="00F92521">
        <w:rPr>
          <w:rFonts w:ascii="宋体" w:hAnsi="宋体" w:cs="宋体" w:hint="eastAsia"/>
          <w:b/>
          <w:bCs/>
          <w:kern w:val="0"/>
          <w:sz w:val="28"/>
          <w:szCs w:val="28"/>
        </w:rPr>
        <w:t>年东城区</w:t>
      </w:r>
      <w:r w:rsidR="00872037">
        <w:rPr>
          <w:rFonts w:ascii="宋体" w:hAnsi="宋体" w:cs="宋体" w:hint="eastAsia"/>
          <w:b/>
          <w:bCs/>
          <w:kern w:val="0"/>
          <w:sz w:val="28"/>
          <w:szCs w:val="28"/>
        </w:rPr>
        <w:t>一般</w:t>
      </w:r>
      <w:r w:rsidRPr="00F92521">
        <w:rPr>
          <w:rFonts w:ascii="宋体" w:hAnsi="宋体" w:cs="宋体" w:hint="eastAsia"/>
          <w:b/>
          <w:bCs/>
          <w:kern w:val="0"/>
          <w:sz w:val="28"/>
          <w:szCs w:val="28"/>
        </w:rPr>
        <w:t>公共预算收入构成</w:t>
      </w:r>
    </w:p>
    <w:p w:rsidR="00FF6A03" w:rsidRDefault="00DF7BFE" w:rsidP="00C92A77">
      <w:pPr>
        <w:adjustRightInd w:val="0"/>
        <w:snapToGrid w:val="0"/>
        <w:spacing w:line="360" w:lineRule="auto"/>
        <w:ind w:firstLine="560"/>
        <w:rPr>
          <w:rFonts w:ascii="仿宋_GB2312" w:eastAsia="仿宋_GB2312" w:hAnsi="宋体"/>
          <w:noProof/>
          <w:color w:val="FF0000"/>
          <w:sz w:val="28"/>
          <w:szCs w:val="28"/>
        </w:rPr>
      </w:pPr>
      <w:r>
        <w:rPr>
          <w:rFonts w:ascii="仿宋_GB2312" w:eastAsia="仿宋_GB2312" w:hAnsi="宋体"/>
          <w:noProof/>
          <w:color w:val="FF0000"/>
          <w:sz w:val="28"/>
          <w:szCs w:val="28"/>
        </w:rPr>
        <w:drawing>
          <wp:inline distT="0" distB="0" distL="0" distR="0">
            <wp:extent cx="5145405" cy="2295525"/>
            <wp:effectExtent l="0" t="0" r="0" b="0"/>
            <wp:docPr id="1"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5641" w:rsidRPr="00E957F0" w:rsidRDefault="00285641" w:rsidP="001B06CE">
      <w:pPr>
        <w:adjustRightInd w:val="0"/>
        <w:snapToGrid w:val="0"/>
        <w:ind w:firstLine="640"/>
        <w:rPr>
          <w:rFonts w:ascii="仿宋_GB2312" w:eastAsia="仿宋_GB2312"/>
          <w:sz w:val="32"/>
          <w:szCs w:val="32"/>
        </w:rPr>
      </w:pPr>
      <w:r w:rsidRPr="00E957F0">
        <w:rPr>
          <w:rFonts w:ascii="仿宋_GB2312" w:eastAsia="仿宋_GB2312" w:hint="eastAsia"/>
          <w:sz w:val="32"/>
          <w:szCs w:val="32"/>
        </w:rPr>
        <w:lastRenderedPageBreak/>
        <w:t>全区</w:t>
      </w:r>
      <w:r w:rsidR="00872037">
        <w:rPr>
          <w:rFonts w:ascii="仿宋_GB2312" w:eastAsia="仿宋_GB2312" w:hint="eastAsia"/>
          <w:sz w:val="32"/>
          <w:szCs w:val="32"/>
        </w:rPr>
        <w:t>一般</w:t>
      </w:r>
      <w:r w:rsidRPr="00E957F0">
        <w:rPr>
          <w:rFonts w:ascii="仿宋_GB2312" w:eastAsia="仿宋_GB2312" w:hint="eastAsia"/>
          <w:sz w:val="32"/>
          <w:szCs w:val="32"/>
        </w:rPr>
        <w:t>公共预算支出（不含基金预算支出）完成</w:t>
      </w:r>
      <w:r w:rsidR="00637335" w:rsidRPr="00E957F0">
        <w:rPr>
          <w:rFonts w:ascii="仿宋_GB2312" w:eastAsia="仿宋_GB2312" w:hint="eastAsia"/>
          <w:sz w:val="32"/>
          <w:szCs w:val="32"/>
        </w:rPr>
        <w:t>237.</w:t>
      </w:r>
      <w:r w:rsidR="00F92521" w:rsidRPr="00E957F0">
        <w:rPr>
          <w:rFonts w:ascii="仿宋_GB2312" w:eastAsia="仿宋_GB2312" w:hint="eastAsia"/>
          <w:sz w:val="32"/>
          <w:szCs w:val="32"/>
        </w:rPr>
        <w:t>5</w:t>
      </w:r>
      <w:r w:rsidRPr="00E957F0">
        <w:rPr>
          <w:rFonts w:ascii="仿宋_GB2312" w:eastAsia="仿宋_GB2312" w:hint="eastAsia"/>
          <w:sz w:val="32"/>
          <w:szCs w:val="32"/>
        </w:rPr>
        <w:t>亿元，比上年增长</w:t>
      </w:r>
      <w:r w:rsidR="00F92521" w:rsidRPr="00E957F0">
        <w:rPr>
          <w:rFonts w:ascii="仿宋_GB2312" w:eastAsia="仿宋_GB2312" w:hint="eastAsia"/>
          <w:sz w:val="32"/>
          <w:szCs w:val="32"/>
        </w:rPr>
        <w:t>0.2</w:t>
      </w:r>
      <w:r w:rsidRPr="00E957F0">
        <w:rPr>
          <w:rFonts w:ascii="仿宋_GB2312" w:eastAsia="仿宋_GB2312" w:hint="eastAsia"/>
          <w:sz w:val="32"/>
          <w:szCs w:val="32"/>
        </w:rPr>
        <w:t>%。城乡社区支出、教育</w:t>
      </w:r>
      <w:r w:rsidR="00E957F0" w:rsidRPr="00E957F0">
        <w:rPr>
          <w:rFonts w:ascii="仿宋_GB2312" w:eastAsia="仿宋_GB2312" w:hint="eastAsia"/>
          <w:sz w:val="32"/>
          <w:szCs w:val="32"/>
        </w:rPr>
        <w:t>支出</w:t>
      </w:r>
      <w:r w:rsidRPr="00E957F0">
        <w:rPr>
          <w:rFonts w:ascii="仿宋_GB2312" w:eastAsia="仿宋_GB2312" w:hint="eastAsia"/>
          <w:sz w:val="32"/>
          <w:szCs w:val="32"/>
        </w:rPr>
        <w:t>、社会保障和就业</w:t>
      </w:r>
      <w:r w:rsidR="00E957F0" w:rsidRPr="00E957F0">
        <w:rPr>
          <w:rFonts w:ascii="仿宋_GB2312" w:eastAsia="仿宋_GB2312" w:hint="eastAsia"/>
          <w:sz w:val="32"/>
          <w:szCs w:val="32"/>
        </w:rPr>
        <w:t>支出</w:t>
      </w:r>
      <w:r w:rsidRPr="00E957F0">
        <w:rPr>
          <w:rFonts w:ascii="仿宋_GB2312" w:eastAsia="仿宋_GB2312" w:hint="eastAsia"/>
          <w:sz w:val="32"/>
          <w:szCs w:val="32"/>
        </w:rPr>
        <w:t>是公共财政预算支出的主要方向，分别支出</w:t>
      </w:r>
      <w:r w:rsidR="00E957F0" w:rsidRPr="00E957F0">
        <w:rPr>
          <w:rFonts w:ascii="仿宋_GB2312" w:eastAsia="仿宋_GB2312" w:hint="eastAsia"/>
          <w:sz w:val="32"/>
          <w:szCs w:val="32"/>
        </w:rPr>
        <w:t>73.5</w:t>
      </w:r>
      <w:r w:rsidRPr="00E957F0">
        <w:rPr>
          <w:rFonts w:ascii="仿宋_GB2312" w:eastAsia="仿宋_GB2312" w:hint="eastAsia"/>
          <w:sz w:val="32"/>
          <w:szCs w:val="32"/>
        </w:rPr>
        <w:t>亿元、</w:t>
      </w:r>
      <w:r w:rsidR="00637335" w:rsidRPr="00E957F0">
        <w:rPr>
          <w:rFonts w:ascii="仿宋_GB2312" w:eastAsia="仿宋_GB2312" w:hint="eastAsia"/>
          <w:sz w:val="32"/>
          <w:szCs w:val="32"/>
        </w:rPr>
        <w:t>4</w:t>
      </w:r>
      <w:r w:rsidR="00E957F0" w:rsidRPr="00E957F0">
        <w:rPr>
          <w:rFonts w:ascii="仿宋_GB2312" w:eastAsia="仿宋_GB2312" w:hint="eastAsia"/>
          <w:sz w:val="32"/>
          <w:szCs w:val="32"/>
        </w:rPr>
        <w:t>9</w:t>
      </w:r>
      <w:r w:rsidR="00637335" w:rsidRPr="00E957F0">
        <w:rPr>
          <w:rFonts w:ascii="仿宋_GB2312" w:eastAsia="仿宋_GB2312" w:hint="eastAsia"/>
          <w:sz w:val="32"/>
          <w:szCs w:val="32"/>
        </w:rPr>
        <w:t>.8</w:t>
      </w:r>
      <w:r w:rsidRPr="00E957F0">
        <w:rPr>
          <w:rFonts w:ascii="仿宋_GB2312" w:eastAsia="仿宋_GB2312" w:hint="eastAsia"/>
          <w:sz w:val="32"/>
          <w:szCs w:val="32"/>
        </w:rPr>
        <w:t>亿元、</w:t>
      </w:r>
      <w:r w:rsidR="00637335" w:rsidRPr="00E957F0">
        <w:rPr>
          <w:rFonts w:ascii="仿宋_GB2312" w:eastAsia="仿宋_GB2312" w:hint="eastAsia"/>
          <w:sz w:val="32"/>
          <w:szCs w:val="32"/>
        </w:rPr>
        <w:t>4</w:t>
      </w:r>
      <w:r w:rsidR="00E957F0" w:rsidRPr="00E957F0">
        <w:rPr>
          <w:rFonts w:ascii="仿宋_GB2312" w:eastAsia="仿宋_GB2312" w:hint="eastAsia"/>
          <w:sz w:val="32"/>
          <w:szCs w:val="32"/>
        </w:rPr>
        <w:t>7.5</w:t>
      </w:r>
      <w:r w:rsidRPr="00E957F0">
        <w:rPr>
          <w:rFonts w:ascii="仿宋_GB2312" w:eastAsia="仿宋_GB2312" w:hint="eastAsia"/>
          <w:sz w:val="32"/>
          <w:szCs w:val="32"/>
        </w:rPr>
        <w:t>亿元，占比达到</w:t>
      </w:r>
      <w:r w:rsidR="00E957F0" w:rsidRPr="00E957F0">
        <w:rPr>
          <w:rFonts w:ascii="仿宋_GB2312" w:eastAsia="仿宋_GB2312" w:hint="eastAsia"/>
          <w:sz w:val="32"/>
          <w:szCs w:val="32"/>
        </w:rPr>
        <w:t>71.9</w:t>
      </w:r>
      <w:r w:rsidRPr="00E957F0">
        <w:rPr>
          <w:rFonts w:ascii="仿宋_GB2312" w:eastAsia="仿宋_GB2312" w:hint="eastAsia"/>
          <w:sz w:val="32"/>
          <w:szCs w:val="32"/>
        </w:rPr>
        <w:t>%。</w:t>
      </w:r>
    </w:p>
    <w:p w:rsidR="00AF3EC5" w:rsidRPr="00225A49" w:rsidRDefault="00AF3EC5" w:rsidP="001B06CE">
      <w:pPr>
        <w:adjustRightInd w:val="0"/>
        <w:snapToGrid w:val="0"/>
        <w:ind w:firstLineChars="0" w:firstLine="0"/>
        <w:jc w:val="center"/>
        <w:rPr>
          <w:rFonts w:ascii="宋体" w:hAnsi="宋体"/>
          <w:b/>
          <w:sz w:val="28"/>
          <w:szCs w:val="28"/>
        </w:rPr>
      </w:pPr>
      <w:r w:rsidRPr="00225A49">
        <w:rPr>
          <w:rFonts w:ascii="宋体" w:hAnsi="宋体" w:hint="eastAsia"/>
          <w:b/>
          <w:sz w:val="28"/>
          <w:szCs w:val="28"/>
        </w:rPr>
        <w:t>图4 2011年-201</w:t>
      </w:r>
      <w:r w:rsidR="00225A49" w:rsidRPr="00225A49">
        <w:rPr>
          <w:rFonts w:ascii="宋体" w:hAnsi="宋体" w:hint="eastAsia"/>
          <w:b/>
          <w:sz w:val="28"/>
          <w:szCs w:val="28"/>
        </w:rPr>
        <w:t>6</w:t>
      </w:r>
      <w:r w:rsidRPr="00225A49">
        <w:rPr>
          <w:rFonts w:ascii="宋体" w:hAnsi="宋体" w:hint="eastAsia"/>
          <w:b/>
          <w:sz w:val="28"/>
          <w:szCs w:val="28"/>
        </w:rPr>
        <w:t>年</w:t>
      </w:r>
      <w:r w:rsidR="00872037">
        <w:rPr>
          <w:rFonts w:ascii="宋体" w:hAnsi="宋体" w:hint="eastAsia"/>
          <w:b/>
          <w:sz w:val="28"/>
          <w:szCs w:val="28"/>
        </w:rPr>
        <w:t>一般</w:t>
      </w:r>
      <w:r w:rsidRPr="00225A49">
        <w:rPr>
          <w:rFonts w:ascii="宋体" w:hAnsi="宋体" w:hint="eastAsia"/>
          <w:b/>
          <w:sz w:val="28"/>
          <w:szCs w:val="28"/>
        </w:rPr>
        <w:t>公共预算收入及增长速度</w:t>
      </w:r>
    </w:p>
    <w:p w:rsidR="00AF3EC5" w:rsidRPr="00C55F3D" w:rsidRDefault="00DF7BFE" w:rsidP="001A523B">
      <w:pPr>
        <w:adjustRightInd w:val="0"/>
        <w:snapToGrid w:val="0"/>
        <w:ind w:firstLine="640"/>
        <w:rPr>
          <w:rFonts w:ascii="仿宋_GB2312" w:eastAsia="仿宋_GB2312"/>
          <w:color w:val="FF0000"/>
          <w:sz w:val="32"/>
          <w:szCs w:val="32"/>
        </w:rPr>
      </w:pPr>
      <w:r>
        <w:rPr>
          <w:rFonts w:ascii="仿宋_GB2312" w:eastAsia="仿宋_GB2312"/>
          <w:noProof/>
          <w:color w:val="FF0000"/>
          <w:sz w:val="32"/>
          <w:szCs w:val="32"/>
        </w:rPr>
        <w:drawing>
          <wp:anchor distT="67056" distB="140970" distL="205740" distR="242316" simplePos="0" relativeHeight="251660800" behindDoc="0" locked="0" layoutInCell="1" allowOverlap="1">
            <wp:simplePos x="0" y="0"/>
            <wp:positionH relativeFrom="column">
              <wp:posOffset>525145</wp:posOffset>
            </wp:positionH>
            <wp:positionV relativeFrom="paragraph">
              <wp:posOffset>254</wp:posOffset>
            </wp:positionV>
            <wp:extent cx="4571746" cy="2761996"/>
            <wp:effectExtent l="0" t="0" r="0" b="0"/>
            <wp:wrapNone/>
            <wp:docPr id="1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F3EC5" w:rsidRPr="00C55F3D" w:rsidRDefault="00AF3EC5" w:rsidP="00AF3EC5">
      <w:pPr>
        <w:adjustRightInd w:val="0"/>
        <w:snapToGrid w:val="0"/>
        <w:ind w:firstLine="640"/>
        <w:rPr>
          <w:rFonts w:ascii="仿宋_GB2312" w:eastAsia="仿宋_GB2312"/>
          <w:color w:val="FF0000"/>
          <w:sz w:val="32"/>
          <w:szCs w:val="32"/>
        </w:rPr>
      </w:pPr>
    </w:p>
    <w:p w:rsidR="00AF3EC5" w:rsidRPr="00C55F3D" w:rsidRDefault="00AF3EC5" w:rsidP="00AF3EC5">
      <w:pPr>
        <w:adjustRightInd w:val="0"/>
        <w:snapToGrid w:val="0"/>
        <w:ind w:firstLine="640"/>
        <w:rPr>
          <w:rFonts w:ascii="仿宋_GB2312" w:eastAsia="仿宋_GB2312"/>
          <w:color w:val="FF0000"/>
          <w:sz w:val="32"/>
          <w:szCs w:val="32"/>
        </w:rPr>
      </w:pPr>
    </w:p>
    <w:p w:rsidR="00AF3EC5" w:rsidRPr="00C55F3D" w:rsidRDefault="00AF3EC5" w:rsidP="00AF3EC5">
      <w:pPr>
        <w:adjustRightInd w:val="0"/>
        <w:snapToGrid w:val="0"/>
        <w:ind w:firstLine="640"/>
        <w:rPr>
          <w:rFonts w:ascii="仿宋_GB2312" w:eastAsia="仿宋_GB2312"/>
          <w:color w:val="FF0000"/>
          <w:sz w:val="32"/>
          <w:szCs w:val="32"/>
        </w:rPr>
      </w:pPr>
    </w:p>
    <w:p w:rsidR="00AF3EC5" w:rsidRPr="00C55F3D" w:rsidRDefault="00AF3EC5" w:rsidP="00AF3EC5">
      <w:pPr>
        <w:adjustRightInd w:val="0"/>
        <w:snapToGrid w:val="0"/>
        <w:ind w:firstLine="640"/>
        <w:rPr>
          <w:rFonts w:ascii="仿宋_GB2312" w:eastAsia="仿宋_GB2312"/>
          <w:color w:val="FF0000"/>
          <w:sz w:val="32"/>
          <w:szCs w:val="32"/>
        </w:rPr>
      </w:pPr>
    </w:p>
    <w:p w:rsidR="00AF3EC5" w:rsidRPr="00C55F3D" w:rsidRDefault="00AF3EC5" w:rsidP="00AF3EC5">
      <w:pPr>
        <w:adjustRightInd w:val="0"/>
        <w:snapToGrid w:val="0"/>
        <w:ind w:firstLine="562"/>
        <w:rPr>
          <w:rFonts w:ascii="宋体" w:hAnsi="宋体" w:cs="宋体"/>
          <w:b/>
          <w:bCs/>
          <w:color w:val="FF0000"/>
          <w:kern w:val="0"/>
          <w:sz w:val="28"/>
          <w:szCs w:val="28"/>
        </w:rPr>
      </w:pPr>
    </w:p>
    <w:p w:rsidR="001B06CE" w:rsidRDefault="001B06CE" w:rsidP="0072338B">
      <w:pPr>
        <w:adjustRightInd w:val="0"/>
        <w:snapToGrid w:val="0"/>
        <w:ind w:firstLine="640"/>
        <w:rPr>
          <w:rFonts w:ascii="黑体" w:eastAsia="黑体"/>
          <w:bCs/>
          <w:sz w:val="32"/>
          <w:szCs w:val="32"/>
        </w:rPr>
      </w:pPr>
    </w:p>
    <w:p w:rsidR="001B06CE" w:rsidRDefault="001B06CE" w:rsidP="0072338B">
      <w:pPr>
        <w:adjustRightInd w:val="0"/>
        <w:snapToGrid w:val="0"/>
        <w:ind w:firstLine="640"/>
        <w:rPr>
          <w:rFonts w:ascii="黑体" w:eastAsia="黑体"/>
          <w:bCs/>
          <w:sz w:val="32"/>
          <w:szCs w:val="32"/>
        </w:rPr>
      </w:pPr>
    </w:p>
    <w:p w:rsidR="0072338B" w:rsidRPr="00924980" w:rsidRDefault="00A1079C" w:rsidP="001B06CE">
      <w:pPr>
        <w:adjustRightInd w:val="0"/>
        <w:snapToGrid w:val="0"/>
        <w:ind w:firstLine="640"/>
        <w:rPr>
          <w:rFonts w:ascii="黑体" w:eastAsia="黑体"/>
          <w:bCs/>
          <w:sz w:val="32"/>
          <w:szCs w:val="32"/>
        </w:rPr>
      </w:pPr>
      <w:r w:rsidRPr="00924980">
        <w:rPr>
          <w:rFonts w:ascii="黑体" w:eastAsia="黑体" w:hint="eastAsia"/>
          <w:bCs/>
          <w:sz w:val="32"/>
          <w:szCs w:val="32"/>
        </w:rPr>
        <w:t>固定资产投资：</w:t>
      </w:r>
      <w:r w:rsidR="0072338B" w:rsidRPr="00924980">
        <w:rPr>
          <w:rFonts w:ascii="仿宋_GB2312" w:eastAsia="仿宋_GB2312" w:cs="楷体_GB2312" w:hint="eastAsia"/>
          <w:kern w:val="0"/>
          <w:sz w:val="32"/>
          <w:szCs w:val="32"/>
        </w:rPr>
        <w:t>全年累计完成全社会固定资产投资264.6亿元，同比增长12.5%。其中，房地产开发投资完成53.1亿元，同比下降46.1</w:t>
      </w:r>
      <w:r w:rsidR="0072338B" w:rsidRPr="00924980">
        <w:rPr>
          <w:rFonts w:ascii="仿宋_GB2312" w:eastAsia="仿宋_GB2312" w:cs="楷体_GB2312"/>
          <w:kern w:val="0"/>
          <w:sz w:val="32"/>
          <w:szCs w:val="32"/>
        </w:rPr>
        <w:t>%</w:t>
      </w:r>
      <w:r w:rsidR="0072338B" w:rsidRPr="00924980">
        <w:rPr>
          <w:rFonts w:ascii="仿宋_GB2312" w:eastAsia="仿宋_GB2312" w:cs="楷体_GB2312" w:hint="eastAsia"/>
          <w:kern w:val="0"/>
          <w:sz w:val="32"/>
          <w:szCs w:val="32"/>
        </w:rPr>
        <w:t>，占全区全社会固定资产投资总额的20.1</w:t>
      </w:r>
      <w:r w:rsidR="0072338B" w:rsidRPr="00924980">
        <w:rPr>
          <w:rFonts w:ascii="仿宋_GB2312" w:eastAsia="仿宋_GB2312" w:cs="楷体_GB2312"/>
          <w:kern w:val="0"/>
          <w:sz w:val="32"/>
          <w:szCs w:val="32"/>
        </w:rPr>
        <w:t>%</w:t>
      </w:r>
      <w:r w:rsidR="0072338B" w:rsidRPr="00924980">
        <w:rPr>
          <w:rFonts w:ascii="仿宋_GB2312" w:eastAsia="仿宋_GB2312" w:cs="楷体_GB2312" w:hint="eastAsia"/>
          <w:kern w:val="0"/>
          <w:sz w:val="32"/>
          <w:szCs w:val="32"/>
        </w:rPr>
        <w:t>。</w:t>
      </w:r>
    </w:p>
    <w:p w:rsidR="00924980" w:rsidRPr="00924980" w:rsidRDefault="00924980" w:rsidP="001B06CE">
      <w:pPr>
        <w:adjustRightInd w:val="0"/>
        <w:snapToGrid w:val="0"/>
        <w:ind w:firstLine="640"/>
        <w:rPr>
          <w:rFonts w:ascii="仿宋_GB2312" w:eastAsia="仿宋_GB2312"/>
          <w:sz w:val="32"/>
          <w:szCs w:val="32"/>
        </w:rPr>
      </w:pPr>
      <w:r w:rsidRPr="00924980">
        <w:rPr>
          <w:rFonts w:ascii="仿宋_GB2312" w:eastAsia="仿宋_GB2312" w:hAnsi="宋体" w:hint="eastAsia"/>
          <w:sz w:val="32"/>
          <w:szCs w:val="32"/>
        </w:rPr>
        <w:t>全区固定资产投资施工面积193.</w:t>
      </w:r>
      <w:smartTag w:uri="urn:schemas-microsoft-com:office:smarttags" w:element="chmetcnv">
        <w:smartTagPr>
          <w:attr w:name="UnitName" w:val="平方米"/>
          <w:attr w:name="SourceValue" w:val="10000"/>
          <w:attr w:name="HasSpace" w:val="False"/>
          <w:attr w:name="Negative" w:val="False"/>
          <w:attr w:name="NumberType" w:val="1"/>
          <w:attr w:name="TCSC" w:val="1"/>
        </w:smartTagPr>
        <w:r w:rsidRPr="00924980">
          <w:rPr>
            <w:rFonts w:ascii="仿宋_GB2312" w:eastAsia="仿宋_GB2312" w:hAnsi="宋体" w:hint="eastAsia"/>
            <w:sz w:val="32"/>
            <w:szCs w:val="32"/>
          </w:rPr>
          <w:t>1万平方米</w:t>
        </w:r>
      </w:smartTag>
      <w:r w:rsidRPr="00924980">
        <w:rPr>
          <w:rFonts w:ascii="仿宋_GB2312" w:eastAsia="仿宋_GB2312" w:hAnsi="宋体" w:hint="eastAsia"/>
          <w:sz w:val="32"/>
          <w:szCs w:val="32"/>
        </w:rPr>
        <w:t>，其中，房地产开发施工面积137.</w:t>
      </w:r>
      <w:smartTag w:uri="urn:schemas-microsoft-com:office:smarttags" w:element="chmetcnv">
        <w:smartTagPr>
          <w:attr w:name="UnitName" w:val="平方米"/>
          <w:attr w:name="SourceValue" w:val="90000"/>
          <w:attr w:name="HasSpace" w:val="False"/>
          <w:attr w:name="Negative" w:val="False"/>
          <w:attr w:name="NumberType" w:val="1"/>
          <w:attr w:name="TCSC" w:val="1"/>
        </w:smartTagPr>
        <w:r w:rsidRPr="00924980">
          <w:rPr>
            <w:rFonts w:ascii="仿宋_GB2312" w:eastAsia="仿宋_GB2312" w:hAnsi="宋体" w:hint="eastAsia"/>
            <w:sz w:val="32"/>
            <w:szCs w:val="32"/>
          </w:rPr>
          <w:t>9万平方米</w:t>
        </w:r>
      </w:smartTag>
      <w:r w:rsidRPr="00924980">
        <w:rPr>
          <w:rFonts w:ascii="仿宋_GB2312" w:eastAsia="仿宋_GB2312" w:hAnsi="宋体" w:hint="eastAsia"/>
          <w:sz w:val="32"/>
          <w:szCs w:val="32"/>
        </w:rPr>
        <w:t>；全区固定资产投资竣工面积7.</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924980">
          <w:rPr>
            <w:rFonts w:ascii="仿宋_GB2312" w:eastAsia="仿宋_GB2312" w:hAnsi="宋体" w:hint="eastAsia"/>
            <w:sz w:val="32"/>
            <w:szCs w:val="32"/>
          </w:rPr>
          <w:t>6万平方米</w:t>
        </w:r>
      </w:smartTag>
      <w:r w:rsidRPr="00924980">
        <w:rPr>
          <w:rFonts w:ascii="仿宋_GB2312" w:eastAsia="仿宋_GB2312" w:hAnsi="宋体" w:hint="eastAsia"/>
          <w:sz w:val="32"/>
          <w:szCs w:val="32"/>
        </w:rPr>
        <w:t>，其中，房地产开发竣工面积0.</w:t>
      </w:r>
      <w:smartTag w:uri="urn:schemas-microsoft-com:office:smarttags" w:element="chmetcnv">
        <w:smartTagPr>
          <w:attr w:name="UnitName" w:val="平方米"/>
          <w:attr w:name="SourceValue" w:val="70000"/>
          <w:attr w:name="HasSpace" w:val="False"/>
          <w:attr w:name="Negative" w:val="False"/>
          <w:attr w:name="NumberType" w:val="1"/>
          <w:attr w:name="TCSC" w:val="1"/>
        </w:smartTagPr>
        <w:r w:rsidRPr="00924980">
          <w:rPr>
            <w:rFonts w:ascii="仿宋_GB2312" w:eastAsia="仿宋_GB2312" w:hAnsi="宋体" w:hint="eastAsia"/>
            <w:sz w:val="32"/>
            <w:szCs w:val="32"/>
          </w:rPr>
          <w:t>7万平方米</w:t>
        </w:r>
      </w:smartTag>
      <w:r w:rsidRPr="00924980">
        <w:rPr>
          <w:rFonts w:ascii="仿宋_GB2312" w:eastAsia="仿宋_GB2312" w:hAnsi="宋体" w:hint="eastAsia"/>
          <w:sz w:val="32"/>
          <w:szCs w:val="32"/>
        </w:rPr>
        <w:t>。</w:t>
      </w:r>
    </w:p>
    <w:p w:rsidR="001B06CE" w:rsidRDefault="001B06CE" w:rsidP="001B06CE">
      <w:pPr>
        <w:adjustRightInd w:val="0"/>
        <w:snapToGrid w:val="0"/>
        <w:ind w:firstLineChars="0" w:firstLine="0"/>
        <w:jc w:val="center"/>
        <w:rPr>
          <w:rFonts w:ascii="宋体" w:hAnsi="宋体"/>
          <w:b/>
          <w:sz w:val="28"/>
          <w:szCs w:val="28"/>
        </w:rPr>
      </w:pPr>
    </w:p>
    <w:p w:rsidR="0018059E" w:rsidRDefault="0018059E" w:rsidP="0018059E">
      <w:pPr>
        <w:adjustRightInd w:val="0"/>
        <w:snapToGrid w:val="0"/>
        <w:ind w:firstLineChars="0" w:firstLine="0"/>
        <w:jc w:val="center"/>
        <w:rPr>
          <w:rFonts w:ascii="宋体" w:hAnsi="宋体" w:hint="eastAsia"/>
          <w:b/>
          <w:sz w:val="28"/>
          <w:szCs w:val="28"/>
        </w:rPr>
      </w:pPr>
    </w:p>
    <w:p w:rsidR="0018059E" w:rsidRDefault="0018059E" w:rsidP="0018059E">
      <w:pPr>
        <w:adjustRightInd w:val="0"/>
        <w:snapToGrid w:val="0"/>
        <w:ind w:firstLineChars="0" w:firstLine="0"/>
        <w:jc w:val="center"/>
        <w:rPr>
          <w:rFonts w:ascii="宋体" w:hAnsi="宋体" w:hint="eastAsia"/>
          <w:b/>
          <w:sz w:val="28"/>
          <w:szCs w:val="28"/>
        </w:rPr>
      </w:pPr>
    </w:p>
    <w:p w:rsidR="00AF3EC5" w:rsidRPr="0018059E" w:rsidRDefault="00AF3EC5" w:rsidP="0018059E">
      <w:pPr>
        <w:adjustRightInd w:val="0"/>
        <w:snapToGrid w:val="0"/>
        <w:ind w:firstLineChars="0" w:firstLine="0"/>
        <w:jc w:val="center"/>
        <w:rPr>
          <w:rFonts w:ascii="仿宋_GB2312" w:eastAsia="仿宋_GB2312" w:hAnsi="宋体"/>
          <w:sz w:val="32"/>
          <w:szCs w:val="32"/>
        </w:rPr>
      </w:pPr>
      <w:r w:rsidRPr="00225A49">
        <w:rPr>
          <w:rFonts w:ascii="宋体" w:hAnsi="宋体" w:hint="eastAsia"/>
          <w:b/>
          <w:sz w:val="28"/>
          <w:szCs w:val="28"/>
        </w:rPr>
        <w:lastRenderedPageBreak/>
        <w:t>图5 2011年</w:t>
      </w:r>
      <w:r w:rsidR="00225A49" w:rsidRPr="00225A49">
        <w:rPr>
          <w:rFonts w:ascii="宋体" w:hAnsi="宋体" w:hint="eastAsia"/>
          <w:b/>
          <w:sz w:val="28"/>
          <w:szCs w:val="28"/>
        </w:rPr>
        <w:t>-2016</w:t>
      </w:r>
      <w:r w:rsidRPr="00225A49">
        <w:rPr>
          <w:rFonts w:ascii="宋体" w:hAnsi="宋体" w:hint="eastAsia"/>
          <w:b/>
          <w:sz w:val="28"/>
          <w:szCs w:val="28"/>
        </w:rPr>
        <w:t>年全社会固定资产投资额及增长速度</w:t>
      </w:r>
    </w:p>
    <w:p w:rsidR="00AF3EC5" w:rsidRPr="00C55F3D" w:rsidRDefault="0018059E" w:rsidP="00C549BE">
      <w:pPr>
        <w:adjustRightInd w:val="0"/>
        <w:snapToGrid w:val="0"/>
        <w:ind w:firstLine="640"/>
        <w:rPr>
          <w:rFonts w:ascii="仿宋_GB2312" w:eastAsia="仿宋_GB2312" w:hAnsi="宋体"/>
          <w:color w:val="FF0000"/>
          <w:sz w:val="32"/>
          <w:szCs w:val="32"/>
        </w:rPr>
      </w:pPr>
      <w:r>
        <w:rPr>
          <w:rFonts w:ascii="仿宋_GB2312" w:eastAsia="仿宋_GB2312" w:hAnsi="宋体"/>
          <w:noProof/>
          <w:color w:val="FF0000"/>
          <w:sz w:val="32"/>
          <w:szCs w:val="32"/>
        </w:rPr>
        <w:drawing>
          <wp:anchor distT="79248" distB="62484" distL="248412" distR="114300" simplePos="0" relativeHeight="251653632" behindDoc="0" locked="0" layoutInCell="1" allowOverlap="1">
            <wp:simplePos x="0" y="0"/>
            <wp:positionH relativeFrom="column">
              <wp:posOffset>525145</wp:posOffset>
            </wp:positionH>
            <wp:positionV relativeFrom="paragraph">
              <wp:posOffset>-36830</wp:posOffset>
            </wp:positionV>
            <wp:extent cx="4572000" cy="2476500"/>
            <wp:effectExtent l="0" t="0" r="0" b="0"/>
            <wp:wrapNone/>
            <wp:docPr id="11"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F3EC5" w:rsidRPr="00C55F3D" w:rsidRDefault="00AF3EC5" w:rsidP="00C549BE">
      <w:pPr>
        <w:adjustRightInd w:val="0"/>
        <w:snapToGrid w:val="0"/>
        <w:ind w:firstLine="640"/>
        <w:rPr>
          <w:rFonts w:ascii="仿宋_GB2312" w:eastAsia="仿宋_GB2312" w:hAnsi="宋体"/>
          <w:color w:val="FF0000"/>
          <w:sz w:val="32"/>
          <w:szCs w:val="32"/>
        </w:rPr>
      </w:pPr>
    </w:p>
    <w:p w:rsidR="00AF3EC5" w:rsidRPr="00C55F3D" w:rsidRDefault="00AF3EC5" w:rsidP="00C549BE">
      <w:pPr>
        <w:adjustRightInd w:val="0"/>
        <w:snapToGrid w:val="0"/>
        <w:ind w:firstLine="640"/>
        <w:rPr>
          <w:rFonts w:ascii="仿宋_GB2312" w:eastAsia="仿宋_GB2312" w:hAnsi="宋体"/>
          <w:color w:val="FF0000"/>
          <w:sz w:val="32"/>
          <w:szCs w:val="32"/>
        </w:rPr>
      </w:pPr>
    </w:p>
    <w:p w:rsidR="00AF3EC5" w:rsidRPr="00C55F3D" w:rsidRDefault="00AF3EC5" w:rsidP="00C549BE">
      <w:pPr>
        <w:adjustRightInd w:val="0"/>
        <w:snapToGrid w:val="0"/>
        <w:ind w:firstLine="640"/>
        <w:rPr>
          <w:rFonts w:ascii="仿宋_GB2312" w:eastAsia="仿宋_GB2312" w:hAnsi="宋体"/>
          <w:color w:val="FF0000"/>
          <w:sz w:val="32"/>
          <w:szCs w:val="32"/>
        </w:rPr>
      </w:pPr>
    </w:p>
    <w:p w:rsidR="00AF3EC5" w:rsidRPr="00C55F3D" w:rsidRDefault="00AF3EC5" w:rsidP="00C549BE">
      <w:pPr>
        <w:adjustRightInd w:val="0"/>
        <w:snapToGrid w:val="0"/>
        <w:ind w:firstLine="640"/>
        <w:rPr>
          <w:rFonts w:ascii="仿宋_GB2312" w:eastAsia="仿宋_GB2312" w:hAnsi="宋体"/>
          <w:color w:val="FF0000"/>
          <w:sz w:val="32"/>
          <w:szCs w:val="32"/>
        </w:rPr>
      </w:pPr>
    </w:p>
    <w:p w:rsidR="00AF3EC5" w:rsidRPr="00C55F3D" w:rsidRDefault="00AF3EC5" w:rsidP="00C549BE">
      <w:pPr>
        <w:adjustRightInd w:val="0"/>
        <w:snapToGrid w:val="0"/>
        <w:ind w:firstLine="640"/>
        <w:rPr>
          <w:rFonts w:ascii="仿宋_GB2312" w:eastAsia="仿宋_GB2312" w:hAnsi="宋体"/>
          <w:color w:val="FF0000"/>
          <w:sz w:val="32"/>
          <w:szCs w:val="32"/>
        </w:rPr>
      </w:pPr>
    </w:p>
    <w:p w:rsidR="001B06CE" w:rsidRDefault="001B06CE" w:rsidP="001B06CE">
      <w:pPr>
        <w:adjustRightInd w:val="0"/>
        <w:snapToGrid w:val="0"/>
        <w:ind w:firstLine="640"/>
        <w:rPr>
          <w:rFonts w:ascii="黑体" w:eastAsia="黑体"/>
          <w:bCs/>
          <w:sz w:val="32"/>
          <w:szCs w:val="32"/>
        </w:rPr>
      </w:pPr>
    </w:p>
    <w:p w:rsidR="0073566B" w:rsidRDefault="00A1079C" w:rsidP="001B06CE">
      <w:pPr>
        <w:adjustRightInd w:val="0"/>
        <w:snapToGrid w:val="0"/>
        <w:ind w:firstLine="640"/>
        <w:rPr>
          <w:rFonts w:ascii="宋体" w:hAnsi="宋体"/>
          <w:b/>
          <w:color w:val="FF0000"/>
          <w:sz w:val="28"/>
          <w:szCs w:val="28"/>
        </w:rPr>
      </w:pPr>
      <w:r w:rsidRPr="0073566B">
        <w:rPr>
          <w:rFonts w:ascii="黑体" w:eastAsia="黑体" w:hint="eastAsia"/>
          <w:bCs/>
          <w:sz w:val="32"/>
          <w:szCs w:val="32"/>
        </w:rPr>
        <w:t>消费：</w:t>
      </w:r>
      <w:r w:rsidRPr="0073566B">
        <w:rPr>
          <w:rFonts w:ascii="仿宋_GB2312" w:eastAsia="仿宋_GB2312" w:hint="eastAsia"/>
          <w:sz w:val="32"/>
          <w:szCs w:val="32"/>
        </w:rPr>
        <w:t>全年</w:t>
      </w:r>
      <w:r w:rsidRPr="0073566B">
        <w:rPr>
          <w:rFonts w:ascii="仿宋_GB2312" w:eastAsia="仿宋_GB2312"/>
          <w:sz w:val="32"/>
          <w:szCs w:val="21"/>
        </w:rPr>
        <w:t>实现</w:t>
      </w:r>
      <w:r w:rsidRPr="0073566B">
        <w:rPr>
          <w:rFonts w:ascii="仿宋_GB2312" w:eastAsia="仿宋_GB2312" w:hint="eastAsia"/>
          <w:sz w:val="32"/>
          <w:szCs w:val="21"/>
        </w:rPr>
        <w:t>社会消费品零售总额</w:t>
      </w:r>
      <w:r w:rsidR="00B35BAB" w:rsidRPr="0073566B">
        <w:rPr>
          <w:rFonts w:ascii="仿宋_GB2312" w:eastAsia="仿宋_GB2312" w:cs="楷体_GB2312" w:hint="eastAsia"/>
          <w:kern w:val="0"/>
          <w:sz w:val="32"/>
          <w:szCs w:val="32"/>
        </w:rPr>
        <w:t>1046.6亿元，同比增长6.2%，</w:t>
      </w:r>
      <w:r w:rsidRPr="0073566B">
        <w:rPr>
          <w:rFonts w:ascii="仿宋_GB2312" w:eastAsia="仿宋_GB2312" w:hint="eastAsia"/>
          <w:sz w:val="32"/>
          <w:szCs w:val="32"/>
        </w:rPr>
        <w:t>限额以上单位实现零售额</w:t>
      </w:r>
      <w:r w:rsidR="0073566B" w:rsidRPr="0073566B">
        <w:rPr>
          <w:rFonts w:ascii="仿宋_GB2312" w:eastAsia="仿宋_GB2312" w:hint="eastAsia"/>
          <w:sz w:val="32"/>
          <w:szCs w:val="32"/>
        </w:rPr>
        <w:t>878.7</w:t>
      </w:r>
      <w:r w:rsidRPr="0073566B">
        <w:rPr>
          <w:rFonts w:ascii="仿宋_GB2312" w:eastAsia="仿宋_GB2312" w:hint="eastAsia"/>
          <w:sz w:val="32"/>
          <w:szCs w:val="32"/>
        </w:rPr>
        <w:t>亿元，比上年增长</w:t>
      </w:r>
      <w:r w:rsidR="0073566B" w:rsidRPr="0073566B">
        <w:rPr>
          <w:rFonts w:ascii="仿宋_GB2312" w:eastAsia="仿宋_GB2312" w:hint="eastAsia"/>
          <w:sz w:val="32"/>
          <w:szCs w:val="32"/>
        </w:rPr>
        <w:t>5</w:t>
      </w:r>
      <w:r w:rsidRPr="0073566B">
        <w:rPr>
          <w:rFonts w:ascii="仿宋_GB2312" w:eastAsia="仿宋_GB2312" w:hint="eastAsia"/>
          <w:sz w:val="32"/>
          <w:szCs w:val="32"/>
        </w:rPr>
        <w:t>.4%，占全区零售额的8</w:t>
      </w:r>
      <w:r w:rsidR="0073566B" w:rsidRPr="0073566B">
        <w:rPr>
          <w:rFonts w:ascii="仿宋_GB2312" w:eastAsia="仿宋_GB2312" w:hint="eastAsia"/>
          <w:sz w:val="32"/>
          <w:szCs w:val="32"/>
        </w:rPr>
        <w:t>4</w:t>
      </w:r>
      <w:r w:rsidRPr="0073566B">
        <w:rPr>
          <w:rFonts w:ascii="仿宋_GB2312" w:eastAsia="仿宋_GB2312" w:hint="eastAsia"/>
          <w:sz w:val="32"/>
          <w:szCs w:val="32"/>
        </w:rPr>
        <w:t>%。按行业分，零售业实现零售额</w:t>
      </w:r>
      <w:r w:rsidR="0073566B" w:rsidRPr="0073566B">
        <w:rPr>
          <w:rFonts w:ascii="仿宋_GB2312" w:eastAsia="仿宋_GB2312" w:hint="eastAsia"/>
          <w:sz w:val="32"/>
          <w:szCs w:val="32"/>
        </w:rPr>
        <w:t>479.7</w:t>
      </w:r>
      <w:r w:rsidRPr="0073566B">
        <w:rPr>
          <w:rFonts w:ascii="仿宋_GB2312" w:eastAsia="仿宋_GB2312" w:hint="eastAsia"/>
          <w:sz w:val="32"/>
          <w:szCs w:val="32"/>
        </w:rPr>
        <w:t>亿元，比上年增长</w:t>
      </w:r>
      <w:r w:rsidR="0073566B" w:rsidRPr="0073566B">
        <w:rPr>
          <w:rFonts w:ascii="仿宋_GB2312" w:eastAsia="仿宋_GB2312" w:hint="eastAsia"/>
          <w:sz w:val="32"/>
          <w:szCs w:val="32"/>
        </w:rPr>
        <w:t>5.4</w:t>
      </w:r>
      <w:r w:rsidRPr="0073566B">
        <w:rPr>
          <w:rFonts w:ascii="仿宋_GB2312" w:eastAsia="仿宋_GB2312" w:hint="eastAsia"/>
          <w:sz w:val="32"/>
          <w:szCs w:val="32"/>
        </w:rPr>
        <w:t>%；批发业实现零售额</w:t>
      </w:r>
      <w:r w:rsidR="0073566B" w:rsidRPr="0073566B">
        <w:rPr>
          <w:rFonts w:ascii="仿宋_GB2312" w:eastAsia="仿宋_GB2312" w:hint="eastAsia"/>
          <w:sz w:val="32"/>
          <w:szCs w:val="32"/>
        </w:rPr>
        <w:t>474.</w:t>
      </w:r>
      <w:r w:rsidRPr="0073566B">
        <w:rPr>
          <w:rFonts w:ascii="仿宋_GB2312" w:eastAsia="仿宋_GB2312" w:hint="eastAsia"/>
          <w:sz w:val="32"/>
          <w:szCs w:val="32"/>
        </w:rPr>
        <w:t>3亿元，比上年增长</w:t>
      </w:r>
      <w:r w:rsidR="0073566B" w:rsidRPr="0073566B">
        <w:rPr>
          <w:rFonts w:ascii="仿宋_GB2312" w:eastAsia="仿宋_GB2312" w:hint="eastAsia"/>
          <w:sz w:val="32"/>
          <w:szCs w:val="32"/>
        </w:rPr>
        <w:t>7.6</w:t>
      </w:r>
      <w:r w:rsidRPr="0073566B">
        <w:rPr>
          <w:rFonts w:ascii="仿宋_GB2312" w:eastAsia="仿宋_GB2312" w:hint="eastAsia"/>
          <w:sz w:val="32"/>
          <w:szCs w:val="32"/>
        </w:rPr>
        <w:t>%</w:t>
      </w:r>
      <w:r w:rsidR="00374A7B">
        <w:rPr>
          <w:rFonts w:ascii="仿宋_GB2312" w:eastAsia="仿宋_GB2312" w:hint="eastAsia"/>
          <w:sz w:val="32"/>
          <w:szCs w:val="32"/>
        </w:rPr>
        <w:t>；住宿</w:t>
      </w:r>
      <w:r w:rsidRPr="0073566B">
        <w:rPr>
          <w:rFonts w:ascii="仿宋_GB2312" w:eastAsia="仿宋_GB2312" w:hint="eastAsia"/>
          <w:sz w:val="32"/>
          <w:szCs w:val="32"/>
        </w:rPr>
        <w:t>业实现零售额亿元</w:t>
      </w:r>
      <w:r w:rsidR="00374A7B" w:rsidRPr="0073566B">
        <w:rPr>
          <w:rFonts w:ascii="仿宋_GB2312" w:eastAsia="仿宋_GB2312" w:hint="eastAsia"/>
          <w:sz w:val="32"/>
          <w:szCs w:val="32"/>
        </w:rPr>
        <w:t>19.3</w:t>
      </w:r>
      <w:r w:rsidRPr="0073566B">
        <w:rPr>
          <w:rFonts w:ascii="仿宋_GB2312" w:eastAsia="仿宋_GB2312" w:hint="eastAsia"/>
          <w:sz w:val="32"/>
          <w:szCs w:val="32"/>
        </w:rPr>
        <w:t>，比上年增长</w:t>
      </w:r>
      <w:r w:rsidR="0073566B" w:rsidRPr="0073566B">
        <w:rPr>
          <w:rFonts w:ascii="仿宋_GB2312" w:eastAsia="仿宋_GB2312" w:hint="eastAsia"/>
          <w:sz w:val="32"/>
          <w:szCs w:val="32"/>
        </w:rPr>
        <w:t>1.3</w:t>
      </w:r>
      <w:r w:rsidRPr="0073566B">
        <w:rPr>
          <w:rFonts w:ascii="仿宋_GB2312" w:eastAsia="仿宋_GB2312" w:hint="eastAsia"/>
          <w:sz w:val="32"/>
          <w:szCs w:val="32"/>
        </w:rPr>
        <w:t>%；</w:t>
      </w:r>
      <w:r w:rsidR="00374A7B">
        <w:rPr>
          <w:rFonts w:ascii="仿宋_GB2312" w:eastAsia="仿宋_GB2312" w:hint="eastAsia"/>
          <w:sz w:val="32"/>
          <w:szCs w:val="32"/>
        </w:rPr>
        <w:t>餐饮</w:t>
      </w:r>
      <w:r w:rsidRPr="0073566B">
        <w:rPr>
          <w:rFonts w:ascii="仿宋_GB2312" w:eastAsia="仿宋_GB2312" w:hint="eastAsia"/>
          <w:sz w:val="32"/>
          <w:szCs w:val="32"/>
        </w:rPr>
        <w:t>业实现零售额</w:t>
      </w:r>
      <w:r w:rsidR="00374A7B" w:rsidRPr="0073566B">
        <w:rPr>
          <w:rFonts w:ascii="仿宋_GB2312" w:eastAsia="仿宋_GB2312" w:hint="eastAsia"/>
          <w:sz w:val="32"/>
          <w:szCs w:val="32"/>
        </w:rPr>
        <w:t>73.3</w:t>
      </w:r>
      <w:r w:rsidRPr="0073566B">
        <w:rPr>
          <w:rFonts w:ascii="仿宋_GB2312" w:eastAsia="仿宋_GB2312" w:hint="eastAsia"/>
          <w:sz w:val="32"/>
          <w:szCs w:val="32"/>
        </w:rPr>
        <w:t>亿元，比上年</w:t>
      </w:r>
      <w:r w:rsidR="00374A7B">
        <w:rPr>
          <w:rFonts w:ascii="仿宋_GB2312" w:eastAsia="仿宋_GB2312" w:hint="eastAsia"/>
          <w:sz w:val="32"/>
          <w:szCs w:val="32"/>
        </w:rPr>
        <w:t>增长</w:t>
      </w:r>
      <w:r w:rsidR="0073566B" w:rsidRPr="0073566B">
        <w:rPr>
          <w:rFonts w:ascii="仿宋_GB2312" w:eastAsia="仿宋_GB2312" w:hint="eastAsia"/>
          <w:sz w:val="32"/>
          <w:szCs w:val="32"/>
        </w:rPr>
        <w:t>3</w:t>
      </w:r>
      <w:r w:rsidRPr="0073566B">
        <w:rPr>
          <w:rFonts w:ascii="仿宋_GB2312" w:eastAsia="仿宋_GB2312" w:hint="eastAsia"/>
          <w:sz w:val="32"/>
          <w:szCs w:val="32"/>
        </w:rPr>
        <w:t>%。</w:t>
      </w:r>
    </w:p>
    <w:p w:rsidR="00AF3EC5" w:rsidRPr="0073566B" w:rsidRDefault="00AF3EC5" w:rsidP="001B06CE">
      <w:pPr>
        <w:adjustRightInd w:val="0"/>
        <w:snapToGrid w:val="0"/>
        <w:ind w:firstLineChars="0" w:firstLine="0"/>
        <w:jc w:val="center"/>
        <w:rPr>
          <w:rFonts w:ascii="黑体" w:eastAsia="黑体"/>
          <w:bCs/>
          <w:sz w:val="32"/>
          <w:szCs w:val="32"/>
        </w:rPr>
      </w:pPr>
      <w:r w:rsidRPr="0073566B">
        <w:rPr>
          <w:rFonts w:ascii="宋体" w:hAnsi="宋体" w:hint="eastAsia"/>
          <w:b/>
          <w:sz w:val="28"/>
          <w:szCs w:val="28"/>
        </w:rPr>
        <w:t>图6 2011年-201</w:t>
      </w:r>
      <w:r w:rsidR="0073566B" w:rsidRPr="0073566B">
        <w:rPr>
          <w:rFonts w:ascii="宋体" w:hAnsi="宋体" w:hint="eastAsia"/>
          <w:b/>
          <w:sz w:val="28"/>
          <w:szCs w:val="28"/>
        </w:rPr>
        <w:t>6</w:t>
      </w:r>
      <w:r w:rsidRPr="0073566B">
        <w:rPr>
          <w:rFonts w:ascii="宋体" w:hAnsi="宋体" w:hint="eastAsia"/>
          <w:b/>
          <w:sz w:val="28"/>
          <w:szCs w:val="28"/>
        </w:rPr>
        <w:t>年社会消费品零售总额及增长速度</w:t>
      </w:r>
    </w:p>
    <w:p w:rsidR="00AF3EC5" w:rsidRPr="00C55F3D" w:rsidRDefault="00DF7BFE" w:rsidP="0073566B">
      <w:pPr>
        <w:adjustRightInd w:val="0"/>
        <w:snapToGrid w:val="0"/>
        <w:ind w:firstLine="640"/>
        <w:rPr>
          <w:rFonts w:ascii="黑体" w:eastAsia="黑体"/>
          <w:bCs/>
          <w:color w:val="FF0000"/>
          <w:sz w:val="32"/>
          <w:szCs w:val="32"/>
        </w:rPr>
      </w:pPr>
      <w:r>
        <w:rPr>
          <w:rFonts w:ascii="黑体" w:eastAsia="黑体"/>
          <w:bCs/>
          <w:noProof/>
          <w:color w:val="FF0000"/>
          <w:sz w:val="32"/>
          <w:szCs w:val="32"/>
        </w:rPr>
        <w:drawing>
          <wp:anchor distT="18288" distB="140208" distL="242316" distR="211836" simplePos="0" relativeHeight="251654656" behindDoc="0" locked="0" layoutInCell="1" allowOverlap="1">
            <wp:simplePos x="0" y="0"/>
            <wp:positionH relativeFrom="column">
              <wp:posOffset>592074</wp:posOffset>
            </wp:positionH>
            <wp:positionV relativeFrom="paragraph">
              <wp:posOffset>20447</wp:posOffset>
            </wp:positionV>
            <wp:extent cx="4572127" cy="2742946"/>
            <wp:effectExtent l="0" t="0" r="0" b="0"/>
            <wp:wrapNone/>
            <wp:docPr id="10"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F3EC5" w:rsidRPr="00C55F3D" w:rsidRDefault="00AF3EC5" w:rsidP="00C549BE">
      <w:pPr>
        <w:adjustRightInd w:val="0"/>
        <w:snapToGrid w:val="0"/>
        <w:ind w:firstLine="640"/>
        <w:rPr>
          <w:rFonts w:ascii="黑体" w:eastAsia="黑体"/>
          <w:bCs/>
          <w:color w:val="FF0000"/>
          <w:sz w:val="32"/>
          <w:szCs w:val="32"/>
        </w:rPr>
      </w:pPr>
    </w:p>
    <w:p w:rsidR="00AF3EC5" w:rsidRPr="00C55F3D" w:rsidRDefault="00AF3EC5" w:rsidP="00C549BE">
      <w:pPr>
        <w:adjustRightInd w:val="0"/>
        <w:snapToGrid w:val="0"/>
        <w:ind w:firstLine="640"/>
        <w:rPr>
          <w:rFonts w:ascii="黑体" w:eastAsia="黑体"/>
          <w:bCs/>
          <w:color w:val="FF0000"/>
          <w:sz w:val="32"/>
          <w:szCs w:val="32"/>
        </w:rPr>
      </w:pPr>
    </w:p>
    <w:p w:rsidR="00AF3EC5" w:rsidRPr="00C55F3D" w:rsidRDefault="00AF3EC5" w:rsidP="00C549BE">
      <w:pPr>
        <w:adjustRightInd w:val="0"/>
        <w:snapToGrid w:val="0"/>
        <w:ind w:firstLine="640"/>
        <w:rPr>
          <w:rFonts w:ascii="黑体" w:eastAsia="黑体"/>
          <w:bCs/>
          <w:color w:val="FF0000"/>
          <w:sz w:val="32"/>
          <w:szCs w:val="32"/>
        </w:rPr>
      </w:pPr>
    </w:p>
    <w:p w:rsidR="00AF3EC5" w:rsidRPr="00C55F3D" w:rsidRDefault="00AF3EC5" w:rsidP="00C549BE">
      <w:pPr>
        <w:adjustRightInd w:val="0"/>
        <w:snapToGrid w:val="0"/>
        <w:ind w:firstLine="640"/>
        <w:rPr>
          <w:rFonts w:ascii="黑体" w:eastAsia="黑体"/>
          <w:bCs/>
          <w:color w:val="FF0000"/>
          <w:sz w:val="32"/>
          <w:szCs w:val="32"/>
        </w:rPr>
      </w:pPr>
    </w:p>
    <w:p w:rsidR="00AF3EC5" w:rsidRPr="00C55F3D" w:rsidRDefault="00AF3EC5" w:rsidP="00C549BE">
      <w:pPr>
        <w:adjustRightInd w:val="0"/>
        <w:snapToGrid w:val="0"/>
        <w:ind w:firstLine="640"/>
        <w:rPr>
          <w:rFonts w:ascii="黑体" w:eastAsia="黑体"/>
          <w:bCs/>
          <w:color w:val="FF0000"/>
          <w:sz w:val="32"/>
          <w:szCs w:val="32"/>
        </w:rPr>
      </w:pPr>
    </w:p>
    <w:p w:rsidR="000D328C" w:rsidRDefault="000D328C" w:rsidP="0018059E">
      <w:pPr>
        <w:adjustRightInd w:val="0"/>
        <w:snapToGrid w:val="0"/>
        <w:ind w:firstLineChars="0" w:firstLine="0"/>
        <w:rPr>
          <w:rFonts w:ascii="黑体" w:eastAsia="黑体"/>
          <w:bCs/>
          <w:sz w:val="32"/>
          <w:szCs w:val="32"/>
        </w:rPr>
      </w:pPr>
    </w:p>
    <w:p w:rsidR="005B4BDD" w:rsidRPr="002D6804" w:rsidRDefault="00A1079C" w:rsidP="001B06CE">
      <w:pPr>
        <w:adjustRightInd w:val="0"/>
        <w:snapToGrid w:val="0"/>
        <w:ind w:firstLine="640"/>
        <w:rPr>
          <w:rFonts w:ascii="仿宋_GB2312" w:eastAsia="仿宋_GB2312" w:cs="楷体_GB2312"/>
          <w:kern w:val="0"/>
          <w:sz w:val="32"/>
          <w:szCs w:val="32"/>
          <w:lang w:val="zh-CN"/>
        </w:rPr>
      </w:pPr>
      <w:r w:rsidRPr="002D6804">
        <w:rPr>
          <w:rFonts w:ascii="黑体" w:eastAsia="黑体" w:hint="eastAsia"/>
          <w:bCs/>
          <w:sz w:val="32"/>
          <w:szCs w:val="32"/>
        </w:rPr>
        <w:lastRenderedPageBreak/>
        <w:t>对外经贸：</w:t>
      </w:r>
      <w:r w:rsidRPr="002D6804">
        <w:rPr>
          <w:rFonts w:ascii="仿宋_GB2312" w:eastAsia="仿宋_GB2312" w:cs="楷体_GB2312" w:hint="eastAsia"/>
          <w:kern w:val="0"/>
          <w:sz w:val="32"/>
          <w:szCs w:val="32"/>
          <w:lang w:val="zh-CN"/>
        </w:rPr>
        <w:t>全年新</w:t>
      </w:r>
      <w:r w:rsidR="002D6804" w:rsidRPr="002D6804">
        <w:rPr>
          <w:rFonts w:ascii="仿宋_GB2312" w:eastAsia="仿宋_GB2312" w:cs="楷体_GB2312" w:hint="eastAsia"/>
          <w:kern w:val="0"/>
          <w:sz w:val="32"/>
          <w:szCs w:val="32"/>
          <w:lang w:val="zh-CN"/>
        </w:rPr>
        <w:t>设</w:t>
      </w:r>
      <w:r w:rsidRPr="002D6804">
        <w:rPr>
          <w:rFonts w:ascii="仿宋_GB2312" w:eastAsia="仿宋_GB2312" w:cs="楷体_GB2312" w:hint="eastAsia"/>
          <w:kern w:val="0"/>
          <w:sz w:val="32"/>
          <w:szCs w:val="32"/>
          <w:lang w:val="zh-CN"/>
        </w:rPr>
        <w:t>外商投资企业</w:t>
      </w:r>
      <w:r w:rsidR="002D6804" w:rsidRPr="002D6804">
        <w:rPr>
          <w:rFonts w:ascii="仿宋_GB2312" w:eastAsia="仿宋_GB2312" w:cs="楷体_GB2312" w:hint="eastAsia"/>
          <w:kern w:val="0"/>
          <w:sz w:val="32"/>
          <w:szCs w:val="32"/>
          <w:lang w:val="zh-CN"/>
        </w:rPr>
        <w:t>52</w:t>
      </w:r>
      <w:r w:rsidRPr="002D6804">
        <w:rPr>
          <w:rFonts w:ascii="仿宋_GB2312" w:eastAsia="仿宋_GB2312" w:cs="楷体_GB2312" w:hint="eastAsia"/>
          <w:kern w:val="0"/>
          <w:sz w:val="32"/>
          <w:szCs w:val="32"/>
          <w:lang w:val="zh-CN"/>
        </w:rPr>
        <w:t>家，其中，中外合资1</w:t>
      </w:r>
      <w:r w:rsidR="002D6804" w:rsidRPr="002D6804">
        <w:rPr>
          <w:rFonts w:ascii="仿宋_GB2312" w:eastAsia="仿宋_GB2312" w:cs="楷体_GB2312" w:hint="eastAsia"/>
          <w:kern w:val="0"/>
          <w:sz w:val="32"/>
          <w:szCs w:val="32"/>
          <w:lang w:val="zh-CN"/>
        </w:rPr>
        <w:t>4</w:t>
      </w:r>
      <w:r w:rsidRPr="002D6804">
        <w:rPr>
          <w:rFonts w:ascii="仿宋_GB2312" w:eastAsia="仿宋_GB2312" w:cs="楷体_GB2312" w:hint="eastAsia"/>
          <w:kern w:val="0"/>
          <w:sz w:val="32"/>
          <w:szCs w:val="32"/>
          <w:lang w:val="zh-CN"/>
        </w:rPr>
        <w:t>家，外商独资</w:t>
      </w:r>
      <w:r w:rsidR="002D6804" w:rsidRPr="002D6804">
        <w:rPr>
          <w:rFonts w:ascii="仿宋_GB2312" w:eastAsia="仿宋_GB2312" w:cs="楷体_GB2312" w:hint="eastAsia"/>
          <w:kern w:val="0"/>
          <w:sz w:val="32"/>
          <w:szCs w:val="32"/>
          <w:lang w:val="zh-CN"/>
        </w:rPr>
        <w:t>38</w:t>
      </w:r>
      <w:r w:rsidRPr="002D6804">
        <w:rPr>
          <w:rFonts w:ascii="仿宋_GB2312" w:eastAsia="仿宋_GB2312" w:cs="楷体_GB2312" w:hint="eastAsia"/>
          <w:kern w:val="0"/>
          <w:sz w:val="32"/>
          <w:szCs w:val="32"/>
          <w:lang w:val="zh-CN"/>
        </w:rPr>
        <w:t>家。全年实现合同</w:t>
      </w:r>
      <w:r w:rsidR="002D6804" w:rsidRPr="002D6804">
        <w:rPr>
          <w:rFonts w:ascii="仿宋_GB2312" w:eastAsia="仿宋_GB2312" w:cs="楷体_GB2312" w:hint="eastAsia"/>
          <w:kern w:val="0"/>
          <w:sz w:val="32"/>
          <w:szCs w:val="32"/>
          <w:lang w:val="zh-CN"/>
        </w:rPr>
        <w:t>利用</w:t>
      </w:r>
      <w:r w:rsidRPr="002D6804">
        <w:rPr>
          <w:rFonts w:ascii="仿宋_GB2312" w:eastAsia="仿宋_GB2312" w:cs="楷体_GB2312" w:hint="eastAsia"/>
          <w:kern w:val="0"/>
          <w:sz w:val="32"/>
          <w:szCs w:val="32"/>
          <w:lang w:val="zh-CN"/>
        </w:rPr>
        <w:t>外资</w:t>
      </w:r>
      <w:r w:rsidR="002D6804" w:rsidRPr="002D6804">
        <w:rPr>
          <w:rFonts w:ascii="仿宋_GB2312" w:eastAsia="仿宋_GB2312" w:cs="楷体_GB2312" w:hint="eastAsia"/>
          <w:kern w:val="0"/>
          <w:sz w:val="32"/>
          <w:szCs w:val="32"/>
          <w:lang w:val="zh-CN"/>
        </w:rPr>
        <w:t>14</w:t>
      </w:r>
      <w:r w:rsidRPr="002D6804">
        <w:rPr>
          <w:rFonts w:ascii="仿宋_GB2312" w:eastAsia="仿宋_GB2312" w:cs="楷体_GB2312" w:hint="eastAsia"/>
          <w:kern w:val="0"/>
          <w:sz w:val="32"/>
          <w:szCs w:val="32"/>
          <w:lang w:val="zh-CN"/>
        </w:rPr>
        <w:t>亿美元，</w:t>
      </w:r>
      <w:r w:rsidR="002D6804" w:rsidRPr="002D6804">
        <w:rPr>
          <w:rFonts w:ascii="仿宋_GB2312" w:eastAsia="仿宋_GB2312" w:cs="楷体_GB2312" w:hint="eastAsia"/>
          <w:kern w:val="0"/>
          <w:sz w:val="32"/>
          <w:szCs w:val="32"/>
          <w:lang w:val="zh-CN"/>
        </w:rPr>
        <w:t>同比增长96.6</w:t>
      </w:r>
      <w:r w:rsidRPr="002D6804">
        <w:rPr>
          <w:rFonts w:ascii="仿宋_GB2312" w:eastAsia="仿宋_GB2312" w:cs="楷体_GB2312" w:hint="eastAsia"/>
          <w:kern w:val="0"/>
          <w:sz w:val="32"/>
          <w:szCs w:val="32"/>
          <w:lang w:val="zh-CN"/>
        </w:rPr>
        <w:t>%；</w:t>
      </w:r>
      <w:r w:rsidR="002D6804" w:rsidRPr="002D6804">
        <w:rPr>
          <w:rFonts w:ascii="仿宋_GB2312" w:eastAsia="仿宋_GB2312" w:cs="楷体_GB2312" w:hint="eastAsia"/>
          <w:kern w:val="0"/>
          <w:sz w:val="32"/>
          <w:szCs w:val="32"/>
          <w:lang w:val="zh-CN"/>
        </w:rPr>
        <w:t>实现</w:t>
      </w:r>
      <w:r w:rsidRPr="002D6804">
        <w:rPr>
          <w:rFonts w:ascii="仿宋_GB2312" w:eastAsia="仿宋_GB2312" w:cs="楷体_GB2312" w:hint="eastAsia"/>
          <w:kern w:val="0"/>
          <w:sz w:val="32"/>
          <w:szCs w:val="32"/>
          <w:lang w:val="zh-CN"/>
        </w:rPr>
        <w:t>实际利用外资5亿美元，</w:t>
      </w:r>
      <w:r w:rsidR="002D6804" w:rsidRPr="002D6804">
        <w:rPr>
          <w:rFonts w:ascii="仿宋_GB2312" w:eastAsia="仿宋_GB2312" w:cs="楷体_GB2312" w:hint="eastAsia"/>
          <w:kern w:val="0"/>
          <w:sz w:val="32"/>
          <w:szCs w:val="32"/>
          <w:lang w:val="zh-CN"/>
        </w:rPr>
        <w:t>同比下降4.6</w:t>
      </w:r>
      <w:r w:rsidRPr="002D6804">
        <w:rPr>
          <w:rFonts w:ascii="仿宋_GB2312" w:eastAsia="仿宋_GB2312" w:cs="楷体_GB2312"/>
          <w:kern w:val="0"/>
          <w:sz w:val="32"/>
          <w:szCs w:val="32"/>
          <w:lang w:val="zh-CN"/>
        </w:rPr>
        <w:t>%</w:t>
      </w:r>
      <w:r w:rsidRPr="002D6804">
        <w:rPr>
          <w:rFonts w:ascii="仿宋_GB2312" w:eastAsia="仿宋_GB2312" w:cs="楷体_GB2312" w:hint="eastAsia"/>
          <w:kern w:val="0"/>
          <w:sz w:val="32"/>
          <w:szCs w:val="32"/>
          <w:lang w:val="zh-CN"/>
        </w:rPr>
        <w:t>。全年实现进出口额</w:t>
      </w:r>
      <w:r w:rsidR="002D6804" w:rsidRPr="002D6804">
        <w:rPr>
          <w:rFonts w:ascii="仿宋_GB2312" w:eastAsia="仿宋_GB2312" w:cs="楷体_GB2312" w:hint="eastAsia"/>
          <w:kern w:val="0"/>
          <w:sz w:val="32"/>
          <w:szCs w:val="32"/>
          <w:lang w:val="zh-CN"/>
        </w:rPr>
        <w:t>137.</w:t>
      </w:r>
      <w:r w:rsidR="00C347FA">
        <w:rPr>
          <w:rFonts w:ascii="仿宋_GB2312" w:eastAsia="仿宋_GB2312" w:cs="楷体_GB2312" w:hint="eastAsia"/>
          <w:kern w:val="0"/>
          <w:sz w:val="32"/>
          <w:szCs w:val="32"/>
          <w:lang w:val="zh-CN"/>
        </w:rPr>
        <w:t>4</w:t>
      </w:r>
      <w:r w:rsidRPr="002D6804">
        <w:rPr>
          <w:rFonts w:ascii="仿宋_GB2312" w:eastAsia="仿宋_GB2312" w:cs="楷体_GB2312" w:hint="eastAsia"/>
          <w:kern w:val="0"/>
          <w:sz w:val="32"/>
          <w:szCs w:val="32"/>
          <w:lang w:val="zh-CN"/>
        </w:rPr>
        <w:t>亿美元，下降</w:t>
      </w:r>
      <w:r w:rsidR="002D6804" w:rsidRPr="002D6804">
        <w:rPr>
          <w:rFonts w:ascii="仿宋_GB2312" w:eastAsia="仿宋_GB2312" w:cs="楷体_GB2312" w:hint="eastAsia"/>
          <w:kern w:val="0"/>
          <w:sz w:val="32"/>
          <w:szCs w:val="32"/>
          <w:lang w:val="zh-CN"/>
        </w:rPr>
        <w:t>1.5</w:t>
      </w:r>
      <w:r w:rsidRPr="002D6804">
        <w:rPr>
          <w:rFonts w:ascii="仿宋_GB2312" w:eastAsia="仿宋_GB2312" w:cs="楷体_GB2312"/>
          <w:kern w:val="0"/>
          <w:sz w:val="32"/>
          <w:szCs w:val="32"/>
          <w:lang w:val="zh-CN"/>
        </w:rPr>
        <w:t>%</w:t>
      </w:r>
      <w:r w:rsidR="002D6804" w:rsidRPr="002D6804">
        <w:rPr>
          <w:rFonts w:ascii="仿宋_GB2312" w:eastAsia="仿宋_GB2312" w:cs="楷体_GB2312" w:hint="eastAsia"/>
          <w:kern w:val="0"/>
          <w:sz w:val="32"/>
          <w:szCs w:val="32"/>
          <w:lang w:val="zh-CN"/>
        </w:rPr>
        <w:t>。</w:t>
      </w:r>
      <w:r w:rsidRPr="002D6804">
        <w:rPr>
          <w:rFonts w:ascii="仿宋_GB2312" w:eastAsia="仿宋_GB2312" w:cs="楷体_GB2312" w:hint="eastAsia"/>
          <w:kern w:val="0"/>
          <w:sz w:val="32"/>
          <w:szCs w:val="32"/>
          <w:lang w:val="zh-CN"/>
        </w:rPr>
        <w:t>其中，进口额</w:t>
      </w:r>
      <w:r w:rsidR="002D6804" w:rsidRPr="002D6804">
        <w:rPr>
          <w:rFonts w:ascii="仿宋_GB2312" w:eastAsia="仿宋_GB2312" w:cs="楷体_GB2312" w:hint="eastAsia"/>
          <w:kern w:val="0"/>
          <w:sz w:val="32"/>
          <w:szCs w:val="32"/>
          <w:lang w:val="zh-CN"/>
        </w:rPr>
        <w:t>112</w:t>
      </w:r>
      <w:r w:rsidRPr="002D6804">
        <w:rPr>
          <w:rFonts w:ascii="仿宋_GB2312" w:eastAsia="仿宋_GB2312" w:cs="楷体_GB2312" w:hint="eastAsia"/>
          <w:kern w:val="0"/>
          <w:sz w:val="32"/>
          <w:szCs w:val="32"/>
          <w:lang w:val="zh-CN"/>
        </w:rPr>
        <w:t>亿美元，</w:t>
      </w:r>
      <w:r w:rsidR="002D6804" w:rsidRPr="002D6804">
        <w:rPr>
          <w:rFonts w:ascii="仿宋_GB2312" w:eastAsia="仿宋_GB2312" w:cs="楷体_GB2312" w:hint="eastAsia"/>
          <w:kern w:val="0"/>
          <w:sz w:val="32"/>
          <w:szCs w:val="32"/>
          <w:lang w:val="zh-CN"/>
        </w:rPr>
        <w:t>同比增长2.1</w:t>
      </w:r>
      <w:r w:rsidRPr="002D6804">
        <w:rPr>
          <w:rFonts w:ascii="仿宋_GB2312" w:eastAsia="仿宋_GB2312" w:cs="楷体_GB2312"/>
          <w:kern w:val="0"/>
          <w:sz w:val="32"/>
          <w:szCs w:val="32"/>
          <w:lang w:val="zh-CN"/>
        </w:rPr>
        <w:t>%</w:t>
      </w:r>
      <w:r w:rsidRPr="002D6804">
        <w:rPr>
          <w:rFonts w:ascii="仿宋_GB2312" w:eastAsia="仿宋_GB2312" w:cs="楷体_GB2312" w:hint="eastAsia"/>
          <w:kern w:val="0"/>
          <w:sz w:val="32"/>
          <w:szCs w:val="32"/>
          <w:lang w:val="zh-CN"/>
        </w:rPr>
        <w:t>；出口额</w:t>
      </w:r>
      <w:r w:rsidR="002D6804" w:rsidRPr="002D6804">
        <w:rPr>
          <w:rFonts w:ascii="仿宋_GB2312" w:eastAsia="仿宋_GB2312" w:cs="楷体_GB2312" w:hint="eastAsia"/>
          <w:kern w:val="0"/>
          <w:sz w:val="32"/>
          <w:szCs w:val="32"/>
          <w:lang w:val="zh-CN"/>
        </w:rPr>
        <w:t>25.</w:t>
      </w:r>
      <w:r w:rsidR="00C347FA">
        <w:rPr>
          <w:rFonts w:ascii="仿宋_GB2312" w:eastAsia="仿宋_GB2312" w:cs="楷体_GB2312" w:hint="eastAsia"/>
          <w:kern w:val="0"/>
          <w:sz w:val="32"/>
          <w:szCs w:val="32"/>
          <w:lang w:val="zh-CN"/>
        </w:rPr>
        <w:t>4</w:t>
      </w:r>
      <w:r w:rsidRPr="002D6804">
        <w:rPr>
          <w:rFonts w:ascii="仿宋_GB2312" w:eastAsia="仿宋_GB2312" w:cs="楷体_GB2312" w:hint="eastAsia"/>
          <w:kern w:val="0"/>
          <w:sz w:val="32"/>
          <w:szCs w:val="32"/>
          <w:lang w:val="zh-CN"/>
        </w:rPr>
        <w:t>亿美元，下降</w:t>
      </w:r>
      <w:r w:rsidR="002D6804" w:rsidRPr="002D6804">
        <w:rPr>
          <w:rFonts w:ascii="仿宋_GB2312" w:eastAsia="仿宋_GB2312" w:cs="楷体_GB2312" w:hint="eastAsia"/>
          <w:kern w:val="0"/>
          <w:sz w:val="32"/>
          <w:szCs w:val="32"/>
          <w:lang w:val="zh-CN"/>
        </w:rPr>
        <w:t>14</w:t>
      </w:r>
      <w:r w:rsidRPr="002D6804">
        <w:rPr>
          <w:rFonts w:ascii="仿宋_GB2312" w:eastAsia="仿宋_GB2312" w:cs="楷体_GB2312" w:hint="eastAsia"/>
          <w:kern w:val="0"/>
          <w:sz w:val="32"/>
          <w:szCs w:val="32"/>
          <w:lang w:val="zh-CN"/>
        </w:rPr>
        <w:t>.9</w:t>
      </w:r>
      <w:r w:rsidRPr="002D6804">
        <w:rPr>
          <w:rFonts w:ascii="仿宋_GB2312" w:eastAsia="仿宋_GB2312" w:cs="楷体_GB2312"/>
          <w:kern w:val="0"/>
          <w:sz w:val="32"/>
          <w:szCs w:val="32"/>
          <w:lang w:val="zh-CN"/>
        </w:rPr>
        <w:t>%</w:t>
      </w:r>
      <w:r w:rsidRPr="002D6804">
        <w:rPr>
          <w:rFonts w:ascii="仿宋_GB2312" w:eastAsia="仿宋_GB2312" w:cs="楷体_GB2312" w:hint="eastAsia"/>
          <w:kern w:val="0"/>
          <w:sz w:val="32"/>
          <w:szCs w:val="32"/>
          <w:lang w:val="zh-CN"/>
        </w:rPr>
        <w:t>。</w:t>
      </w:r>
    </w:p>
    <w:p w:rsidR="00AF3EC5" w:rsidRPr="00C347FA" w:rsidRDefault="00AF3EC5" w:rsidP="001B06CE">
      <w:pPr>
        <w:adjustRightInd w:val="0"/>
        <w:snapToGrid w:val="0"/>
        <w:ind w:firstLineChars="0" w:firstLine="0"/>
        <w:jc w:val="center"/>
        <w:rPr>
          <w:rFonts w:ascii="宋体" w:hAnsi="宋体"/>
          <w:b/>
          <w:sz w:val="28"/>
          <w:szCs w:val="28"/>
        </w:rPr>
      </w:pPr>
      <w:r w:rsidRPr="00C347FA">
        <w:rPr>
          <w:rFonts w:ascii="宋体" w:hAnsi="宋体" w:hint="eastAsia"/>
          <w:b/>
          <w:sz w:val="28"/>
          <w:szCs w:val="28"/>
        </w:rPr>
        <w:t>图7 2011年-201</w:t>
      </w:r>
      <w:r w:rsidR="00C347FA" w:rsidRPr="00C347FA">
        <w:rPr>
          <w:rFonts w:ascii="宋体" w:hAnsi="宋体" w:hint="eastAsia"/>
          <w:b/>
          <w:sz w:val="28"/>
          <w:szCs w:val="28"/>
        </w:rPr>
        <w:t>6</w:t>
      </w:r>
      <w:r w:rsidRPr="00C347FA">
        <w:rPr>
          <w:rFonts w:ascii="宋体" w:hAnsi="宋体" w:hint="eastAsia"/>
          <w:b/>
          <w:sz w:val="28"/>
          <w:szCs w:val="28"/>
        </w:rPr>
        <w:t>年利用外资金额情况</w:t>
      </w:r>
    </w:p>
    <w:p w:rsidR="00AF3EC5" w:rsidRPr="00C347FA" w:rsidRDefault="00DF7BFE" w:rsidP="00C347FA">
      <w:pPr>
        <w:adjustRightInd w:val="0"/>
        <w:snapToGrid w:val="0"/>
        <w:ind w:firstLine="640"/>
        <w:rPr>
          <w:rFonts w:ascii="仿宋_GB2312" w:eastAsia="仿宋_GB2312" w:cs="楷体_GB2312"/>
          <w:color w:val="FF0000"/>
          <w:kern w:val="0"/>
          <w:sz w:val="32"/>
          <w:szCs w:val="32"/>
        </w:rPr>
      </w:pPr>
      <w:r>
        <w:rPr>
          <w:rFonts w:ascii="仿宋_GB2312" w:eastAsia="仿宋_GB2312" w:cs="楷体_GB2312"/>
          <w:noProof/>
          <w:color w:val="FF0000"/>
          <w:kern w:val="0"/>
          <w:sz w:val="32"/>
          <w:szCs w:val="32"/>
        </w:rPr>
        <w:drawing>
          <wp:anchor distT="158496" distB="137160" distL="114300" distR="388620" simplePos="0" relativeHeight="251659776" behindDoc="0" locked="0" layoutInCell="1" allowOverlap="1">
            <wp:simplePos x="0" y="0"/>
            <wp:positionH relativeFrom="column">
              <wp:posOffset>577596</wp:posOffset>
            </wp:positionH>
            <wp:positionV relativeFrom="paragraph">
              <wp:posOffset>-44196</wp:posOffset>
            </wp:positionV>
            <wp:extent cx="4572254" cy="2514346"/>
            <wp:effectExtent l="19050" t="0" r="0" b="0"/>
            <wp:wrapNone/>
            <wp:docPr id="9"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F3EC5" w:rsidRPr="00C55F3D" w:rsidRDefault="00AF3EC5" w:rsidP="00C549BE">
      <w:pPr>
        <w:adjustRightInd w:val="0"/>
        <w:snapToGrid w:val="0"/>
        <w:ind w:firstLine="640"/>
        <w:rPr>
          <w:rFonts w:ascii="仿宋_GB2312" w:eastAsia="仿宋_GB2312" w:cs="楷体_GB2312"/>
          <w:color w:val="FF0000"/>
          <w:kern w:val="0"/>
          <w:sz w:val="32"/>
          <w:szCs w:val="32"/>
          <w:lang w:val="zh-CN"/>
        </w:rPr>
      </w:pPr>
    </w:p>
    <w:p w:rsidR="00AF3EC5" w:rsidRPr="00C55F3D" w:rsidRDefault="00AF3EC5" w:rsidP="00C549BE">
      <w:pPr>
        <w:adjustRightInd w:val="0"/>
        <w:snapToGrid w:val="0"/>
        <w:ind w:firstLine="640"/>
        <w:rPr>
          <w:rFonts w:ascii="仿宋_GB2312" w:eastAsia="仿宋_GB2312" w:cs="楷体_GB2312"/>
          <w:color w:val="FF0000"/>
          <w:kern w:val="0"/>
          <w:sz w:val="32"/>
          <w:szCs w:val="32"/>
          <w:lang w:val="zh-CN"/>
        </w:rPr>
      </w:pPr>
    </w:p>
    <w:p w:rsidR="00AF3EC5" w:rsidRPr="00C55F3D" w:rsidRDefault="00AF3EC5" w:rsidP="00C549BE">
      <w:pPr>
        <w:adjustRightInd w:val="0"/>
        <w:snapToGrid w:val="0"/>
        <w:ind w:firstLine="640"/>
        <w:rPr>
          <w:rFonts w:ascii="仿宋_GB2312" w:eastAsia="仿宋_GB2312" w:cs="楷体_GB2312"/>
          <w:color w:val="FF0000"/>
          <w:kern w:val="0"/>
          <w:sz w:val="32"/>
          <w:szCs w:val="32"/>
          <w:lang w:val="zh-CN"/>
        </w:rPr>
      </w:pPr>
    </w:p>
    <w:p w:rsidR="00AF3EC5" w:rsidRPr="00C55F3D" w:rsidRDefault="00AF3EC5" w:rsidP="00C549BE">
      <w:pPr>
        <w:adjustRightInd w:val="0"/>
        <w:snapToGrid w:val="0"/>
        <w:ind w:firstLine="640"/>
        <w:rPr>
          <w:rFonts w:ascii="仿宋_GB2312" w:eastAsia="仿宋_GB2312" w:cs="楷体_GB2312"/>
          <w:color w:val="FF0000"/>
          <w:kern w:val="0"/>
          <w:sz w:val="32"/>
          <w:szCs w:val="32"/>
          <w:lang w:val="zh-CN"/>
        </w:rPr>
      </w:pPr>
    </w:p>
    <w:p w:rsidR="00AF3EC5" w:rsidRPr="00C55F3D" w:rsidRDefault="00AF3EC5" w:rsidP="00C549BE">
      <w:pPr>
        <w:adjustRightInd w:val="0"/>
        <w:snapToGrid w:val="0"/>
        <w:ind w:firstLine="640"/>
        <w:rPr>
          <w:rFonts w:ascii="仿宋_GB2312" w:eastAsia="仿宋_GB2312" w:cs="楷体_GB2312"/>
          <w:color w:val="FF0000"/>
          <w:kern w:val="0"/>
          <w:sz w:val="32"/>
          <w:szCs w:val="32"/>
          <w:lang w:val="zh-CN"/>
        </w:rPr>
      </w:pPr>
    </w:p>
    <w:p w:rsidR="000D328C" w:rsidRDefault="000D328C" w:rsidP="00461525">
      <w:pPr>
        <w:adjustRightInd w:val="0"/>
        <w:snapToGrid w:val="0"/>
        <w:ind w:firstLine="640"/>
        <w:rPr>
          <w:rFonts w:ascii="黑体" w:eastAsia="黑体"/>
          <w:bCs/>
          <w:sz w:val="32"/>
          <w:szCs w:val="32"/>
        </w:rPr>
      </w:pPr>
    </w:p>
    <w:p w:rsidR="00A1079C" w:rsidRPr="00461525" w:rsidRDefault="005F68DB" w:rsidP="001B06CE">
      <w:pPr>
        <w:adjustRightInd w:val="0"/>
        <w:snapToGrid w:val="0"/>
        <w:ind w:firstLine="640"/>
        <w:rPr>
          <w:rFonts w:ascii="黑体" w:eastAsia="黑体"/>
          <w:bCs/>
          <w:sz w:val="32"/>
          <w:szCs w:val="32"/>
        </w:rPr>
      </w:pPr>
      <w:r w:rsidRPr="00461525">
        <w:rPr>
          <w:rFonts w:ascii="黑体" w:eastAsia="黑体" w:hint="eastAsia"/>
          <w:bCs/>
          <w:sz w:val="32"/>
          <w:szCs w:val="32"/>
        </w:rPr>
        <w:t>三</w:t>
      </w:r>
      <w:r w:rsidR="00A1079C" w:rsidRPr="00461525">
        <w:rPr>
          <w:rFonts w:ascii="黑体" w:eastAsia="黑体" w:hint="eastAsia"/>
          <w:bCs/>
          <w:sz w:val="32"/>
          <w:szCs w:val="32"/>
        </w:rPr>
        <w:t>、主要行业</w:t>
      </w:r>
    </w:p>
    <w:p w:rsidR="00461525" w:rsidRPr="00461525" w:rsidRDefault="00A1079C" w:rsidP="001B06CE">
      <w:pPr>
        <w:adjustRightInd w:val="0"/>
        <w:snapToGrid w:val="0"/>
        <w:ind w:firstLine="640"/>
        <w:rPr>
          <w:rFonts w:ascii="仿宋_GB2312" w:eastAsia="仿宋_GB2312"/>
          <w:sz w:val="32"/>
          <w:szCs w:val="32"/>
        </w:rPr>
      </w:pPr>
      <w:r w:rsidRPr="00461525">
        <w:rPr>
          <w:rFonts w:ascii="黑体" w:eastAsia="黑体" w:hint="eastAsia"/>
          <w:bCs/>
          <w:sz w:val="32"/>
          <w:szCs w:val="32"/>
        </w:rPr>
        <w:t>工业：</w:t>
      </w:r>
      <w:r w:rsidRPr="00461525">
        <w:rPr>
          <w:rFonts w:ascii="仿宋_GB2312" w:eastAsia="仿宋_GB2312" w:hint="eastAsia"/>
          <w:sz w:val="32"/>
          <w:szCs w:val="32"/>
        </w:rPr>
        <w:t>全区规模以上工业企业实现现价工业总产值</w:t>
      </w:r>
      <w:r w:rsidR="00461525" w:rsidRPr="00461525">
        <w:rPr>
          <w:rFonts w:ascii="仿宋_GB2312" w:eastAsia="仿宋_GB2312" w:hint="eastAsia"/>
          <w:sz w:val="32"/>
          <w:szCs w:val="32"/>
        </w:rPr>
        <w:t>185.8亿元，</w:t>
      </w:r>
      <w:r w:rsidR="00724CF6">
        <w:rPr>
          <w:rFonts w:ascii="仿宋_GB2312" w:eastAsia="仿宋_GB2312" w:hint="eastAsia"/>
          <w:sz w:val="32"/>
          <w:szCs w:val="32"/>
        </w:rPr>
        <w:t>同比</w:t>
      </w:r>
      <w:r w:rsidR="00461525" w:rsidRPr="00461525">
        <w:rPr>
          <w:rFonts w:ascii="仿宋_GB2312" w:eastAsia="仿宋_GB2312" w:hint="eastAsia"/>
          <w:sz w:val="32"/>
          <w:szCs w:val="32"/>
        </w:rPr>
        <w:t>增长0.7%</w:t>
      </w:r>
      <w:r w:rsidRPr="00461525">
        <w:rPr>
          <w:rFonts w:ascii="仿宋_GB2312" w:eastAsia="仿宋_GB2312" w:hint="eastAsia"/>
          <w:sz w:val="32"/>
          <w:szCs w:val="32"/>
        </w:rPr>
        <w:t>；</w:t>
      </w:r>
      <w:r w:rsidR="00461525" w:rsidRPr="00461525">
        <w:rPr>
          <w:rFonts w:ascii="仿宋_GB2312" w:eastAsia="仿宋_GB2312" w:hint="eastAsia"/>
          <w:sz w:val="32"/>
          <w:szCs w:val="32"/>
        </w:rPr>
        <w:t>实现工业销售产值180.7亿元，增</w:t>
      </w:r>
      <w:r w:rsidR="00461525">
        <w:rPr>
          <w:rFonts w:ascii="仿宋_GB2312" w:eastAsia="仿宋_GB2312" w:hint="eastAsia"/>
          <w:sz w:val="32"/>
          <w:szCs w:val="32"/>
        </w:rPr>
        <w:t>长</w:t>
      </w:r>
      <w:r w:rsidR="00461525" w:rsidRPr="00461525">
        <w:rPr>
          <w:rFonts w:ascii="仿宋_GB2312" w:eastAsia="仿宋_GB2312" w:hint="eastAsia"/>
          <w:sz w:val="32"/>
          <w:szCs w:val="32"/>
        </w:rPr>
        <w:t>0.6%</w:t>
      </w:r>
      <w:r w:rsidR="00461525">
        <w:rPr>
          <w:rFonts w:ascii="仿宋_GB2312" w:eastAsia="仿宋_GB2312" w:hint="eastAsia"/>
          <w:sz w:val="32"/>
          <w:szCs w:val="32"/>
        </w:rPr>
        <w:t>。</w:t>
      </w:r>
    </w:p>
    <w:p w:rsidR="002226EC" w:rsidRPr="00461525" w:rsidRDefault="002226EC" w:rsidP="001B06CE">
      <w:pPr>
        <w:adjustRightInd w:val="0"/>
        <w:snapToGrid w:val="0"/>
        <w:ind w:firstLineChars="71"/>
        <w:jc w:val="center"/>
        <w:rPr>
          <w:rFonts w:ascii="宋体" w:hAnsi="宋体"/>
          <w:b/>
          <w:sz w:val="28"/>
          <w:szCs w:val="28"/>
        </w:rPr>
      </w:pPr>
      <w:r w:rsidRPr="00461525">
        <w:rPr>
          <w:rFonts w:ascii="宋体" w:hAnsi="宋体" w:hint="eastAsia"/>
          <w:b/>
          <w:sz w:val="28"/>
          <w:szCs w:val="28"/>
        </w:rPr>
        <w:t>图8 2011年-201</w:t>
      </w:r>
      <w:r w:rsidR="00461525" w:rsidRPr="00461525">
        <w:rPr>
          <w:rFonts w:ascii="宋体" w:hAnsi="宋体" w:hint="eastAsia"/>
          <w:b/>
          <w:sz w:val="28"/>
          <w:szCs w:val="28"/>
        </w:rPr>
        <w:t>6</w:t>
      </w:r>
      <w:r w:rsidRPr="00461525">
        <w:rPr>
          <w:rFonts w:ascii="宋体" w:hAnsi="宋体" w:hint="eastAsia"/>
          <w:b/>
          <w:sz w:val="28"/>
          <w:szCs w:val="28"/>
        </w:rPr>
        <w:t>年规模以上工业企业总产值及增长速度情况</w:t>
      </w:r>
    </w:p>
    <w:p w:rsidR="002226EC" w:rsidRPr="00C55F3D" w:rsidRDefault="00DF7BFE" w:rsidP="001B06CE">
      <w:pPr>
        <w:adjustRightInd w:val="0"/>
        <w:snapToGrid w:val="0"/>
        <w:ind w:firstLine="562"/>
        <w:rPr>
          <w:rFonts w:ascii="仿宋_GB2312" w:eastAsia="仿宋_GB2312"/>
          <w:color w:val="FF0000"/>
          <w:sz w:val="32"/>
          <w:szCs w:val="32"/>
        </w:rPr>
      </w:pPr>
      <w:r>
        <w:rPr>
          <w:rFonts w:ascii="宋体" w:hAnsi="宋体" w:hint="eastAsia"/>
          <w:b/>
          <w:noProof/>
          <w:sz w:val="28"/>
          <w:szCs w:val="28"/>
        </w:rPr>
        <w:drawing>
          <wp:anchor distT="0" distB="138684" distL="199644" distR="199644" simplePos="0" relativeHeight="251655680" behindDoc="0" locked="0" layoutInCell="1" allowOverlap="1">
            <wp:simplePos x="0" y="0"/>
            <wp:positionH relativeFrom="column">
              <wp:posOffset>600456</wp:posOffset>
            </wp:positionH>
            <wp:positionV relativeFrom="paragraph">
              <wp:posOffset>63500</wp:posOffset>
            </wp:positionV>
            <wp:extent cx="4571873" cy="2552954"/>
            <wp:effectExtent l="0" t="0" r="0" b="0"/>
            <wp:wrapNone/>
            <wp:docPr id="8"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226EC" w:rsidRPr="00C55F3D" w:rsidRDefault="002226EC" w:rsidP="00C549BE">
      <w:pPr>
        <w:adjustRightInd w:val="0"/>
        <w:snapToGrid w:val="0"/>
        <w:ind w:firstLine="640"/>
        <w:rPr>
          <w:rFonts w:ascii="仿宋_GB2312" w:eastAsia="仿宋_GB2312"/>
          <w:color w:val="FF0000"/>
          <w:sz w:val="32"/>
          <w:szCs w:val="32"/>
        </w:rPr>
      </w:pPr>
    </w:p>
    <w:p w:rsidR="002226EC" w:rsidRPr="00C55F3D" w:rsidRDefault="002226EC" w:rsidP="00C549BE">
      <w:pPr>
        <w:adjustRightInd w:val="0"/>
        <w:snapToGrid w:val="0"/>
        <w:ind w:firstLine="640"/>
        <w:rPr>
          <w:rFonts w:ascii="仿宋_GB2312" w:eastAsia="仿宋_GB2312"/>
          <w:color w:val="FF0000"/>
          <w:sz w:val="32"/>
          <w:szCs w:val="32"/>
        </w:rPr>
      </w:pPr>
    </w:p>
    <w:p w:rsidR="002226EC" w:rsidRPr="00C55F3D" w:rsidRDefault="002226EC" w:rsidP="00C549BE">
      <w:pPr>
        <w:adjustRightInd w:val="0"/>
        <w:snapToGrid w:val="0"/>
        <w:ind w:firstLine="640"/>
        <w:rPr>
          <w:rFonts w:ascii="仿宋_GB2312" w:eastAsia="仿宋_GB2312"/>
          <w:color w:val="FF0000"/>
          <w:sz w:val="32"/>
          <w:szCs w:val="32"/>
        </w:rPr>
      </w:pPr>
    </w:p>
    <w:p w:rsidR="000D328C" w:rsidRDefault="000D328C" w:rsidP="0018059E">
      <w:pPr>
        <w:adjustRightInd w:val="0"/>
        <w:snapToGrid w:val="0"/>
        <w:ind w:firstLineChars="0" w:firstLine="0"/>
        <w:rPr>
          <w:rFonts w:ascii="黑体" w:eastAsia="黑体"/>
          <w:bCs/>
          <w:sz w:val="32"/>
          <w:szCs w:val="32"/>
        </w:rPr>
      </w:pPr>
    </w:p>
    <w:p w:rsidR="000D328C" w:rsidRDefault="00A1079C" w:rsidP="001B06CE">
      <w:pPr>
        <w:adjustRightInd w:val="0"/>
        <w:snapToGrid w:val="0"/>
        <w:ind w:firstLine="640"/>
        <w:rPr>
          <w:rFonts w:ascii="宋体" w:hAnsi="宋体"/>
          <w:b/>
          <w:spacing w:val="-20"/>
          <w:sz w:val="28"/>
          <w:szCs w:val="28"/>
        </w:rPr>
      </w:pPr>
      <w:r w:rsidRPr="00DB6C1D">
        <w:rPr>
          <w:rFonts w:ascii="黑体" w:eastAsia="黑体" w:hint="eastAsia"/>
          <w:bCs/>
          <w:sz w:val="32"/>
          <w:szCs w:val="32"/>
        </w:rPr>
        <w:lastRenderedPageBreak/>
        <w:t>建筑业：</w:t>
      </w:r>
      <w:r w:rsidRPr="00DB6C1D">
        <w:rPr>
          <w:rFonts w:ascii="仿宋_GB2312" w:eastAsia="仿宋_GB2312" w:hint="eastAsia"/>
          <w:sz w:val="32"/>
          <w:szCs w:val="32"/>
        </w:rPr>
        <w:t>全区具有资质等级的总承包和专业承包建筑业企业完成建筑业总产值</w:t>
      </w:r>
      <w:r w:rsidR="00DB6C1D" w:rsidRPr="00DB6C1D">
        <w:rPr>
          <w:rFonts w:ascii="仿宋_GB2312" w:eastAsia="仿宋_GB2312" w:cs="仿宋_GB2312" w:hint="eastAsia"/>
          <w:sz w:val="32"/>
          <w:szCs w:val="32"/>
        </w:rPr>
        <w:t>628.4亿元，同比增长13.7%</w:t>
      </w:r>
      <w:r w:rsidRPr="00DB6C1D">
        <w:rPr>
          <w:rFonts w:ascii="仿宋_GB2312" w:eastAsia="仿宋_GB2312" w:hint="eastAsia"/>
          <w:sz w:val="32"/>
          <w:szCs w:val="32"/>
        </w:rPr>
        <w:t>。</w:t>
      </w:r>
      <w:r w:rsidRPr="00344654">
        <w:rPr>
          <w:rFonts w:ascii="仿宋_GB2312" w:eastAsia="仿宋_GB2312" w:cs="仿宋_GB2312" w:hint="eastAsia"/>
          <w:sz w:val="32"/>
          <w:szCs w:val="32"/>
        </w:rPr>
        <w:t>本年新签合同</w:t>
      </w:r>
      <w:r w:rsidRPr="00344654">
        <w:rPr>
          <w:rFonts w:ascii="仿宋_GB2312" w:eastAsia="仿宋_GB2312" w:hint="eastAsia"/>
          <w:sz w:val="32"/>
          <w:szCs w:val="32"/>
        </w:rPr>
        <w:t>额</w:t>
      </w:r>
      <w:r w:rsidR="00344654" w:rsidRPr="00344654">
        <w:rPr>
          <w:rFonts w:ascii="仿宋_GB2312" w:eastAsia="仿宋_GB2312" w:hint="eastAsia"/>
          <w:sz w:val="32"/>
          <w:szCs w:val="32"/>
        </w:rPr>
        <w:t>732.3</w:t>
      </w:r>
      <w:r w:rsidRPr="00344654">
        <w:rPr>
          <w:rFonts w:ascii="仿宋_GB2312" w:eastAsia="仿宋_GB2312" w:hint="eastAsia"/>
          <w:sz w:val="32"/>
          <w:szCs w:val="32"/>
        </w:rPr>
        <w:t>亿元，同比</w:t>
      </w:r>
      <w:r w:rsidR="00344654" w:rsidRPr="00344654">
        <w:rPr>
          <w:rFonts w:ascii="仿宋_GB2312" w:eastAsia="仿宋_GB2312" w:hint="eastAsia"/>
          <w:sz w:val="32"/>
          <w:szCs w:val="32"/>
        </w:rPr>
        <w:t>增长</w:t>
      </w:r>
      <w:r w:rsidRPr="00344654">
        <w:rPr>
          <w:rFonts w:ascii="仿宋_GB2312" w:eastAsia="仿宋_GB2312" w:hint="eastAsia"/>
          <w:sz w:val="32"/>
          <w:szCs w:val="32"/>
        </w:rPr>
        <w:t>1</w:t>
      </w:r>
      <w:r w:rsidR="00344654" w:rsidRPr="00344654">
        <w:rPr>
          <w:rFonts w:ascii="仿宋_GB2312" w:eastAsia="仿宋_GB2312" w:hint="eastAsia"/>
          <w:sz w:val="32"/>
          <w:szCs w:val="32"/>
        </w:rPr>
        <w:t>0.5</w:t>
      </w:r>
      <w:r w:rsidRPr="00344654">
        <w:rPr>
          <w:rFonts w:ascii="仿宋_GB2312" w:eastAsia="仿宋_GB2312"/>
          <w:sz w:val="32"/>
          <w:szCs w:val="32"/>
        </w:rPr>
        <w:t>%</w:t>
      </w:r>
      <w:r w:rsidRPr="00344654">
        <w:rPr>
          <w:rFonts w:ascii="仿宋_GB2312" w:eastAsia="仿宋_GB2312" w:hint="eastAsia"/>
          <w:sz w:val="32"/>
          <w:szCs w:val="32"/>
        </w:rPr>
        <w:t>。</w:t>
      </w:r>
    </w:p>
    <w:p w:rsidR="002226EC" w:rsidRPr="00DB6C1D" w:rsidRDefault="002226EC" w:rsidP="002226EC">
      <w:pPr>
        <w:adjustRightInd w:val="0"/>
        <w:snapToGrid w:val="0"/>
        <w:ind w:firstLine="482"/>
        <w:jc w:val="center"/>
        <w:rPr>
          <w:rFonts w:ascii="仿宋_GB2312" w:eastAsia="仿宋_GB2312"/>
          <w:spacing w:val="-20"/>
          <w:sz w:val="32"/>
          <w:szCs w:val="32"/>
        </w:rPr>
      </w:pPr>
      <w:r w:rsidRPr="00DB6C1D">
        <w:rPr>
          <w:rFonts w:ascii="宋体" w:hAnsi="宋体" w:hint="eastAsia"/>
          <w:b/>
          <w:spacing w:val="-20"/>
          <w:sz w:val="28"/>
          <w:szCs w:val="28"/>
        </w:rPr>
        <w:t>图9  2011年-201</w:t>
      </w:r>
      <w:r w:rsidR="00DB6C1D" w:rsidRPr="00DB6C1D">
        <w:rPr>
          <w:rFonts w:ascii="宋体" w:hAnsi="宋体" w:hint="eastAsia"/>
          <w:b/>
          <w:spacing w:val="-20"/>
          <w:sz w:val="28"/>
          <w:szCs w:val="28"/>
        </w:rPr>
        <w:t>6</w:t>
      </w:r>
      <w:r w:rsidRPr="00DB6C1D">
        <w:rPr>
          <w:rFonts w:ascii="宋体" w:hAnsi="宋体" w:hint="eastAsia"/>
          <w:b/>
          <w:spacing w:val="-20"/>
          <w:sz w:val="28"/>
          <w:szCs w:val="28"/>
        </w:rPr>
        <w:t>年具有资质等级及以上的建筑业总产值及增长速度情况</w:t>
      </w:r>
    </w:p>
    <w:p w:rsidR="002226EC" w:rsidRPr="00C55F3D" w:rsidRDefault="00DF7BFE" w:rsidP="00DB6C1D">
      <w:pPr>
        <w:adjustRightInd w:val="0"/>
        <w:snapToGrid w:val="0"/>
        <w:ind w:firstLine="640"/>
        <w:rPr>
          <w:rFonts w:ascii="仿宋_GB2312" w:eastAsia="仿宋_GB2312"/>
          <w:color w:val="FF0000"/>
          <w:sz w:val="32"/>
          <w:szCs w:val="32"/>
        </w:rPr>
      </w:pPr>
      <w:r>
        <w:rPr>
          <w:rFonts w:ascii="仿宋_GB2312" w:eastAsia="仿宋_GB2312"/>
          <w:noProof/>
          <w:color w:val="FF0000"/>
          <w:sz w:val="32"/>
          <w:szCs w:val="32"/>
        </w:rPr>
        <w:drawing>
          <wp:anchor distT="12192" distB="140208" distL="187452" distR="193548" simplePos="0" relativeHeight="251656704" behindDoc="0" locked="0" layoutInCell="1" allowOverlap="1">
            <wp:simplePos x="0" y="0"/>
            <wp:positionH relativeFrom="column">
              <wp:posOffset>658368</wp:posOffset>
            </wp:positionH>
            <wp:positionV relativeFrom="paragraph">
              <wp:posOffset>17018</wp:posOffset>
            </wp:positionV>
            <wp:extent cx="4572000" cy="2743200"/>
            <wp:effectExtent l="0" t="0" r="0" b="0"/>
            <wp:wrapNone/>
            <wp:docPr id="7"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226EC" w:rsidRPr="00C55F3D" w:rsidRDefault="002226EC" w:rsidP="00C549BE">
      <w:pPr>
        <w:adjustRightInd w:val="0"/>
        <w:snapToGrid w:val="0"/>
        <w:ind w:firstLine="640"/>
        <w:rPr>
          <w:rFonts w:ascii="仿宋_GB2312" w:eastAsia="仿宋_GB2312"/>
          <w:color w:val="FF0000"/>
          <w:sz w:val="32"/>
          <w:szCs w:val="32"/>
        </w:rPr>
      </w:pPr>
    </w:p>
    <w:p w:rsidR="002226EC" w:rsidRPr="00C55F3D" w:rsidRDefault="002226EC" w:rsidP="00C549BE">
      <w:pPr>
        <w:adjustRightInd w:val="0"/>
        <w:snapToGrid w:val="0"/>
        <w:ind w:firstLine="640"/>
        <w:rPr>
          <w:rFonts w:ascii="仿宋_GB2312" w:eastAsia="仿宋_GB2312"/>
          <w:color w:val="FF0000"/>
          <w:sz w:val="32"/>
          <w:szCs w:val="32"/>
        </w:rPr>
      </w:pPr>
    </w:p>
    <w:p w:rsidR="002226EC" w:rsidRPr="00C55F3D" w:rsidRDefault="002226EC" w:rsidP="00C549BE">
      <w:pPr>
        <w:adjustRightInd w:val="0"/>
        <w:snapToGrid w:val="0"/>
        <w:ind w:firstLine="640"/>
        <w:rPr>
          <w:rFonts w:ascii="仿宋_GB2312" w:eastAsia="仿宋_GB2312"/>
          <w:color w:val="FF0000"/>
          <w:sz w:val="32"/>
          <w:szCs w:val="32"/>
        </w:rPr>
      </w:pPr>
    </w:p>
    <w:p w:rsidR="002226EC" w:rsidRPr="00C55F3D" w:rsidRDefault="002226EC" w:rsidP="00C549BE">
      <w:pPr>
        <w:adjustRightInd w:val="0"/>
        <w:snapToGrid w:val="0"/>
        <w:ind w:firstLine="640"/>
        <w:rPr>
          <w:rFonts w:ascii="仿宋_GB2312" w:eastAsia="仿宋_GB2312"/>
          <w:color w:val="FF0000"/>
          <w:sz w:val="32"/>
          <w:szCs w:val="32"/>
        </w:rPr>
      </w:pPr>
    </w:p>
    <w:p w:rsidR="002226EC" w:rsidRPr="00C55F3D" w:rsidRDefault="002226EC" w:rsidP="00C549BE">
      <w:pPr>
        <w:adjustRightInd w:val="0"/>
        <w:snapToGrid w:val="0"/>
        <w:ind w:firstLine="640"/>
        <w:rPr>
          <w:rFonts w:ascii="仿宋_GB2312" w:eastAsia="仿宋_GB2312"/>
          <w:color w:val="FF0000"/>
          <w:sz w:val="32"/>
          <w:szCs w:val="32"/>
        </w:rPr>
      </w:pPr>
    </w:p>
    <w:p w:rsidR="000D328C" w:rsidRDefault="000D328C" w:rsidP="00C549BE">
      <w:pPr>
        <w:adjustRightInd w:val="0"/>
        <w:snapToGrid w:val="0"/>
        <w:ind w:firstLine="640"/>
        <w:rPr>
          <w:rFonts w:ascii="黑体" w:eastAsia="黑体"/>
          <w:bCs/>
          <w:sz w:val="32"/>
          <w:szCs w:val="32"/>
        </w:rPr>
      </w:pPr>
    </w:p>
    <w:p w:rsidR="0018059E" w:rsidRDefault="0018059E" w:rsidP="00CB566F">
      <w:pPr>
        <w:adjustRightInd w:val="0"/>
        <w:snapToGrid w:val="0"/>
        <w:ind w:firstLine="640"/>
        <w:rPr>
          <w:rFonts w:ascii="黑体" w:eastAsia="黑体" w:hint="eastAsia"/>
          <w:bCs/>
          <w:sz w:val="32"/>
          <w:szCs w:val="32"/>
        </w:rPr>
      </w:pPr>
    </w:p>
    <w:p w:rsidR="00A1079C" w:rsidRPr="001B06CE" w:rsidRDefault="00A1079C" w:rsidP="00CB566F">
      <w:pPr>
        <w:adjustRightInd w:val="0"/>
        <w:snapToGrid w:val="0"/>
        <w:ind w:firstLine="640"/>
        <w:rPr>
          <w:rFonts w:ascii="仿宋_GB2312" w:eastAsia="仿宋_GB2312"/>
          <w:sz w:val="32"/>
          <w:szCs w:val="32"/>
        </w:rPr>
      </w:pPr>
      <w:r w:rsidRPr="001B06CE">
        <w:rPr>
          <w:rFonts w:ascii="黑体" w:eastAsia="黑体" w:hint="eastAsia"/>
          <w:bCs/>
          <w:sz w:val="32"/>
          <w:szCs w:val="32"/>
        </w:rPr>
        <w:t>批发和零售业：</w:t>
      </w:r>
      <w:r w:rsidRPr="001B06CE">
        <w:rPr>
          <w:rFonts w:ascii="仿宋_GB2312" w:eastAsia="仿宋_GB2312" w:hint="eastAsia"/>
          <w:sz w:val="32"/>
          <w:szCs w:val="32"/>
        </w:rPr>
        <w:t>全区批发零售业实现商品销售总额</w:t>
      </w:r>
      <w:r w:rsidR="00DB6C1D" w:rsidRPr="001B06CE">
        <w:rPr>
          <w:rFonts w:ascii="仿宋_GB2312" w:eastAsia="仿宋_GB2312" w:hint="eastAsia"/>
          <w:sz w:val="32"/>
          <w:szCs w:val="32"/>
        </w:rPr>
        <w:t>7720.7</w:t>
      </w:r>
      <w:r w:rsidRPr="001B06CE">
        <w:rPr>
          <w:rFonts w:ascii="仿宋_GB2312" w:eastAsia="仿宋_GB2312" w:hint="eastAsia"/>
          <w:sz w:val="32"/>
          <w:szCs w:val="32"/>
        </w:rPr>
        <w:t>亿元，比上年</w:t>
      </w:r>
      <w:r w:rsidR="00DB6C1D" w:rsidRPr="001B06CE">
        <w:rPr>
          <w:rFonts w:ascii="仿宋_GB2312" w:eastAsia="仿宋_GB2312" w:hint="eastAsia"/>
          <w:sz w:val="32"/>
          <w:szCs w:val="32"/>
        </w:rPr>
        <w:t>增长5.5</w:t>
      </w:r>
      <w:r w:rsidRPr="001B06CE">
        <w:rPr>
          <w:rFonts w:ascii="仿宋_GB2312" w:eastAsia="仿宋_GB2312" w:hint="eastAsia"/>
          <w:sz w:val="32"/>
          <w:szCs w:val="32"/>
        </w:rPr>
        <w:t>%。其中</w:t>
      </w:r>
      <w:r w:rsidR="00804DAE" w:rsidRPr="001B06CE">
        <w:rPr>
          <w:rFonts w:ascii="仿宋_GB2312" w:eastAsia="仿宋_GB2312" w:hint="eastAsia"/>
          <w:sz w:val="32"/>
          <w:szCs w:val="32"/>
        </w:rPr>
        <w:t>，</w:t>
      </w:r>
      <w:r w:rsidRPr="001B06CE">
        <w:rPr>
          <w:rFonts w:ascii="仿宋_GB2312" w:eastAsia="仿宋_GB2312" w:hint="eastAsia"/>
          <w:sz w:val="32"/>
          <w:szCs w:val="32"/>
        </w:rPr>
        <w:t>批发业实现商品销售额6</w:t>
      </w:r>
      <w:r w:rsidR="00DB6C1D" w:rsidRPr="001B06CE">
        <w:rPr>
          <w:rFonts w:ascii="仿宋_GB2312" w:eastAsia="仿宋_GB2312" w:hint="eastAsia"/>
          <w:sz w:val="32"/>
          <w:szCs w:val="32"/>
        </w:rPr>
        <w:t>790.5</w:t>
      </w:r>
      <w:r w:rsidRPr="001B06CE">
        <w:rPr>
          <w:rFonts w:ascii="仿宋_GB2312" w:eastAsia="仿宋_GB2312" w:hint="eastAsia"/>
          <w:sz w:val="32"/>
          <w:szCs w:val="32"/>
        </w:rPr>
        <w:t>亿元，比上年</w:t>
      </w:r>
      <w:r w:rsidR="00DB6C1D" w:rsidRPr="001B06CE">
        <w:rPr>
          <w:rFonts w:ascii="仿宋_GB2312" w:eastAsia="仿宋_GB2312" w:hint="eastAsia"/>
          <w:sz w:val="32"/>
          <w:szCs w:val="32"/>
        </w:rPr>
        <w:t>增长5.6</w:t>
      </w:r>
      <w:r w:rsidRPr="001B06CE">
        <w:rPr>
          <w:rFonts w:ascii="仿宋_GB2312" w:eastAsia="仿宋_GB2312" w:hint="eastAsia"/>
          <w:sz w:val="32"/>
          <w:szCs w:val="32"/>
        </w:rPr>
        <w:t>%；零售业实现商品销售额</w:t>
      </w:r>
      <w:r w:rsidR="00DB6C1D" w:rsidRPr="001B06CE">
        <w:rPr>
          <w:rFonts w:ascii="仿宋_GB2312" w:eastAsia="仿宋_GB2312" w:hint="eastAsia"/>
          <w:sz w:val="32"/>
          <w:szCs w:val="32"/>
        </w:rPr>
        <w:t>930.2</w:t>
      </w:r>
      <w:r w:rsidRPr="001B06CE">
        <w:rPr>
          <w:rFonts w:ascii="仿宋_GB2312" w:eastAsia="仿宋_GB2312" w:hint="eastAsia"/>
          <w:sz w:val="32"/>
          <w:szCs w:val="32"/>
        </w:rPr>
        <w:t>亿元，比上年增长</w:t>
      </w:r>
      <w:r w:rsidR="00DB6C1D" w:rsidRPr="001B06CE">
        <w:rPr>
          <w:rFonts w:ascii="仿宋_GB2312" w:eastAsia="仿宋_GB2312" w:hint="eastAsia"/>
          <w:sz w:val="32"/>
          <w:szCs w:val="32"/>
        </w:rPr>
        <w:t>5.2</w:t>
      </w:r>
      <w:r w:rsidRPr="001B06CE">
        <w:rPr>
          <w:rFonts w:ascii="仿宋_GB2312" w:eastAsia="仿宋_GB2312" w:hint="eastAsia"/>
          <w:sz w:val="32"/>
          <w:szCs w:val="32"/>
        </w:rPr>
        <w:t>%。</w:t>
      </w:r>
    </w:p>
    <w:p w:rsidR="00A1079C" w:rsidRPr="001B06CE" w:rsidRDefault="00A1079C" w:rsidP="00CB566F">
      <w:pPr>
        <w:adjustRightInd w:val="0"/>
        <w:snapToGrid w:val="0"/>
        <w:ind w:firstLine="640"/>
        <w:rPr>
          <w:rFonts w:ascii="仿宋_GB2312" w:eastAsia="仿宋_GB2312"/>
          <w:sz w:val="32"/>
          <w:szCs w:val="32"/>
        </w:rPr>
      </w:pPr>
      <w:r w:rsidRPr="001B06CE">
        <w:rPr>
          <w:rFonts w:ascii="黑体" w:eastAsia="黑体" w:hint="eastAsia"/>
          <w:bCs/>
          <w:sz w:val="32"/>
          <w:szCs w:val="32"/>
        </w:rPr>
        <w:t>住宿和餐饮业：</w:t>
      </w:r>
      <w:r w:rsidRPr="001B06CE">
        <w:rPr>
          <w:rFonts w:ascii="仿宋_GB2312" w:eastAsia="仿宋_GB2312" w:hint="eastAsia"/>
          <w:bCs/>
          <w:sz w:val="32"/>
          <w:szCs w:val="32"/>
        </w:rPr>
        <w:t>全区住宿餐饮业实现</w:t>
      </w:r>
      <w:r w:rsidRPr="001B06CE">
        <w:rPr>
          <w:rFonts w:ascii="仿宋_GB2312" w:eastAsia="仿宋_GB2312" w:hint="eastAsia"/>
          <w:sz w:val="32"/>
          <w:szCs w:val="32"/>
        </w:rPr>
        <w:t>营业额17</w:t>
      </w:r>
      <w:r w:rsidR="00DB6C1D" w:rsidRPr="001B06CE">
        <w:rPr>
          <w:rFonts w:ascii="仿宋_GB2312" w:eastAsia="仿宋_GB2312" w:hint="eastAsia"/>
          <w:sz w:val="32"/>
          <w:szCs w:val="32"/>
        </w:rPr>
        <w:t>4.9</w:t>
      </w:r>
      <w:r w:rsidRPr="001B06CE">
        <w:rPr>
          <w:rFonts w:ascii="仿宋_GB2312" w:eastAsia="仿宋_GB2312" w:hint="eastAsia"/>
          <w:sz w:val="32"/>
          <w:szCs w:val="32"/>
        </w:rPr>
        <w:t>亿元，比上年增长3.</w:t>
      </w:r>
      <w:r w:rsidR="00DB6C1D" w:rsidRPr="001B06CE">
        <w:rPr>
          <w:rFonts w:ascii="仿宋_GB2312" w:eastAsia="仿宋_GB2312" w:hint="eastAsia"/>
          <w:sz w:val="32"/>
          <w:szCs w:val="32"/>
        </w:rPr>
        <w:t>4</w:t>
      </w:r>
      <w:r w:rsidRPr="001B06CE">
        <w:rPr>
          <w:rFonts w:ascii="仿宋_GB2312" w:eastAsia="仿宋_GB2312" w:hint="eastAsia"/>
          <w:sz w:val="32"/>
          <w:szCs w:val="32"/>
        </w:rPr>
        <w:t>%。其中</w:t>
      </w:r>
      <w:r w:rsidR="00804DAE" w:rsidRPr="001B06CE">
        <w:rPr>
          <w:rFonts w:ascii="仿宋_GB2312" w:eastAsia="仿宋_GB2312" w:hint="eastAsia"/>
          <w:sz w:val="32"/>
          <w:szCs w:val="32"/>
        </w:rPr>
        <w:t>，</w:t>
      </w:r>
      <w:r w:rsidRPr="001B06CE">
        <w:rPr>
          <w:rFonts w:ascii="仿宋_GB2312" w:eastAsia="仿宋_GB2312" w:hint="eastAsia"/>
          <w:sz w:val="32"/>
          <w:szCs w:val="32"/>
        </w:rPr>
        <w:t>住宿业营业额8</w:t>
      </w:r>
      <w:r w:rsidR="00DB6C1D" w:rsidRPr="001B06CE">
        <w:rPr>
          <w:rFonts w:ascii="仿宋_GB2312" w:eastAsia="仿宋_GB2312" w:hint="eastAsia"/>
          <w:sz w:val="32"/>
          <w:szCs w:val="32"/>
        </w:rPr>
        <w:t>1.1</w:t>
      </w:r>
      <w:r w:rsidRPr="001B06CE">
        <w:rPr>
          <w:rFonts w:ascii="仿宋_GB2312" w:eastAsia="仿宋_GB2312" w:hint="eastAsia"/>
          <w:sz w:val="32"/>
          <w:szCs w:val="32"/>
        </w:rPr>
        <w:t>亿元，比上年增长</w:t>
      </w:r>
      <w:r w:rsidR="00DB6C1D" w:rsidRPr="001B06CE">
        <w:rPr>
          <w:rFonts w:ascii="仿宋_GB2312" w:eastAsia="仿宋_GB2312" w:hint="eastAsia"/>
          <w:sz w:val="32"/>
          <w:szCs w:val="32"/>
        </w:rPr>
        <w:t>2.2</w:t>
      </w:r>
      <w:r w:rsidRPr="001B06CE">
        <w:rPr>
          <w:rFonts w:ascii="仿宋_GB2312" w:eastAsia="仿宋_GB2312" w:hint="eastAsia"/>
          <w:sz w:val="32"/>
          <w:szCs w:val="32"/>
        </w:rPr>
        <w:t>%；餐饮业实现营业额93.</w:t>
      </w:r>
      <w:r w:rsidR="00DB6C1D" w:rsidRPr="001B06CE">
        <w:rPr>
          <w:rFonts w:ascii="仿宋_GB2312" w:eastAsia="仿宋_GB2312" w:hint="eastAsia"/>
          <w:sz w:val="32"/>
          <w:szCs w:val="32"/>
        </w:rPr>
        <w:t>8</w:t>
      </w:r>
      <w:r w:rsidRPr="001B06CE">
        <w:rPr>
          <w:rFonts w:ascii="仿宋_GB2312" w:eastAsia="仿宋_GB2312" w:hint="eastAsia"/>
          <w:sz w:val="32"/>
          <w:szCs w:val="32"/>
        </w:rPr>
        <w:t>亿元，比上年增长</w:t>
      </w:r>
      <w:r w:rsidR="00DB6C1D" w:rsidRPr="001B06CE">
        <w:rPr>
          <w:rFonts w:ascii="仿宋_GB2312" w:eastAsia="仿宋_GB2312" w:hint="eastAsia"/>
          <w:sz w:val="32"/>
          <w:szCs w:val="32"/>
        </w:rPr>
        <w:t>4.5</w:t>
      </w:r>
      <w:r w:rsidRPr="001B06CE">
        <w:rPr>
          <w:rFonts w:ascii="仿宋_GB2312" w:eastAsia="仿宋_GB2312" w:hint="eastAsia"/>
          <w:sz w:val="32"/>
          <w:szCs w:val="32"/>
        </w:rPr>
        <w:t>%。</w:t>
      </w:r>
    </w:p>
    <w:p w:rsidR="00A1079C" w:rsidRPr="001B06CE" w:rsidRDefault="00A1079C" w:rsidP="00CB566F">
      <w:pPr>
        <w:adjustRightInd w:val="0"/>
        <w:snapToGrid w:val="0"/>
        <w:ind w:firstLine="640"/>
        <w:rPr>
          <w:rFonts w:ascii="仿宋_GB2312" w:eastAsia="仿宋_GB2312"/>
          <w:sz w:val="32"/>
          <w:szCs w:val="32"/>
        </w:rPr>
      </w:pPr>
      <w:r w:rsidRPr="001B06CE">
        <w:rPr>
          <w:rFonts w:ascii="黑体" w:eastAsia="黑体" w:hint="eastAsia"/>
          <w:bCs/>
          <w:sz w:val="32"/>
          <w:szCs w:val="32"/>
        </w:rPr>
        <w:t>金融业：</w:t>
      </w:r>
      <w:r w:rsidRPr="001B06CE">
        <w:rPr>
          <w:rFonts w:ascii="仿宋_GB2312" w:eastAsia="仿宋_GB2312" w:hint="eastAsia"/>
          <w:sz w:val="32"/>
          <w:szCs w:val="32"/>
        </w:rPr>
        <w:t>年末全区中资金融机构人民币存款余额1</w:t>
      </w:r>
      <w:r w:rsidR="00621A1D" w:rsidRPr="001B06CE">
        <w:rPr>
          <w:rFonts w:ascii="仿宋_GB2312" w:eastAsia="仿宋_GB2312" w:hint="eastAsia"/>
          <w:sz w:val="32"/>
          <w:szCs w:val="32"/>
        </w:rPr>
        <w:t>5039</w:t>
      </w:r>
      <w:r w:rsidRPr="001B06CE">
        <w:rPr>
          <w:rFonts w:ascii="仿宋_GB2312" w:eastAsia="仿宋_GB2312" w:hint="eastAsia"/>
          <w:sz w:val="32"/>
          <w:szCs w:val="32"/>
        </w:rPr>
        <w:t>.2亿元，比上年末增长</w:t>
      </w:r>
      <w:r w:rsidR="00621A1D" w:rsidRPr="001B06CE">
        <w:rPr>
          <w:rFonts w:ascii="仿宋_GB2312" w:eastAsia="仿宋_GB2312" w:hint="eastAsia"/>
          <w:sz w:val="32"/>
          <w:szCs w:val="32"/>
        </w:rPr>
        <w:t>7.2</w:t>
      </w:r>
      <w:r w:rsidRPr="001B06CE">
        <w:rPr>
          <w:rFonts w:ascii="仿宋_GB2312" w:eastAsia="仿宋_GB2312" w:hint="eastAsia"/>
          <w:sz w:val="32"/>
          <w:szCs w:val="32"/>
        </w:rPr>
        <w:t>%，占北京市中资金融机构人民币存款余额的比重为11.</w:t>
      </w:r>
      <w:r w:rsidR="00621A1D" w:rsidRPr="001B06CE">
        <w:rPr>
          <w:rFonts w:ascii="仿宋_GB2312" w:eastAsia="仿宋_GB2312" w:hint="eastAsia"/>
          <w:sz w:val="32"/>
          <w:szCs w:val="32"/>
        </w:rPr>
        <w:t>4</w:t>
      </w:r>
      <w:r w:rsidRPr="001B06CE">
        <w:rPr>
          <w:rFonts w:ascii="仿宋_GB2312" w:eastAsia="仿宋_GB2312" w:hint="eastAsia"/>
          <w:sz w:val="32"/>
          <w:szCs w:val="32"/>
        </w:rPr>
        <w:t>%。其中</w:t>
      </w:r>
      <w:r w:rsidR="00804DAE" w:rsidRPr="001B06CE">
        <w:rPr>
          <w:rFonts w:ascii="仿宋_GB2312" w:eastAsia="仿宋_GB2312" w:hint="eastAsia"/>
          <w:sz w:val="32"/>
          <w:szCs w:val="32"/>
        </w:rPr>
        <w:t>，</w:t>
      </w:r>
      <w:r w:rsidRPr="001B06CE">
        <w:rPr>
          <w:rFonts w:ascii="仿宋_GB2312" w:eastAsia="仿宋_GB2312" w:hint="eastAsia"/>
          <w:sz w:val="32"/>
          <w:szCs w:val="32"/>
        </w:rPr>
        <w:t>单位存款</w:t>
      </w:r>
      <w:r w:rsidR="00621A1D" w:rsidRPr="001B06CE">
        <w:rPr>
          <w:rFonts w:ascii="仿宋_GB2312" w:eastAsia="仿宋_GB2312" w:hint="eastAsia"/>
          <w:sz w:val="32"/>
          <w:szCs w:val="32"/>
        </w:rPr>
        <w:t>9571.6</w:t>
      </w:r>
      <w:r w:rsidRPr="001B06CE">
        <w:rPr>
          <w:rFonts w:ascii="仿宋_GB2312" w:eastAsia="仿宋_GB2312" w:hint="eastAsia"/>
          <w:sz w:val="32"/>
          <w:szCs w:val="32"/>
        </w:rPr>
        <w:t>亿元，个人存款26</w:t>
      </w:r>
      <w:r w:rsidR="00621A1D" w:rsidRPr="001B06CE">
        <w:rPr>
          <w:rFonts w:ascii="仿宋_GB2312" w:eastAsia="仿宋_GB2312" w:hint="eastAsia"/>
          <w:sz w:val="32"/>
          <w:szCs w:val="32"/>
        </w:rPr>
        <w:t>2</w:t>
      </w:r>
      <w:r w:rsidRPr="001B06CE">
        <w:rPr>
          <w:rFonts w:ascii="仿宋_GB2312" w:eastAsia="仿宋_GB2312" w:hint="eastAsia"/>
          <w:sz w:val="32"/>
          <w:szCs w:val="32"/>
        </w:rPr>
        <w:t>3.3</w:t>
      </w:r>
      <w:r w:rsidRPr="001B06CE">
        <w:rPr>
          <w:rFonts w:ascii="仿宋_GB2312" w:eastAsia="仿宋_GB2312" w:hint="eastAsia"/>
          <w:sz w:val="32"/>
          <w:szCs w:val="32"/>
        </w:rPr>
        <w:lastRenderedPageBreak/>
        <w:t>亿元，其他存款2</w:t>
      </w:r>
      <w:r w:rsidR="00621A1D" w:rsidRPr="001B06CE">
        <w:rPr>
          <w:rFonts w:ascii="仿宋_GB2312" w:eastAsia="仿宋_GB2312" w:hint="eastAsia"/>
          <w:sz w:val="32"/>
          <w:szCs w:val="32"/>
        </w:rPr>
        <w:t>844</w:t>
      </w:r>
      <w:r w:rsidRPr="001B06CE">
        <w:rPr>
          <w:rFonts w:ascii="仿宋_GB2312" w:eastAsia="仿宋_GB2312" w:hint="eastAsia"/>
          <w:sz w:val="32"/>
          <w:szCs w:val="32"/>
        </w:rPr>
        <w:t>.3亿元。全区中资金融机构实现人民币贷款余额5</w:t>
      </w:r>
      <w:r w:rsidR="00621A1D" w:rsidRPr="001B06CE">
        <w:rPr>
          <w:rFonts w:ascii="仿宋_GB2312" w:eastAsia="仿宋_GB2312" w:hint="eastAsia"/>
          <w:sz w:val="32"/>
          <w:szCs w:val="32"/>
        </w:rPr>
        <w:t>779.2</w:t>
      </w:r>
      <w:r w:rsidRPr="001B06CE">
        <w:rPr>
          <w:rFonts w:ascii="仿宋_GB2312" w:eastAsia="仿宋_GB2312" w:hint="eastAsia"/>
          <w:sz w:val="32"/>
          <w:szCs w:val="32"/>
        </w:rPr>
        <w:t>亿元，比上年末增长</w:t>
      </w:r>
      <w:r w:rsidR="00621A1D" w:rsidRPr="001B06CE">
        <w:rPr>
          <w:rFonts w:ascii="仿宋_GB2312" w:eastAsia="仿宋_GB2312" w:hint="eastAsia"/>
          <w:sz w:val="32"/>
          <w:szCs w:val="32"/>
        </w:rPr>
        <w:t>4.6</w:t>
      </w:r>
      <w:r w:rsidRPr="001B06CE">
        <w:rPr>
          <w:rFonts w:ascii="仿宋_GB2312" w:eastAsia="仿宋_GB2312" w:hint="eastAsia"/>
          <w:sz w:val="32"/>
          <w:szCs w:val="32"/>
        </w:rPr>
        <w:t>%，占北京市中资金融机构人民币贷款余额的1</w:t>
      </w:r>
      <w:r w:rsidR="00621A1D" w:rsidRPr="001B06CE">
        <w:rPr>
          <w:rFonts w:ascii="仿宋_GB2312" w:eastAsia="仿宋_GB2312" w:hint="eastAsia"/>
          <w:sz w:val="32"/>
          <w:szCs w:val="32"/>
        </w:rPr>
        <w:t>0.7</w:t>
      </w:r>
      <w:r w:rsidRPr="001B06CE">
        <w:rPr>
          <w:rFonts w:ascii="仿宋_GB2312" w:eastAsia="仿宋_GB2312" w:hint="eastAsia"/>
          <w:sz w:val="32"/>
          <w:szCs w:val="32"/>
        </w:rPr>
        <w:t>%。其中短期贷款220</w:t>
      </w:r>
      <w:r w:rsidR="00621A1D" w:rsidRPr="001B06CE">
        <w:rPr>
          <w:rFonts w:ascii="仿宋_GB2312" w:eastAsia="仿宋_GB2312" w:hint="eastAsia"/>
          <w:sz w:val="32"/>
          <w:szCs w:val="32"/>
        </w:rPr>
        <w:t>7.5</w:t>
      </w:r>
      <w:r w:rsidRPr="001B06CE">
        <w:rPr>
          <w:rFonts w:ascii="仿宋_GB2312" w:eastAsia="仿宋_GB2312" w:hint="eastAsia"/>
          <w:sz w:val="32"/>
          <w:szCs w:val="32"/>
        </w:rPr>
        <w:t>亿元，中长期贷款3</w:t>
      </w:r>
      <w:r w:rsidR="00621A1D" w:rsidRPr="001B06CE">
        <w:rPr>
          <w:rFonts w:ascii="仿宋_GB2312" w:eastAsia="仿宋_GB2312" w:hint="eastAsia"/>
          <w:sz w:val="32"/>
          <w:szCs w:val="32"/>
        </w:rPr>
        <w:t>306.2</w:t>
      </w:r>
      <w:r w:rsidRPr="001B06CE">
        <w:rPr>
          <w:rFonts w:ascii="仿宋_GB2312" w:eastAsia="仿宋_GB2312" w:hint="eastAsia"/>
          <w:sz w:val="32"/>
          <w:szCs w:val="32"/>
        </w:rPr>
        <w:t>亿元。</w:t>
      </w:r>
    </w:p>
    <w:p w:rsidR="00A87E34" w:rsidRPr="001B06CE" w:rsidRDefault="00A1079C" w:rsidP="00CB566F">
      <w:pPr>
        <w:adjustRightInd w:val="0"/>
        <w:snapToGrid w:val="0"/>
        <w:ind w:firstLine="640"/>
        <w:rPr>
          <w:rFonts w:ascii="仿宋_GB2312" w:eastAsia="仿宋_GB2312"/>
          <w:sz w:val="32"/>
          <w:szCs w:val="32"/>
        </w:rPr>
      </w:pP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cr/>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vanish/>
          <w:sz w:val="32"/>
          <w:szCs w:val="32"/>
        </w:rPr>
        <w:pgNum/>
      </w:r>
      <w:r w:rsidRPr="001B06CE">
        <w:rPr>
          <w:rFonts w:ascii="黑体" w:eastAsia="黑体" w:hint="eastAsia"/>
          <w:bCs/>
          <w:sz w:val="32"/>
          <w:szCs w:val="32"/>
        </w:rPr>
        <w:t>房地产开发业：</w:t>
      </w:r>
      <w:r w:rsidRPr="001B06CE">
        <w:rPr>
          <w:rFonts w:ascii="仿宋_GB2312" w:eastAsia="仿宋_GB2312" w:hint="eastAsia"/>
          <w:sz w:val="32"/>
          <w:szCs w:val="32"/>
        </w:rPr>
        <w:t>全年实现商品房销售额</w:t>
      </w:r>
      <w:r w:rsidR="00621A1D" w:rsidRPr="001B06CE">
        <w:rPr>
          <w:rFonts w:ascii="仿宋_GB2312" w:eastAsia="仿宋_GB2312" w:hint="eastAsia"/>
          <w:sz w:val="32"/>
          <w:szCs w:val="32"/>
        </w:rPr>
        <w:t>57.4</w:t>
      </w:r>
      <w:r w:rsidRPr="001B06CE">
        <w:rPr>
          <w:rFonts w:ascii="仿宋_GB2312" w:eastAsia="仿宋_GB2312" w:hint="eastAsia"/>
          <w:sz w:val="32"/>
          <w:szCs w:val="32"/>
        </w:rPr>
        <w:t>亿元，比上年增长</w:t>
      </w:r>
      <w:r w:rsidR="00621A1D" w:rsidRPr="001B06CE">
        <w:rPr>
          <w:rFonts w:ascii="仿宋_GB2312" w:eastAsia="仿宋_GB2312" w:hint="eastAsia"/>
          <w:sz w:val="32"/>
          <w:szCs w:val="32"/>
        </w:rPr>
        <w:t>78.9</w:t>
      </w:r>
      <w:r w:rsidRPr="001B06CE">
        <w:rPr>
          <w:rFonts w:ascii="仿宋_GB2312" w:eastAsia="仿宋_GB2312" w:hint="eastAsia"/>
          <w:sz w:val="32"/>
          <w:szCs w:val="32"/>
        </w:rPr>
        <w:t>%。其中</w:t>
      </w:r>
      <w:r w:rsidR="00804DAE" w:rsidRPr="001B06CE">
        <w:rPr>
          <w:rFonts w:ascii="仿宋_GB2312" w:eastAsia="仿宋_GB2312" w:hint="eastAsia"/>
          <w:sz w:val="32"/>
          <w:szCs w:val="32"/>
        </w:rPr>
        <w:t>，</w:t>
      </w:r>
      <w:r w:rsidRPr="001B06CE">
        <w:rPr>
          <w:rFonts w:ascii="仿宋_GB2312" w:eastAsia="仿宋_GB2312" w:hint="eastAsia"/>
          <w:sz w:val="32"/>
          <w:szCs w:val="32"/>
        </w:rPr>
        <w:t>住宅销售额</w:t>
      </w:r>
      <w:r w:rsidR="00242D36" w:rsidRPr="001B06CE">
        <w:rPr>
          <w:rFonts w:ascii="仿宋_GB2312" w:eastAsia="仿宋_GB2312" w:hint="eastAsia"/>
          <w:sz w:val="32"/>
          <w:szCs w:val="32"/>
        </w:rPr>
        <w:t>48.9</w:t>
      </w:r>
      <w:r w:rsidRPr="001B06CE">
        <w:rPr>
          <w:rFonts w:ascii="仿宋_GB2312" w:eastAsia="仿宋_GB2312" w:hint="eastAsia"/>
          <w:sz w:val="32"/>
          <w:szCs w:val="32"/>
        </w:rPr>
        <w:t>亿元，办公楼销售额0.</w:t>
      </w:r>
      <w:r w:rsidR="00F66AEF" w:rsidRPr="001B06CE">
        <w:rPr>
          <w:rFonts w:ascii="仿宋_GB2312" w:eastAsia="仿宋_GB2312" w:hint="eastAsia"/>
          <w:sz w:val="32"/>
          <w:szCs w:val="32"/>
        </w:rPr>
        <w:t>4</w:t>
      </w:r>
      <w:r w:rsidRPr="001B06CE">
        <w:rPr>
          <w:rFonts w:ascii="仿宋_GB2312" w:eastAsia="仿宋_GB2312" w:hint="eastAsia"/>
          <w:sz w:val="32"/>
          <w:szCs w:val="32"/>
        </w:rPr>
        <w:t>亿元，商业营业用房销售额</w:t>
      </w:r>
      <w:r w:rsidR="00F66AEF" w:rsidRPr="001B06CE">
        <w:rPr>
          <w:rFonts w:ascii="仿宋_GB2312" w:eastAsia="仿宋_GB2312" w:hint="eastAsia"/>
          <w:sz w:val="32"/>
          <w:szCs w:val="32"/>
        </w:rPr>
        <w:t>7.4</w:t>
      </w:r>
      <w:r w:rsidRPr="001B06CE">
        <w:rPr>
          <w:rFonts w:ascii="仿宋_GB2312" w:eastAsia="仿宋_GB2312" w:hint="eastAsia"/>
          <w:sz w:val="32"/>
          <w:szCs w:val="32"/>
        </w:rPr>
        <w:t>亿元，其他房屋销售额0.</w:t>
      </w:r>
      <w:r w:rsidR="00F66AEF" w:rsidRPr="001B06CE">
        <w:rPr>
          <w:rFonts w:ascii="仿宋_GB2312" w:eastAsia="仿宋_GB2312" w:hint="eastAsia"/>
          <w:sz w:val="32"/>
          <w:szCs w:val="32"/>
        </w:rPr>
        <w:t>8</w:t>
      </w:r>
      <w:r w:rsidRPr="001B06CE">
        <w:rPr>
          <w:rFonts w:ascii="仿宋_GB2312" w:eastAsia="仿宋_GB2312" w:hint="eastAsia"/>
          <w:sz w:val="32"/>
          <w:szCs w:val="32"/>
        </w:rPr>
        <w:t>亿元。商品房销售面积</w:t>
      </w:r>
      <w:r w:rsidR="00621A1D" w:rsidRPr="001B06CE">
        <w:rPr>
          <w:rFonts w:ascii="仿宋_GB2312" w:eastAsia="仿宋_GB2312" w:hint="eastAsia"/>
          <w:sz w:val="32"/>
          <w:szCs w:val="32"/>
        </w:rPr>
        <w:t>6.6</w:t>
      </w:r>
      <w:r w:rsidRPr="001B06CE">
        <w:rPr>
          <w:rFonts w:ascii="仿宋_GB2312" w:eastAsia="仿宋_GB2312" w:hint="eastAsia"/>
          <w:sz w:val="32"/>
          <w:szCs w:val="32"/>
        </w:rPr>
        <w:t>万平方米，比上年增长</w:t>
      </w:r>
      <w:r w:rsidR="00621A1D" w:rsidRPr="001B06CE">
        <w:rPr>
          <w:rFonts w:ascii="仿宋_GB2312" w:eastAsia="仿宋_GB2312" w:hint="eastAsia"/>
          <w:sz w:val="32"/>
          <w:szCs w:val="32"/>
        </w:rPr>
        <w:t>31.5</w:t>
      </w:r>
      <w:r w:rsidRPr="001B06CE">
        <w:rPr>
          <w:rFonts w:ascii="仿宋_GB2312" w:eastAsia="仿宋_GB2312" w:hint="eastAsia"/>
          <w:sz w:val="32"/>
          <w:szCs w:val="32"/>
        </w:rPr>
        <w:t>%。</w:t>
      </w:r>
    </w:p>
    <w:p w:rsidR="00A87E34" w:rsidRPr="001B06CE" w:rsidRDefault="005F68DB" w:rsidP="00CB566F">
      <w:pPr>
        <w:adjustRightInd w:val="0"/>
        <w:snapToGrid w:val="0"/>
        <w:ind w:firstLine="640"/>
        <w:rPr>
          <w:rFonts w:ascii="黑体" w:eastAsia="黑体"/>
          <w:bCs/>
          <w:sz w:val="32"/>
          <w:szCs w:val="32"/>
        </w:rPr>
      </w:pPr>
      <w:r w:rsidRPr="001B06CE">
        <w:rPr>
          <w:rFonts w:ascii="黑体" w:eastAsia="黑体" w:hint="eastAsia"/>
          <w:bCs/>
          <w:sz w:val="32"/>
          <w:szCs w:val="32"/>
        </w:rPr>
        <w:t>四</w:t>
      </w:r>
      <w:r w:rsidR="00A87E34" w:rsidRPr="001B06CE">
        <w:rPr>
          <w:rFonts w:ascii="黑体" w:eastAsia="黑体" w:hint="eastAsia"/>
          <w:bCs/>
          <w:sz w:val="32"/>
          <w:szCs w:val="32"/>
        </w:rPr>
        <w:t>、城市建设和社会安全</w:t>
      </w:r>
    </w:p>
    <w:p w:rsidR="00055EB6" w:rsidRPr="001B06CE" w:rsidRDefault="00055EB6" w:rsidP="00CB566F">
      <w:pPr>
        <w:adjustRightInd w:val="0"/>
        <w:snapToGrid w:val="0"/>
        <w:ind w:firstLine="640"/>
        <w:rPr>
          <w:rFonts w:ascii="黑体" w:eastAsia="黑体"/>
          <w:bCs/>
          <w:sz w:val="32"/>
          <w:szCs w:val="32"/>
        </w:rPr>
      </w:pPr>
      <w:r w:rsidRPr="001B06CE">
        <w:rPr>
          <w:rFonts w:ascii="黑体" w:eastAsia="黑体" w:hint="eastAsia"/>
          <w:bCs/>
          <w:sz w:val="32"/>
          <w:szCs w:val="32"/>
        </w:rPr>
        <w:t>道路：</w:t>
      </w:r>
      <w:r w:rsidRPr="001B06CE">
        <w:rPr>
          <w:rFonts w:ascii="仿宋_GB2312" w:eastAsia="仿宋_GB2312" w:hint="eastAsia"/>
          <w:sz w:val="32"/>
          <w:szCs w:val="32"/>
        </w:rPr>
        <w:t>201</w:t>
      </w:r>
      <w:r w:rsidR="00872037" w:rsidRPr="001B06CE">
        <w:rPr>
          <w:rFonts w:ascii="仿宋_GB2312" w:eastAsia="仿宋_GB2312" w:hint="eastAsia"/>
          <w:sz w:val="32"/>
          <w:szCs w:val="32"/>
        </w:rPr>
        <w:t>6</w:t>
      </w:r>
      <w:r w:rsidRPr="001B06CE">
        <w:rPr>
          <w:rFonts w:ascii="仿宋_GB2312" w:eastAsia="仿宋_GB2312" w:hint="eastAsia"/>
          <w:sz w:val="32"/>
          <w:szCs w:val="32"/>
        </w:rPr>
        <w:t xml:space="preserve">年末，全区实有道路1118条，道路总里程 </w:t>
      </w:r>
      <w:smartTag w:uri="urn:schemas-microsoft-com:office:smarttags" w:element="chmetcnv">
        <w:smartTagPr>
          <w:attr w:name="UnitName" w:val="公里"/>
          <w:attr w:name="SourceValue" w:val="439"/>
          <w:attr w:name="HasSpace" w:val="True"/>
          <w:attr w:name="Negative" w:val="False"/>
          <w:attr w:name="NumberType" w:val="1"/>
          <w:attr w:name="TCSC" w:val="0"/>
        </w:smartTagPr>
        <w:r w:rsidRPr="001B06CE">
          <w:rPr>
            <w:rFonts w:ascii="仿宋_GB2312" w:eastAsia="仿宋_GB2312" w:hint="eastAsia"/>
            <w:sz w:val="32"/>
            <w:szCs w:val="32"/>
          </w:rPr>
          <w:t>439 公里</w:t>
        </w:r>
      </w:smartTag>
      <w:r w:rsidRPr="001B06CE">
        <w:rPr>
          <w:rFonts w:ascii="仿宋_GB2312" w:eastAsia="仿宋_GB2312" w:hint="eastAsia"/>
          <w:sz w:val="32"/>
          <w:szCs w:val="32"/>
        </w:rPr>
        <w:t xml:space="preserve">，道路总面积 479（不含步道）万平方米。其中，快速路9 条，快速路里程 </w:t>
      </w:r>
      <w:smartTag w:uri="urn:schemas-microsoft-com:office:smarttags" w:element="chmetcnv">
        <w:smartTagPr>
          <w:attr w:name="UnitName" w:val="公里"/>
          <w:attr w:name="SourceValue" w:val="16"/>
          <w:attr w:name="HasSpace" w:val="False"/>
          <w:attr w:name="Negative" w:val="False"/>
          <w:attr w:name="NumberType" w:val="1"/>
          <w:attr w:name="TCSC" w:val="0"/>
        </w:smartTagPr>
        <w:r w:rsidRPr="001B06CE">
          <w:rPr>
            <w:rFonts w:ascii="仿宋_GB2312" w:eastAsia="仿宋_GB2312" w:hint="eastAsia"/>
            <w:sz w:val="32"/>
            <w:szCs w:val="32"/>
          </w:rPr>
          <w:t>16公里</w:t>
        </w:r>
      </w:smartTag>
      <w:r w:rsidRPr="001B06CE">
        <w:rPr>
          <w:rFonts w:ascii="仿宋_GB2312" w:eastAsia="仿宋_GB2312" w:hint="eastAsia"/>
          <w:sz w:val="32"/>
          <w:szCs w:val="32"/>
        </w:rPr>
        <w:t>，快速路面积29万平方米。年末全区实有步道长度</w:t>
      </w:r>
      <w:smartTag w:uri="urn:schemas-microsoft-com:office:smarttags" w:element="chmetcnv">
        <w:smartTagPr>
          <w:attr w:name="UnitName" w:val="公里"/>
          <w:attr w:name="SourceValue" w:val="652"/>
          <w:attr w:name="HasSpace" w:val="False"/>
          <w:attr w:name="Negative" w:val="False"/>
          <w:attr w:name="NumberType" w:val="1"/>
          <w:attr w:name="TCSC" w:val="0"/>
        </w:smartTagPr>
        <w:r w:rsidRPr="001B06CE">
          <w:rPr>
            <w:rFonts w:ascii="仿宋_GB2312" w:eastAsia="仿宋_GB2312" w:hint="eastAsia"/>
            <w:sz w:val="32"/>
            <w:szCs w:val="32"/>
          </w:rPr>
          <w:t>652公里</w:t>
        </w:r>
      </w:smartTag>
      <w:r w:rsidRPr="001B06CE">
        <w:rPr>
          <w:rFonts w:ascii="仿宋_GB2312" w:eastAsia="仿宋_GB2312" w:hint="eastAsia"/>
          <w:sz w:val="32"/>
          <w:szCs w:val="32"/>
        </w:rPr>
        <w:t>，步道面积168万平方米。</w:t>
      </w:r>
    </w:p>
    <w:p w:rsidR="00055EB6" w:rsidRPr="001B06CE" w:rsidRDefault="00A87E34" w:rsidP="00CB566F">
      <w:pPr>
        <w:adjustRightInd w:val="0"/>
        <w:snapToGrid w:val="0"/>
        <w:ind w:firstLine="640"/>
        <w:rPr>
          <w:rFonts w:ascii="黑体" w:eastAsia="黑体"/>
          <w:bCs/>
          <w:sz w:val="32"/>
          <w:szCs w:val="32"/>
        </w:rPr>
      </w:pPr>
      <w:r w:rsidRPr="001B06CE">
        <w:rPr>
          <w:rFonts w:ascii="黑体" w:eastAsia="黑体" w:hint="eastAsia"/>
          <w:bCs/>
          <w:sz w:val="32"/>
          <w:szCs w:val="32"/>
        </w:rPr>
        <w:t>安全生产：</w:t>
      </w:r>
      <w:r w:rsidR="00055EB6" w:rsidRPr="001B06CE">
        <w:rPr>
          <w:rFonts w:ascii="仿宋_GB2312" w:eastAsia="仿宋_GB2312" w:hint="eastAsia"/>
          <w:sz w:val="32"/>
          <w:szCs w:val="32"/>
        </w:rPr>
        <w:t>全年共发生道路交通、生产安全亡人事故</w:t>
      </w:r>
      <w:r w:rsidR="00940C45" w:rsidRPr="001B06CE">
        <w:rPr>
          <w:rFonts w:ascii="仿宋_GB2312" w:eastAsia="仿宋_GB2312" w:hint="eastAsia"/>
          <w:sz w:val="32"/>
          <w:szCs w:val="32"/>
        </w:rPr>
        <w:t>6</w:t>
      </w:r>
      <w:r w:rsidR="00055EB6" w:rsidRPr="001B06CE">
        <w:rPr>
          <w:rFonts w:ascii="仿宋_GB2312" w:eastAsia="仿宋_GB2312" w:hint="eastAsia"/>
          <w:sz w:val="32"/>
          <w:szCs w:val="32"/>
        </w:rPr>
        <w:t>起，死亡</w:t>
      </w:r>
      <w:r w:rsidR="00940C45" w:rsidRPr="001B06CE">
        <w:rPr>
          <w:rFonts w:ascii="仿宋_GB2312" w:eastAsia="仿宋_GB2312" w:hint="eastAsia"/>
          <w:sz w:val="32"/>
          <w:szCs w:val="32"/>
        </w:rPr>
        <w:t>6</w:t>
      </w:r>
      <w:r w:rsidR="00055EB6" w:rsidRPr="001B06CE">
        <w:rPr>
          <w:rFonts w:ascii="仿宋_GB2312" w:eastAsia="仿宋_GB2312" w:hint="eastAsia"/>
          <w:sz w:val="32"/>
          <w:szCs w:val="32"/>
        </w:rPr>
        <w:t>人。与上年相比，亡人事故减少</w:t>
      </w:r>
      <w:r w:rsidR="00940C45" w:rsidRPr="001B06CE">
        <w:rPr>
          <w:rFonts w:ascii="仿宋_GB2312" w:eastAsia="仿宋_GB2312" w:hint="eastAsia"/>
          <w:sz w:val="32"/>
          <w:szCs w:val="32"/>
        </w:rPr>
        <w:t>4</w:t>
      </w:r>
      <w:r w:rsidR="00055EB6" w:rsidRPr="001B06CE">
        <w:rPr>
          <w:rFonts w:ascii="仿宋_GB2312" w:eastAsia="仿宋_GB2312" w:hint="eastAsia"/>
          <w:sz w:val="32"/>
          <w:szCs w:val="32"/>
        </w:rPr>
        <w:t>起，下降</w:t>
      </w:r>
      <w:r w:rsidR="00940C45" w:rsidRPr="001B06CE">
        <w:rPr>
          <w:rFonts w:ascii="仿宋_GB2312" w:eastAsia="仿宋_GB2312" w:hint="eastAsia"/>
          <w:sz w:val="32"/>
          <w:szCs w:val="32"/>
        </w:rPr>
        <w:t>40</w:t>
      </w:r>
      <w:r w:rsidR="00055EB6" w:rsidRPr="001B06CE">
        <w:rPr>
          <w:rFonts w:ascii="仿宋_GB2312" w:eastAsia="仿宋_GB2312" w:hint="eastAsia"/>
          <w:sz w:val="32"/>
          <w:szCs w:val="32"/>
        </w:rPr>
        <w:t>%；死亡人数减少</w:t>
      </w:r>
      <w:r w:rsidR="00940C45" w:rsidRPr="001B06CE">
        <w:rPr>
          <w:rFonts w:ascii="仿宋_GB2312" w:eastAsia="仿宋_GB2312" w:hint="eastAsia"/>
          <w:sz w:val="32"/>
          <w:szCs w:val="32"/>
        </w:rPr>
        <w:t>4</w:t>
      </w:r>
      <w:r w:rsidR="00055EB6" w:rsidRPr="001B06CE">
        <w:rPr>
          <w:rFonts w:ascii="仿宋_GB2312" w:eastAsia="仿宋_GB2312" w:hint="eastAsia"/>
          <w:sz w:val="32"/>
          <w:szCs w:val="32"/>
        </w:rPr>
        <w:t>人，下降</w:t>
      </w:r>
      <w:r w:rsidR="00940C45" w:rsidRPr="001B06CE">
        <w:rPr>
          <w:rFonts w:ascii="仿宋_GB2312" w:eastAsia="仿宋_GB2312" w:hint="eastAsia"/>
          <w:sz w:val="32"/>
          <w:szCs w:val="32"/>
        </w:rPr>
        <w:t>40</w:t>
      </w:r>
      <w:r w:rsidR="00055EB6" w:rsidRPr="001B06CE">
        <w:rPr>
          <w:rFonts w:ascii="仿宋_GB2312" w:eastAsia="仿宋_GB2312" w:hint="eastAsia"/>
          <w:sz w:val="32"/>
          <w:szCs w:val="32"/>
        </w:rPr>
        <w:t xml:space="preserve"> %。</w:t>
      </w:r>
      <w:r w:rsidR="00940C45" w:rsidRPr="001B06CE">
        <w:rPr>
          <w:rFonts w:ascii="仿宋_GB2312" w:eastAsia="仿宋_GB2312" w:hint="eastAsia"/>
          <w:sz w:val="32"/>
          <w:szCs w:val="32"/>
        </w:rPr>
        <w:t>未发生生产经营性火灾亡人事故和铁路交通亡人事故。</w:t>
      </w:r>
    </w:p>
    <w:p w:rsidR="00A87E34" w:rsidRPr="001B06CE" w:rsidRDefault="005F68DB" w:rsidP="00CB566F">
      <w:pPr>
        <w:adjustRightInd w:val="0"/>
        <w:snapToGrid w:val="0"/>
        <w:ind w:firstLine="640"/>
        <w:rPr>
          <w:rFonts w:ascii="黑体" w:eastAsia="黑体"/>
          <w:bCs/>
          <w:sz w:val="32"/>
          <w:szCs w:val="32"/>
        </w:rPr>
      </w:pPr>
      <w:r w:rsidRPr="001B06CE">
        <w:rPr>
          <w:rFonts w:ascii="黑体" w:eastAsia="黑体" w:hint="eastAsia"/>
          <w:bCs/>
          <w:sz w:val="32"/>
          <w:szCs w:val="32"/>
        </w:rPr>
        <w:t>五</w:t>
      </w:r>
      <w:r w:rsidR="00A87E34" w:rsidRPr="001B06CE">
        <w:rPr>
          <w:rFonts w:ascii="黑体" w:eastAsia="黑体" w:hint="eastAsia"/>
          <w:bCs/>
          <w:sz w:val="32"/>
          <w:szCs w:val="32"/>
        </w:rPr>
        <w:t>、城市环境</w:t>
      </w:r>
    </w:p>
    <w:p w:rsidR="00A87E34" w:rsidRPr="001B06CE" w:rsidRDefault="00A87E34" w:rsidP="00CB566F">
      <w:pPr>
        <w:adjustRightInd w:val="0"/>
        <w:snapToGrid w:val="0"/>
        <w:ind w:firstLine="640"/>
        <w:rPr>
          <w:rFonts w:ascii="仿宋_GB2312" w:eastAsia="仿宋_GB2312"/>
          <w:sz w:val="32"/>
          <w:szCs w:val="32"/>
        </w:rPr>
      </w:pPr>
      <w:r w:rsidRPr="001B06CE">
        <w:rPr>
          <w:rFonts w:ascii="黑体" w:eastAsia="黑体" w:hint="eastAsia"/>
          <w:bCs/>
          <w:sz w:val="32"/>
          <w:szCs w:val="32"/>
        </w:rPr>
        <w:t>环境保护：</w:t>
      </w:r>
      <w:r w:rsidR="00336D62" w:rsidRPr="001B06CE">
        <w:rPr>
          <w:rFonts w:ascii="仿宋_GB2312" w:eastAsia="仿宋_GB2312" w:hint="eastAsia"/>
          <w:sz w:val="32"/>
          <w:szCs w:val="32"/>
        </w:rPr>
        <w:t>全区细颗粒物年均浓度达到每立方米</w:t>
      </w:r>
      <w:r w:rsidR="002D6804" w:rsidRPr="001B06CE">
        <w:rPr>
          <w:rFonts w:ascii="仿宋_GB2312" w:eastAsia="仿宋_GB2312" w:hint="eastAsia"/>
          <w:sz w:val="32"/>
          <w:szCs w:val="32"/>
        </w:rPr>
        <w:t>77</w:t>
      </w:r>
      <w:r w:rsidR="00336D62" w:rsidRPr="001B06CE">
        <w:rPr>
          <w:rFonts w:ascii="仿宋_GB2312" w:eastAsia="仿宋_GB2312" w:hint="eastAsia"/>
          <w:sz w:val="32"/>
          <w:szCs w:val="32"/>
        </w:rPr>
        <w:t>微克，同比下降</w:t>
      </w:r>
      <w:r w:rsidR="002D6804" w:rsidRPr="001B06CE">
        <w:rPr>
          <w:rFonts w:ascii="仿宋_GB2312" w:eastAsia="仿宋_GB2312" w:hint="eastAsia"/>
          <w:sz w:val="32"/>
          <w:szCs w:val="32"/>
        </w:rPr>
        <w:t>8.7</w:t>
      </w:r>
      <w:r w:rsidR="00336D62" w:rsidRPr="001B06CE">
        <w:rPr>
          <w:rFonts w:ascii="仿宋_GB2312" w:eastAsia="仿宋_GB2312" w:hint="eastAsia"/>
          <w:sz w:val="32"/>
          <w:szCs w:val="32"/>
        </w:rPr>
        <w:t>%；二氧化硫、二氧化氮、可吸入颗粒物年均浓度下降率分别为</w:t>
      </w:r>
      <w:r w:rsidR="002D6804" w:rsidRPr="001B06CE">
        <w:rPr>
          <w:rFonts w:ascii="仿宋_GB2312" w:eastAsia="仿宋_GB2312" w:hint="eastAsia"/>
          <w:sz w:val="32"/>
          <w:szCs w:val="32"/>
        </w:rPr>
        <w:t>22.5</w:t>
      </w:r>
      <w:r w:rsidR="00336D62" w:rsidRPr="001B06CE">
        <w:rPr>
          <w:rFonts w:ascii="仿宋_GB2312" w:eastAsia="仿宋_GB2312" w:hint="eastAsia"/>
          <w:sz w:val="32"/>
          <w:szCs w:val="32"/>
        </w:rPr>
        <w:t>%、</w:t>
      </w:r>
      <w:r w:rsidR="002D6804" w:rsidRPr="001B06CE">
        <w:rPr>
          <w:rFonts w:ascii="仿宋_GB2312" w:eastAsia="仿宋_GB2312" w:hint="eastAsia"/>
          <w:sz w:val="32"/>
          <w:szCs w:val="32"/>
        </w:rPr>
        <w:t>0.9</w:t>
      </w:r>
      <w:r w:rsidR="00336D62" w:rsidRPr="001B06CE">
        <w:rPr>
          <w:rFonts w:ascii="仿宋_GB2312" w:eastAsia="仿宋_GB2312" w:hint="eastAsia"/>
          <w:sz w:val="32"/>
          <w:szCs w:val="32"/>
        </w:rPr>
        <w:t>%、</w:t>
      </w:r>
      <w:r w:rsidR="002D6804" w:rsidRPr="001B06CE">
        <w:rPr>
          <w:rFonts w:ascii="仿宋_GB2312" w:eastAsia="仿宋_GB2312" w:hint="eastAsia"/>
          <w:sz w:val="32"/>
          <w:szCs w:val="32"/>
        </w:rPr>
        <w:t>8.1</w:t>
      </w:r>
      <w:r w:rsidR="00336D62" w:rsidRPr="001B06CE">
        <w:rPr>
          <w:rFonts w:ascii="仿宋_GB2312" w:eastAsia="仿宋_GB2312" w:hint="eastAsia"/>
          <w:sz w:val="32"/>
          <w:szCs w:val="32"/>
        </w:rPr>
        <w:t>%；降尘量年平均值为每月每平方公里</w:t>
      </w:r>
      <w:r w:rsidR="002D6804" w:rsidRPr="001B06CE">
        <w:rPr>
          <w:rFonts w:ascii="仿宋_GB2312" w:eastAsia="仿宋_GB2312" w:hint="eastAsia"/>
          <w:sz w:val="32"/>
          <w:szCs w:val="32"/>
        </w:rPr>
        <w:t>4</w:t>
      </w:r>
      <w:r w:rsidR="00336D62" w:rsidRPr="001B06CE">
        <w:rPr>
          <w:rFonts w:ascii="仿宋_GB2312" w:eastAsia="仿宋_GB2312" w:hint="eastAsia"/>
          <w:sz w:val="32"/>
          <w:szCs w:val="32"/>
        </w:rPr>
        <w:t>.8吨；建成区区域噪声平均值为53.</w:t>
      </w:r>
      <w:r w:rsidR="002D6804" w:rsidRPr="001B06CE">
        <w:rPr>
          <w:rFonts w:ascii="仿宋_GB2312" w:eastAsia="仿宋_GB2312" w:hint="eastAsia"/>
          <w:sz w:val="32"/>
          <w:szCs w:val="32"/>
        </w:rPr>
        <w:t>3</w:t>
      </w:r>
      <w:r w:rsidR="00336D62" w:rsidRPr="001B06CE">
        <w:rPr>
          <w:rFonts w:ascii="仿宋_GB2312" w:eastAsia="仿宋_GB2312" w:hint="eastAsia"/>
          <w:sz w:val="32"/>
          <w:szCs w:val="32"/>
        </w:rPr>
        <w:t>分贝；工业废水</w:t>
      </w:r>
      <w:r w:rsidR="00336D62" w:rsidRPr="001B06CE">
        <w:rPr>
          <w:rFonts w:ascii="仿宋_GB2312" w:eastAsia="仿宋_GB2312" w:hint="eastAsia"/>
          <w:sz w:val="32"/>
          <w:szCs w:val="32"/>
        </w:rPr>
        <w:lastRenderedPageBreak/>
        <w:t>排放达标率、工业废气排放达标率、锅炉烟气排放达标率、工业固体废物处置利用率为100%。</w:t>
      </w:r>
    </w:p>
    <w:p w:rsidR="00071A20" w:rsidRPr="001B06CE" w:rsidRDefault="00940C45" w:rsidP="00CB566F">
      <w:pPr>
        <w:pStyle w:val="aa"/>
        <w:widowControl w:val="0"/>
        <w:tabs>
          <w:tab w:val="left" w:pos="0"/>
        </w:tabs>
        <w:adjustRightInd w:val="0"/>
        <w:snapToGrid w:val="0"/>
        <w:spacing w:before="0" w:beforeAutospacing="0" w:after="0" w:afterAutospacing="0"/>
        <w:ind w:firstLine="640"/>
        <w:jc w:val="both"/>
        <w:rPr>
          <w:rFonts w:ascii="仿宋_GB2312" w:eastAsia="仿宋_GB2312" w:hAnsi="Times New Roman" w:cs="Times New Roman"/>
          <w:kern w:val="2"/>
          <w:sz w:val="32"/>
          <w:szCs w:val="32"/>
        </w:rPr>
      </w:pPr>
      <w:r w:rsidRPr="001B06CE">
        <w:rPr>
          <w:rFonts w:ascii="仿宋_GB2312" w:eastAsia="仿宋_GB2312" w:hAnsi="Times New Roman" w:cs="Times New Roman" w:hint="eastAsia"/>
          <w:kern w:val="2"/>
          <w:sz w:val="32"/>
          <w:szCs w:val="32"/>
        </w:rPr>
        <w:t>2016年，全区建成区绿地覆盖面积1376.53公顷，建成区绿化面积1092.94公顷，其中，公园绿地620.50 公顷，城市绿化覆盖率32.88 %，人均绿地面积 12.45平方米，人均公园绿地面积 7.07平方米,公园绿地</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1B06CE">
          <w:rPr>
            <w:rFonts w:ascii="仿宋_GB2312" w:eastAsia="仿宋_GB2312" w:hAnsi="Times New Roman" w:cs="Times New Roman" w:hint="eastAsia"/>
            <w:kern w:val="2"/>
            <w:sz w:val="32"/>
            <w:szCs w:val="32"/>
          </w:rPr>
          <w:t>500米</w:t>
        </w:r>
      </w:smartTag>
      <w:r w:rsidRPr="001B06CE">
        <w:rPr>
          <w:rFonts w:ascii="仿宋_GB2312" w:eastAsia="仿宋_GB2312" w:hAnsi="Times New Roman" w:cs="Times New Roman" w:hint="eastAsia"/>
          <w:kern w:val="2"/>
          <w:sz w:val="32"/>
          <w:szCs w:val="32"/>
        </w:rPr>
        <w:t>服务半径覆盖率87%。</w:t>
      </w:r>
    </w:p>
    <w:p w:rsidR="00A87E34" w:rsidRPr="001B06CE" w:rsidRDefault="005F68DB" w:rsidP="00CB566F">
      <w:pPr>
        <w:pStyle w:val="aa"/>
        <w:widowControl w:val="0"/>
        <w:tabs>
          <w:tab w:val="left" w:pos="0"/>
        </w:tabs>
        <w:adjustRightInd w:val="0"/>
        <w:snapToGrid w:val="0"/>
        <w:spacing w:before="0" w:beforeAutospacing="0" w:after="0" w:afterAutospacing="0"/>
        <w:ind w:firstLine="640"/>
        <w:jc w:val="both"/>
        <w:rPr>
          <w:rFonts w:ascii="仿宋_GB2312" w:eastAsia="仿宋_GB2312" w:hAnsi="Times New Roman" w:cs="Times New Roman"/>
          <w:kern w:val="2"/>
          <w:sz w:val="32"/>
          <w:szCs w:val="32"/>
        </w:rPr>
      </w:pPr>
      <w:r w:rsidRPr="001B06CE">
        <w:rPr>
          <w:rFonts w:ascii="黑体" w:eastAsia="黑体" w:hint="eastAsia"/>
          <w:bCs/>
          <w:sz w:val="32"/>
          <w:szCs w:val="32"/>
        </w:rPr>
        <w:t>六</w:t>
      </w:r>
      <w:r w:rsidR="00A87E34" w:rsidRPr="001B06CE">
        <w:rPr>
          <w:rFonts w:ascii="黑体" w:eastAsia="黑体" w:hint="eastAsia"/>
          <w:bCs/>
          <w:sz w:val="32"/>
          <w:szCs w:val="32"/>
        </w:rPr>
        <w:t>、社会事业</w:t>
      </w:r>
    </w:p>
    <w:p w:rsidR="00336D62" w:rsidRPr="001B06CE" w:rsidRDefault="00336D62" w:rsidP="00CB566F">
      <w:pPr>
        <w:pStyle w:val="aa"/>
        <w:widowControl w:val="0"/>
        <w:tabs>
          <w:tab w:val="left" w:pos="0"/>
        </w:tabs>
        <w:adjustRightInd w:val="0"/>
        <w:snapToGrid w:val="0"/>
        <w:spacing w:before="0" w:beforeAutospacing="0" w:after="0" w:afterAutospacing="0"/>
        <w:ind w:firstLine="640"/>
        <w:jc w:val="both"/>
        <w:rPr>
          <w:rFonts w:ascii="黑体" w:eastAsia="黑体"/>
          <w:bCs/>
          <w:sz w:val="32"/>
          <w:szCs w:val="32"/>
        </w:rPr>
      </w:pPr>
      <w:r w:rsidRPr="001B06CE">
        <w:rPr>
          <w:rFonts w:ascii="黑体" w:eastAsia="黑体" w:hint="eastAsia"/>
          <w:bCs/>
          <w:sz w:val="32"/>
          <w:szCs w:val="32"/>
        </w:rPr>
        <w:t>科技：</w:t>
      </w:r>
      <w:r w:rsidRPr="001B06CE">
        <w:rPr>
          <w:rFonts w:ascii="仿宋_GB2312" w:eastAsia="仿宋_GB2312" w:hint="eastAsia"/>
          <w:bCs/>
          <w:sz w:val="32"/>
          <w:szCs w:val="32"/>
        </w:rPr>
        <w:t>全区技术合同交易成交项目25</w:t>
      </w:r>
      <w:r w:rsidR="002D6804" w:rsidRPr="001B06CE">
        <w:rPr>
          <w:rFonts w:ascii="仿宋_GB2312" w:eastAsia="仿宋_GB2312" w:hint="eastAsia"/>
          <w:bCs/>
          <w:sz w:val="32"/>
          <w:szCs w:val="32"/>
        </w:rPr>
        <w:t>08</w:t>
      </w:r>
      <w:r w:rsidRPr="001B06CE">
        <w:rPr>
          <w:rFonts w:ascii="仿宋_GB2312" w:eastAsia="仿宋_GB2312" w:hint="eastAsia"/>
          <w:bCs/>
          <w:sz w:val="32"/>
          <w:szCs w:val="32"/>
        </w:rPr>
        <w:t>项，合同成交总金额</w:t>
      </w:r>
      <w:r w:rsidR="002D6804" w:rsidRPr="001B06CE">
        <w:rPr>
          <w:rFonts w:ascii="仿宋_GB2312" w:eastAsia="仿宋_GB2312" w:hint="eastAsia"/>
          <w:bCs/>
          <w:sz w:val="32"/>
          <w:szCs w:val="32"/>
        </w:rPr>
        <w:t>474.4</w:t>
      </w:r>
      <w:r w:rsidRPr="001B06CE">
        <w:rPr>
          <w:rFonts w:ascii="仿宋_GB2312" w:eastAsia="仿宋_GB2312" w:hint="eastAsia"/>
          <w:bCs/>
          <w:sz w:val="32"/>
          <w:szCs w:val="32"/>
        </w:rPr>
        <w:t>亿元，其中，技术交易额</w:t>
      </w:r>
      <w:r w:rsidR="002D6804" w:rsidRPr="001B06CE">
        <w:rPr>
          <w:rFonts w:ascii="仿宋_GB2312" w:eastAsia="仿宋_GB2312" w:hint="eastAsia"/>
          <w:bCs/>
          <w:sz w:val="32"/>
          <w:szCs w:val="32"/>
        </w:rPr>
        <w:t>426</w:t>
      </w:r>
      <w:r w:rsidRPr="001B06CE">
        <w:rPr>
          <w:rFonts w:ascii="仿宋_GB2312" w:eastAsia="仿宋_GB2312" w:hint="eastAsia"/>
          <w:bCs/>
          <w:sz w:val="32"/>
          <w:szCs w:val="32"/>
        </w:rPr>
        <w:t>亿元。全年专利申请量</w:t>
      </w:r>
      <w:r w:rsidR="002D6804" w:rsidRPr="001B06CE">
        <w:rPr>
          <w:rFonts w:ascii="仿宋_GB2312" w:eastAsia="仿宋_GB2312" w:hint="eastAsia"/>
          <w:bCs/>
          <w:sz w:val="32"/>
          <w:szCs w:val="32"/>
        </w:rPr>
        <w:t>10490</w:t>
      </w:r>
      <w:r w:rsidRPr="001B06CE">
        <w:rPr>
          <w:rFonts w:ascii="仿宋_GB2312" w:eastAsia="仿宋_GB2312" w:hint="eastAsia"/>
          <w:bCs/>
          <w:sz w:val="32"/>
          <w:szCs w:val="32"/>
        </w:rPr>
        <w:t>件，专利授权量</w:t>
      </w:r>
      <w:r w:rsidR="002D6804" w:rsidRPr="001B06CE">
        <w:rPr>
          <w:rFonts w:ascii="仿宋_GB2312" w:eastAsia="仿宋_GB2312" w:hint="eastAsia"/>
          <w:bCs/>
          <w:sz w:val="32"/>
          <w:szCs w:val="32"/>
        </w:rPr>
        <w:t>6629</w:t>
      </w:r>
      <w:r w:rsidRPr="001B06CE">
        <w:rPr>
          <w:rFonts w:ascii="仿宋_GB2312" w:eastAsia="仿宋_GB2312" w:hint="eastAsia"/>
          <w:bCs/>
          <w:sz w:val="32"/>
          <w:szCs w:val="32"/>
        </w:rPr>
        <w:t>件。</w:t>
      </w:r>
    </w:p>
    <w:p w:rsidR="00336D62" w:rsidRPr="001B06CE" w:rsidRDefault="00336D62" w:rsidP="00CB566F">
      <w:pPr>
        <w:adjustRightInd w:val="0"/>
        <w:snapToGrid w:val="0"/>
        <w:ind w:firstLine="640"/>
        <w:rPr>
          <w:rFonts w:ascii="黑体" w:eastAsia="黑体"/>
          <w:bCs/>
          <w:sz w:val="32"/>
          <w:szCs w:val="32"/>
        </w:rPr>
      </w:pPr>
      <w:r w:rsidRPr="001B06CE">
        <w:rPr>
          <w:rFonts w:ascii="黑体" w:eastAsia="黑体" w:hint="eastAsia"/>
          <w:bCs/>
          <w:sz w:val="32"/>
          <w:szCs w:val="32"/>
        </w:rPr>
        <w:t>教育：</w:t>
      </w:r>
      <w:r w:rsidRPr="001B06CE">
        <w:rPr>
          <w:rFonts w:ascii="仿宋_GB2312" w:eastAsia="仿宋_GB2312" w:hint="eastAsia"/>
          <w:sz w:val="32"/>
          <w:szCs w:val="32"/>
        </w:rPr>
        <w:t>截至201</w:t>
      </w:r>
      <w:r w:rsidR="00940C45" w:rsidRPr="001B06CE">
        <w:rPr>
          <w:rFonts w:ascii="仿宋_GB2312" w:eastAsia="仿宋_GB2312" w:hint="eastAsia"/>
          <w:sz w:val="32"/>
          <w:szCs w:val="32"/>
        </w:rPr>
        <w:t>6</w:t>
      </w:r>
      <w:r w:rsidRPr="001B06CE">
        <w:rPr>
          <w:rFonts w:ascii="仿宋_GB2312" w:eastAsia="仿宋_GB2312" w:hint="eastAsia"/>
          <w:sz w:val="32"/>
          <w:szCs w:val="32"/>
        </w:rPr>
        <w:t>年9月，全区教育部门办学校共计135所，其中，普通中学39所，在校学生</w:t>
      </w:r>
      <w:r w:rsidR="00940C45" w:rsidRPr="001B06CE">
        <w:rPr>
          <w:rFonts w:ascii="仿宋_GB2312" w:eastAsia="仿宋_GB2312" w:hint="eastAsia"/>
          <w:sz w:val="32"/>
          <w:szCs w:val="32"/>
        </w:rPr>
        <w:t>35920</w:t>
      </w:r>
      <w:r w:rsidRPr="001B06CE">
        <w:rPr>
          <w:rFonts w:ascii="仿宋_GB2312" w:eastAsia="仿宋_GB2312" w:hint="eastAsia"/>
          <w:sz w:val="32"/>
          <w:szCs w:val="32"/>
        </w:rPr>
        <w:t>人，招生</w:t>
      </w:r>
      <w:r w:rsidR="00940C45" w:rsidRPr="001B06CE">
        <w:rPr>
          <w:rFonts w:ascii="仿宋_GB2312" w:eastAsia="仿宋_GB2312" w:hint="eastAsia"/>
          <w:sz w:val="32"/>
          <w:szCs w:val="32"/>
        </w:rPr>
        <w:t>11864</w:t>
      </w:r>
      <w:r w:rsidRPr="001B06CE">
        <w:rPr>
          <w:rFonts w:ascii="仿宋_GB2312" w:eastAsia="仿宋_GB2312" w:hint="eastAsia"/>
          <w:sz w:val="32"/>
          <w:szCs w:val="32"/>
        </w:rPr>
        <w:t>人，毕业</w:t>
      </w:r>
      <w:r w:rsidR="00940C45" w:rsidRPr="001B06CE">
        <w:rPr>
          <w:rFonts w:ascii="仿宋_GB2312" w:eastAsia="仿宋_GB2312" w:hint="eastAsia"/>
          <w:sz w:val="32"/>
          <w:szCs w:val="32"/>
        </w:rPr>
        <w:t>11831</w:t>
      </w:r>
      <w:r w:rsidRPr="001B06CE">
        <w:rPr>
          <w:rFonts w:ascii="仿宋_GB2312" w:eastAsia="仿宋_GB2312" w:hint="eastAsia"/>
          <w:sz w:val="32"/>
          <w:szCs w:val="32"/>
        </w:rPr>
        <w:t>人；职业高中3所，在校学生</w:t>
      </w:r>
      <w:r w:rsidR="00940C45" w:rsidRPr="001B06CE">
        <w:rPr>
          <w:rFonts w:ascii="仿宋_GB2312" w:eastAsia="仿宋_GB2312" w:hint="eastAsia"/>
          <w:sz w:val="32"/>
          <w:szCs w:val="32"/>
        </w:rPr>
        <w:t>2392</w:t>
      </w:r>
      <w:r w:rsidRPr="001B06CE">
        <w:rPr>
          <w:rFonts w:ascii="仿宋_GB2312" w:eastAsia="仿宋_GB2312" w:hint="eastAsia"/>
          <w:sz w:val="32"/>
          <w:szCs w:val="32"/>
        </w:rPr>
        <w:t>人，招生</w:t>
      </w:r>
      <w:r w:rsidR="00940C45" w:rsidRPr="001B06CE">
        <w:rPr>
          <w:rFonts w:ascii="仿宋_GB2312" w:eastAsia="仿宋_GB2312" w:hint="eastAsia"/>
          <w:sz w:val="32"/>
          <w:szCs w:val="32"/>
        </w:rPr>
        <w:t>215</w:t>
      </w:r>
      <w:r w:rsidRPr="001B06CE">
        <w:rPr>
          <w:rFonts w:ascii="仿宋_GB2312" w:eastAsia="仿宋_GB2312" w:hint="eastAsia"/>
          <w:sz w:val="32"/>
          <w:szCs w:val="32"/>
        </w:rPr>
        <w:t>人，毕业1</w:t>
      </w:r>
      <w:r w:rsidR="00940C45" w:rsidRPr="001B06CE">
        <w:rPr>
          <w:rFonts w:ascii="仿宋_GB2312" w:eastAsia="仿宋_GB2312" w:hint="eastAsia"/>
          <w:sz w:val="32"/>
          <w:szCs w:val="32"/>
        </w:rPr>
        <w:t>043</w:t>
      </w:r>
      <w:r w:rsidRPr="001B06CE">
        <w:rPr>
          <w:rFonts w:ascii="仿宋_GB2312" w:eastAsia="仿宋_GB2312" w:hint="eastAsia"/>
          <w:sz w:val="32"/>
          <w:szCs w:val="32"/>
        </w:rPr>
        <w:t>人；小学63所，在校学生</w:t>
      </w:r>
      <w:r w:rsidR="00940C45" w:rsidRPr="001B06CE">
        <w:rPr>
          <w:rFonts w:ascii="仿宋_GB2312" w:eastAsia="仿宋_GB2312" w:hint="eastAsia"/>
          <w:sz w:val="32"/>
          <w:szCs w:val="32"/>
        </w:rPr>
        <w:t>54585</w:t>
      </w:r>
      <w:r w:rsidRPr="001B06CE">
        <w:rPr>
          <w:rFonts w:ascii="仿宋_GB2312" w:eastAsia="仿宋_GB2312" w:hint="eastAsia"/>
          <w:sz w:val="32"/>
          <w:szCs w:val="32"/>
        </w:rPr>
        <w:t>人，招生</w:t>
      </w:r>
      <w:r w:rsidR="00940C45" w:rsidRPr="001B06CE">
        <w:rPr>
          <w:rFonts w:ascii="仿宋_GB2312" w:eastAsia="仿宋_GB2312" w:hint="eastAsia"/>
          <w:sz w:val="32"/>
          <w:szCs w:val="32"/>
        </w:rPr>
        <w:t>9318</w:t>
      </w:r>
      <w:r w:rsidRPr="001B06CE">
        <w:rPr>
          <w:rFonts w:ascii="仿宋_GB2312" w:eastAsia="仿宋_GB2312" w:hint="eastAsia"/>
          <w:sz w:val="32"/>
          <w:szCs w:val="32"/>
        </w:rPr>
        <w:t>人，毕业</w:t>
      </w:r>
      <w:r w:rsidR="00940C45" w:rsidRPr="001B06CE">
        <w:rPr>
          <w:rFonts w:ascii="仿宋_GB2312" w:eastAsia="仿宋_GB2312" w:hint="eastAsia"/>
          <w:sz w:val="32"/>
          <w:szCs w:val="32"/>
        </w:rPr>
        <w:t>7360</w:t>
      </w:r>
      <w:r w:rsidRPr="001B06CE">
        <w:rPr>
          <w:rFonts w:ascii="仿宋_GB2312" w:eastAsia="仿宋_GB2312" w:hint="eastAsia"/>
          <w:sz w:val="32"/>
          <w:szCs w:val="32"/>
        </w:rPr>
        <w:t>人；特殊教育学校2所，在校学生2</w:t>
      </w:r>
      <w:r w:rsidR="00940C45" w:rsidRPr="001B06CE">
        <w:rPr>
          <w:rFonts w:ascii="仿宋_GB2312" w:eastAsia="仿宋_GB2312" w:hint="eastAsia"/>
          <w:sz w:val="32"/>
          <w:szCs w:val="32"/>
        </w:rPr>
        <w:t>11</w:t>
      </w:r>
      <w:r w:rsidRPr="001B06CE">
        <w:rPr>
          <w:rFonts w:ascii="仿宋_GB2312" w:eastAsia="仿宋_GB2312" w:hint="eastAsia"/>
          <w:sz w:val="32"/>
          <w:szCs w:val="32"/>
        </w:rPr>
        <w:t>人；工读学校1所，在校学生</w:t>
      </w:r>
      <w:r w:rsidR="00252A4B" w:rsidRPr="001B06CE">
        <w:rPr>
          <w:rFonts w:ascii="仿宋_GB2312" w:eastAsia="仿宋_GB2312" w:hint="eastAsia"/>
          <w:sz w:val="32"/>
          <w:szCs w:val="32"/>
        </w:rPr>
        <w:t>120</w:t>
      </w:r>
      <w:r w:rsidRPr="001B06CE">
        <w:rPr>
          <w:rFonts w:ascii="仿宋_GB2312" w:eastAsia="仿宋_GB2312" w:hint="eastAsia"/>
          <w:sz w:val="32"/>
          <w:szCs w:val="32"/>
        </w:rPr>
        <w:t>人；幼儿园23所，在园幼儿</w:t>
      </w:r>
      <w:r w:rsidR="00940C45" w:rsidRPr="001B06CE">
        <w:rPr>
          <w:rFonts w:ascii="仿宋_GB2312" w:eastAsia="仿宋_GB2312" w:hint="eastAsia"/>
          <w:sz w:val="32"/>
          <w:szCs w:val="32"/>
        </w:rPr>
        <w:t>9291</w:t>
      </w:r>
      <w:r w:rsidRPr="001B06CE">
        <w:rPr>
          <w:rFonts w:ascii="仿宋_GB2312" w:eastAsia="仿宋_GB2312" w:hint="eastAsia"/>
          <w:sz w:val="32"/>
          <w:szCs w:val="32"/>
        </w:rPr>
        <w:t>人；成人教育单位4所，在校学生</w:t>
      </w:r>
      <w:r w:rsidR="00940C45" w:rsidRPr="001B06CE">
        <w:rPr>
          <w:rFonts w:ascii="仿宋_GB2312" w:eastAsia="仿宋_GB2312" w:hint="eastAsia"/>
          <w:sz w:val="32"/>
          <w:szCs w:val="32"/>
        </w:rPr>
        <w:t>5467</w:t>
      </w:r>
      <w:r w:rsidRPr="001B06CE">
        <w:rPr>
          <w:rFonts w:ascii="仿宋_GB2312" w:eastAsia="仿宋_GB2312" w:hint="eastAsia"/>
          <w:sz w:val="32"/>
          <w:szCs w:val="32"/>
        </w:rPr>
        <w:t>人。全区另有民办、其他形式办学校35所，其中，普通中学</w:t>
      </w:r>
      <w:r w:rsidR="00940C45" w:rsidRPr="001B06CE">
        <w:rPr>
          <w:rFonts w:ascii="仿宋_GB2312" w:eastAsia="仿宋_GB2312" w:hint="eastAsia"/>
          <w:sz w:val="32"/>
          <w:szCs w:val="32"/>
        </w:rPr>
        <w:t>3</w:t>
      </w:r>
      <w:r w:rsidRPr="001B06CE">
        <w:rPr>
          <w:rFonts w:ascii="仿宋_GB2312" w:eastAsia="仿宋_GB2312" w:hint="eastAsia"/>
          <w:sz w:val="32"/>
          <w:szCs w:val="32"/>
        </w:rPr>
        <w:t>所，在校学生</w:t>
      </w:r>
      <w:r w:rsidR="00940C45" w:rsidRPr="001B06CE">
        <w:rPr>
          <w:rFonts w:ascii="仿宋_GB2312" w:eastAsia="仿宋_GB2312" w:hint="eastAsia"/>
          <w:sz w:val="32"/>
          <w:szCs w:val="32"/>
        </w:rPr>
        <w:t>258</w:t>
      </w:r>
      <w:r w:rsidRPr="001B06CE">
        <w:rPr>
          <w:rFonts w:ascii="仿宋_GB2312" w:eastAsia="仿宋_GB2312" w:hint="eastAsia"/>
          <w:sz w:val="32"/>
          <w:szCs w:val="32"/>
        </w:rPr>
        <w:t>人，招生</w:t>
      </w:r>
      <w:r w:rsidR="00940C45" w:rsidRPr="001B06CE">
        <w:rPr>
          <w:rFonts w:ascii="仿宋_GB2312" w:eastAsia="仿宋_GB2312" w:hint="eastAsia"/>
          <w:sz w:val="32"/>
          <w:szCs w:val="32"/>
        </w:rPr>
        <w:t>83</w:t>
      </w:r>
      <w:r w:rsidRPr="001B06CE">
        <w:rPr>
          <w:rFonts w:ascii="仿宋_GB2312" w:eastAsia="仿宋_GB2312" w:hint="eastAsia"/>
          <w:sz w:val="32"/>
          <w:szCs w:val="32"/>
        </w:rPr>
        <w:t>人，毕业</w:t>
      </w:r>
      <w:r w:rsidR="00940C45" w:rsidRPr="001B06CE">
        <w:rPr>
          <w:rFonts w:ascii="仿宋_GB2312" w:eastAsia="仿宋_GB2312" w:hint="eastAsia"/>
          <w:sz w:val="32"/>
          <w:szCs w:val="32"/>
        </w:rPr>
        <w:t>179</w:t>
      </w:r>
      <w:r w:rsidRPr="001B06CE">
        <w:rPr>
          <w:rFonts w:ascii="仿宋_GB2312" w:eastAsia="仿宋_GB2312" w:hint="eastAsia"/>
          <w:sz w:val="32"/>
          <w:szCs w:val="32"/>
        </w:rPr>
        <w:t>人；职业教育学校3所，在校学生</w:t>
      </w:r>
      <w:r w:rsidR="00940C45" w:rsidRPr="001B06CE">
        <w:rPr>
          <w:rFonts w:ascii="仿宋_GB2312" w:eastAsia="仿宋_GB2312" w:hint="eastAsia"/>
          <w:sz w:val="32"/>
          <w:szCs w:val="32"/>
        </w:rPr>
        <w:t>12</w:t>
      </w:r>
      <w:r w:rsidRPr="001B06CE">
        <w:rPr>
          <w:rFonts w:ascii="仿宋_GB2312" w:eastAsia="仿宋_GB2312" w:hint="eastAsia"/>
          <w:sz w:val="32"/>
          <w:szCs w:val="32"/>
        </w:rPr>
        <w:t>4人，招生</w:t>
      </w:r>
      <w:r w:rsidR="00940C45" w:rsidRPr="001B06CE">
        <w:rPr>
          <w:rFonts w:ascii="仿宋_GB2312" w:eastAsia="仿宋_GB2312" w:hint="eastAsia"/>
          <w:sz w:val="32"/>
          <w:szCs w:val="32"/>
        </w:rPr>
        <w:t>26</w:t>
      </w:r>
      <w:r w:rsidRPr="001B06CE">
        <w:rPr>
          <w:rFonts w:ascii="仿宋_GB2312" w:eastAsia="仿宋_GB2312" w:hint="eastAsia"/>
          <w:sz w:val="32"/>
          <w:szCs w:val="32"/>
        </w:rPr>
        <w:t>人，毕业1</w:t>
      </w:r>
      <w:r w:rsidR="00940C45" w:rsidRPr="001B06CE">
        <w:rPr>
          <w:rFonts w:ascii="仿宋_GB2312" w:eastAsia="仿宋_GB2312" w:hint="eastAsia"/>
          <w:sz w:val="32"/>
          <w:szCs w:val="32"/>
        </w:rPr>
        <w:t>11</w:t>
      </w:r>
      <w:r w:rsidRPr="001B06CE">
        <w:rPr>
          <w:rFonts w:ascii="仿宋_GB2312" w:eastAsia="仿宋_GB2312" w:hint="eastAsia"/>
          <w:sz w:val="32"/>
          <w:szCs w:val="32"/>
        </w:rPr>
        <w:t>人；幼儿园2</w:t>
      </w:r>
      <w:r w:rsidR="00940C45" w:rsidRPr="001B06CE">
        <w:rPr>
          <w:rFonts w:ascii="仿宋_GB2312" w:eastAsia="仿宋_GB2312" w:hint="eastAsia"/>
          <w:sz w:val="32"/>
          <w:szCs w:val="32"/>
        </w:rPr>
        <w:t>9</w:t>
      </w:r>
      <w:r w:rsidRPr="001B06CE">
        <w:rPr>
          <w:rFonts w:ascii="仿宋_GB2312" w:eastAsia="仿宋_GB2312" w:hint="eastAsia"/>
          <w:sz w:val="32"/>
          <w:szCs w:val="32"/>
        </w:rPr>
        <w:t>所，在园幼儿6</w:t>
      </w:r>
      <w:r w:rsidR="00940C45" w:rsidRPr="001B06CE">
        <w:rPr>
          <w:rFonts w:ascii="仿宋_GB2312" w:eastAsia="仿宋_GB2312" w:hint="eastAsia"/>
          <w:sz w:val="32"/>
          <w:szCs w:val="32"/>
        </w:rPr>
        <w:t>337</w:t>
      </w:r>
      <w:r w:rsidRPr="001B06CE">
        <w:rPr>
          <w:rFonts w:ascii="仿宋_GB2312" w:eastAsia="仿宋_GB2312" w:hint="eastAsia"/>
          <w:sz w:val="32"/>
          <w:szCs w:val="32"/>
        </w:rPr>
        <w:t>人。</w:t>
      </w:r>
    </w:p>
    <w:p w:rsidR="00336D62" w:rsidRPr="001B06CE" w:rsidRDefault="00336D62" w:rsidP="00CB566F">
      <w:pPr>
        <w:adjustRightInd w:val="0"/>
        <w:snapToGrid w:val="0"/>
        <w:ind w:firstLine="640"/>
        <w:rPr>
          <w:rFonts w:ascii="黑体" w:eastAsia="黑体"/>
          <w:bCs/>
          <w:sz w:val="32"/>
          <w:szCs w:val="32"/>
        </w:rPr>
      </w:pPr>
      <w:r w:rsidRPr="001B06CE">
        <w:rPr>
          <w:rFonts w:ascii="黑体" w:eastAsia="黑体" w:hint="eastAsia"/>
          <w:bCs/>
          <w:sz w:val="32"/>
          <w:szCs w:val="32"/>
        </w:rPr>
        <w:t>文化：</w:t>
      </w:r>
      <w:r w:rsidRPr="001B06CE">
        <w:rPr>
          <w:rFonts w:ascii="仿宋_GB2312" w:eastAsia="仿宋_GB2312" w:hint="eastAsia"/>
          <w:bCs/>
          <w:sz w:val="32"/>
          <w:szCs w:val="32"/>
        </w:rPr>
        <w:t>201</w:t>
      </w:r>
      <w:r w:rsidR="007E6ED7" w:rsidRPr="001B06CE">
        <w:rPr>
          <w:rFonts w:ascii="仿宋_GB2312" w:eastAsia="仿宋_GB2312" w:hint="eastAsia"/>
          <w:bCs/>
          <w:sz w:val="32"/>
          <w:szCs w:val="32"/>
        </w:rPr>
        <w:t>6</w:t>
      </w:r>
      <w:r w:rsidRPr="001B06CE">
        <w:rPr>
          <w:rFonts w:ascii="仿宋_GB2312" w:eastAsia="仿宋_GB2312" w:hint="eastAsia"/>
          <w:bCs/>
          <w:sz w:val="32"/>
          <w:szCs w:val="32"/>
        </w:rPr>
        <w:t>年末全区共有公共图书馆2个，建筑面积10.532万平方米，公共图书馆总藏书数1</w:t>
      </w:r>
      <w:r w:rsidR="007E6ED7" w:rsidRPr="001B06CE">
        <w:rPr>
          <w:rFonts w:ascii="仿宋_GB2312" w:eastAsia="仿宋_GB2312" w:hint="eastAsia"/>
          <w:bCs/>
          <w:sz w:val="32"/>
          <w:szCs w:val="32"/>
        </w:rPr>
        <w:t>44.3306</w:t>
      </w:r>
      <w:r w:rsidRPr="001B06CE">
        <w:rPr>
          <w:rFonts w:ascii="仿宋_GB2312" w:eastAsia="仿宋_GB2312" w:hint="eastAsia"/>
          <w:bCs/>
          <w:sz w:val="32"/>
          <w:szCs w:val="32"/>
        </w:rPr>
        <w:t>万册（件），阅览座席</w:t>
      </w:r>
      <w:r w:rsidRPr="001B06CE">
        <w:rPr>
          <w:rFonts w:ascii="仿宋_GB2312" w:eastAsia="仿宋_GB2312" w:hint="eastAsia"/>
          <w:bCs/>
          <w:sz w:val="32"/>
          <w:szCs w:val="32"/>
        </w:rPr>
        <w:lastRenderedPageBreak/>
        <w:t>757个，全年外借人次</w:t>
      </w:r>
      <w:r w:rsidR="007E6ED7" w:rsidRPr="001B06CE">
        <w:rPr>
          <w:rFonts w:ascii="仿宋_GB2312" w:eastAsia="仿宋_GB2312" w:hint="eastAsia"/>
          <w:bCs/>
          <w:sz w:val="32"/>
          <w:szCs w:val="32"/>
        </w:rPr>
        <w:t>45.8652</w:t>
      </w:r>
      <w:r w:rsidRPr="001B06CE">
        <w:rPr>
          <w:rFonts w:ascii="仿宋_GB2312" w:eastAsia="仿宋_GB2312" w:hint="eastAsia"/>
          <w:bCs/>
          <w:sz w:val="32"/>
          <w:szCs w:val="32"/>
        </w:rPr>
        <w:t>万人次，外借册次7</w:t>
      </w:r>
      <w:r w:rsidR="007E6ED7" w:rsidRPr="001B06CE">
        <w:rPr>
          <w:rFonts w:ascii="仿宋_GB2312" w:eastAsia="仿宋_GB2312" w:hint="eastAsia"/>
          <w:bCs/>
          <w:sz w:val="32"/>
          <w:szCs w:val="32"/>
        </w:rPr>
        <w:t>6.5463</w:t>
      </w:r>
      <w:r w:rsidRPr="001B06CE">
        <w:rPr>
          <w:rFonts w:ascii="仿宋_GB2312" w:eastAsia="仿宋_GB2312" w:hint="eastAsia"/>
          <w:bCs/>
          <w:sz w:val="32"/>
          <w:szCs w:val="32"/>
        </w:rPr>
        <w:t>万册次。</w:t>
      </w:r>
    </w:p>
    <w:p w:rsidR="00336D62" w:rsidRPr="001B06CE" w:rsidRDefault="00336D62" w:rsidP="00CB566F">
      <w:pPr>
        <w:adjustRightInd w:val="0"/>
        <w:snapToGrid w:val="0"/>
        <w:ind w:firstLine="640"/>
        <w:rPr>
          <w:rFonts w:ascii="仿宋_GB2312" w:eastAsia="仿宋_GB2312"/>
          <w:bCs/>
          <w:sz w:val="32"/>
          <w:szCs w:val="32"/>
        </w:rPr>
      </w:pPr>
      <w:r w:rsidRPr="001B06CE">
        <w:rPr>
          <w:rFonts w:ascii="仿宋_GB2312" w:eastAsia="仿宋_GB2312" w:hint="eastAsia"/>
          <w:bCs/>
          <w:sz w:val="32"/>
          <w:szCs w:val="32"/>
        </w:rPr>
        <w:t>全区共有群众艺术馆、文化馆2个，建筑面积1.7108万平方米，全年举办讲座、报告会</w:t>
      </w:r>
      <w:r w:rsidR="0033462E" w:rsidRPr="001B06CE">
        <w:rPr>
          <w:rFonts w:ascii="仿宋_GB2312" w:eastAsia="仿宋_GB2312" w:hint="eastAsia"/>
          <w:bCs/>
          <w:sz w:val="32"/>
          <w:szCs w:val="32"/>
        </w:rPr>
        <w:t>260</w:t>
      </w:r>
      <w:r w:rsidRPr="001B06CE">
        <w:rPr>
          <w:rFonts w:ascii="仿宋_GB2312" w:eastAsia="仿宋_GB2312" w:hint="eastAsia"/>
          <w:bCs/>
          <w:sz w:val="32"/>
          <w:szCs w:val="32"/>
        </w:rPr>
        <w:t>次，举办展览1</w:t>
      </w:r>
      <w:r w:rsidR="0033462E" w:rsidRPr="001B06CE">
        <w:rPr>
          <w:rFonts w:ascii="仿宋_GB2312" w:eastAsia="仿宋_GB2312" w:hint="eastAsia"/>
          <w:bCs/>
          <w:sz w:val="32"/>
          <w:szCs w:val="32"/>
        </w:rPr>
        <w:t>4</w:t>
      </w:r>
      <w:r w:rsidRPr="001B06CE">
        <w:rPr>
          <w:rFonts w:ascii="仿宋_GB2312" w:eastAsia="仿宋_GB2312" w:hint="eastAsia"/>
          <w:bCs/>
          <w:sz w:val="32"/>
          <w:szCs w:val="32"/>
        </w:rPr>
        <w:t>次，组织文艺活动</w:t>
      </w:r>
      <w:r w:rsidR="0033462E" w:rsidRPr="001B06CE">
        <w:rPr>
          <w:rFonts w:ascii="仿宋_GB2312" w:eastAsia="仿宋_GB2312" w:hint="eastAsia"/>
          <w:bCs/>
          <w:sz w:val="32"/>
          <w:szCs w:val="32"/>
        </w:rPr>
        <w:t>458</w:t>
      </w:r>
      <w:r w:rsidRPr="001B06CE">
        <w:rPr>
          <w:rFonts w:ascii="仿宋_GB2312" w:eastAsia="仿宋_GB2312" w:hint="eastAsia"/>
          <w:bCs/>
          <w:sz w:val="32"/>
          <w:szCs w:val="32"/>
        </w:rPr>
        <w:t>次。</w:t>
      </w:r>
    </w:p>
    <w:p w:rsidR="00336D62" w:rsidRPr="001B06CE" w:rsidRDefault="00336D62" w:rsidP="00CB566F">
      <w:pPr>
        <w:adjustRightInd w:val="0"/>
        <w:snapToGrid w:val="0"/>
        <w:ind w:firstLine="640"/>
        <w:rPr>
          <w:rFonts w:ascii="仿宋_GB2312" w:eastAsia="仿宋_GB2312"/>
          <w:bCs/>
          <w:sz w:val="32"/>
          <w:szCs w:val="32"/>
        </w:rPr>
      </w:pPr>
      <w:r w:rsidRPr="001B06CE">
        <w:rPr>
          <w:rFonts w:ascii="仿宋_GB2312" w:eastAsia="仿宋_GB2312" w:hint="eastAsia"/>
          <w:bCs/>
          <w:sz w:val="32"/>
          <w:szCs w:val="32"/>
        </w:rPr>
        <w:t>全区共有文物保护单位16</w:t>
      </w:r>
      <w:r w:rsidR="007E6ED7" w:rsidRPr="001B06CE">
        <w:rPr>
          <w:rFonts w:ascii="仿宋_GB2312" w:eastAsia="仿宋_GB2312" w:hint="eastAsia"/>
          <w:bCs/>
          <w:sz w:val="32"/>
          <w:szCs w:val="32"/>
        </w:rPr>
        <w:t>3</w:t>
      </w:r>
      <w:r w:rsidRPr="001B06CE">
        <w:rPr>
          <w:rFonts w:ascii="仿宋_GB2312" w:eastAsia="仿宋_GB2312" w:hint="eastAsia"/>
          <w:bCs/>
          <w:sz w:val="32"/>
          <w:szCs w:val="32"/>
        </w:rPr>
        <w:t>个，其中国家级文物保护单位35个，市级文物保护单位7</w:t>
      </w:r>
      <w:r w:rsidR="007E6ED7" w:rsidRPr="001B06CE">
        <w:rPr>
          <w:rFonts w:ascii="仿宋_GB2312" w:eastAsia="仿宋_GB2312" w:hint="eastAsia"/>
          <w:bCs/>
          <w:sz w:val="32"/>
          <w:szCs w:val="32"/>
        </w:rPr>
        <w:t>0</w:t>
      </w:r>
      <w:r w:rsidRPr="001B06CE">
        <w:rPr>
          <w:rFonts w:ascii="仿宋_GB2312" w:eastAsia="仿宋_GB2312" w:hint="eastAsia"/>
          <w:bCs/>
          <w:sz w:val="32"/>
          <w:szCs w:val="32"/>
        </w:rPr>
        <w:t>个，区级文物保护单位58个。</w:t>
      </w:r>
    </w:p>
    <w:p w:rsidR="00336D62" w:rsidRPr="001B06CE" w:rsidRDefault="00336D62" w:rsidP="00CB566F">
      <w:pPr>
        <w:adjustRightInd w:val="0"/>
        <w:snapToGrid w:val="0"/>
        <w:ind w:firstLine="640"/>
        <w:rPr>
          <w:rFonts w:ascii="黑体" w:eastAsia="黑体"/>
          <w:bCs/>
          <w:sz w:val="32"/>
          <w:szCs w:val="32"/>
        </w:rPr>
      </w:pPr>
      <w:r w:rsidRPr="001B06CE">
        <w:rPr>
          <w:rFonts w:ascii="黑体" w:eastAsia="黑体" w:hint="eastAsia"/>
          <w:bCs/>
          <w:sz w:val="32"/>
          <w:szCs w:val="32"/>
        </w:rPr>
        <w:t>卫生：</w:t>
      </w:r>
      <w:r w:rsidRPr="001B06CE">
        <w:rPr>
          <w:rFonts w:ascii="仿宋_GB2312" w:eastAsia="仿宋_GB2312" w:hint="eastAsia"/>
          <w:bCs/>
          <w:sz w:val="32"/>
          <w:szCs w:val="32"/>
        </w:rPr>
        <w:t>201</w:t>
      </w:r>
      <w:r w:rsidR="00940C45" w:rsidRPr="001B06CE">
        <w:rPr>
          <w:rFonts w:ascii="仿宋_GB2312" w:eastAsia="仿宋_GB2312" w:hint="eastAsia"/>
          <w:bCs/>
          <w:sz w:val="32"/>
          <w:szCs w:val="32"/>
        </w:rPr>
        <w:t>6</w:t>
      </w:r>
      <w:r w:rsidRPr="001B06CE">
        <w:rPr>
          <w:rFonts w:ascii="仿宋_GB2312" w:eastAsia="仿宋_GB2312" w:hint="eastAsia"/>
          <w:bCs/>
          <w:sz w:val="32"/>
          <w:szCs w:val="32"/>
        </w:rPr>
        <w:t>年末全区共有卫生机构57</w:t>
      </w:r>
      <w:r w:rsidR="00940C45" w:rsidRPr="001B06CE">
        <w:rPr>
          <w:rFonts w:ascii="仿宋_GB2312" w:eastAsia="仿宋_GB2312" w:hint="eastAsia"/>
          <w:bCs/>
          <w:sz w:val="32"/>
          <w:szCs w:val="32"/>
        </w:rPr>
        <w:t>6</w:t>
      </w:r>
      <w:r w:rsidRPr="001B06CE">
        <w:rPr>
          <w:rFonts w:ascii="仿宋_GB2312" w:eastAsia="仿宋_GB2312" w:hint="eastAsia"/>
          <w:bCs/>
          <w:sz w:val="32"/>
          <w:szCs w:val="32"/>
        </w:rPr>
        <w:t>个，其中，医院65个，实有床位11</w:t>
      </w:r>
      <w:r w:rsidR="00940C45" w:rsidRPr="001B06CE">
        <w:rPr>
          <w:rFonts w:ascii="仿宋_GB2312" w:eastAsia="仿宋_GB2312" w:hint="eastAsia"/>
          <w:bCs/>
          <w:sz w:val="32"/>
          <w:szCs w:val="32"/>
        </w:rPr>
        <w:t>175</w:t>
      </w:r>
      <w:r w:rsidRPr="001B06CE">
        <w:rPr>
          <w:rFonts w:ascii="仿宋_GB2312" w:eastAsia="仿宋_GB2312" w:hint="eastAsia"/>
          <w:bCs/>
          <w:sz w:val="32"/>
          <w:szCs w:val="32"/>
        </w:rPr>
        <w:t>张，共有卫生技术人员25</w:t>
      </w:r>
      <w:r w:rsidR="00940C45" w:rsidRPr="001B06CE">
        <w:rPr>
          <w:rFonts w:ascii="仿宋_GB2312" w:eastAsia="仿宋_GB2312" w:hint="eastAsia"/>
          <w:bCs/>
          <w:sz w:val="32"/>
          <w:szCs w:val="32"/>
        </w:rPr>
        <w:t>986</w:t>
      </w:r>
      <w:r w:rsidRPr="001B06CE">
        <w:rPr>
          <w:rFonts w:ascii="仿宋_GB2312" w:eastAsia="仿宋_GB2312" w:hint="eastAsia"/>
          <w:bCs/>
          <w:sz w:val="32"/>
          <w:szCs w:val="32"/>
        </w:rPr>
        <w:t>人，其中，执业（助理）医师</w:t>
      </w:r>
      <w:r w:rsidR="00940C45" w:rsidRPr="001B06CE">
        <w:rPr>
          <w:rFonts w:ascii="仿宋_GB2312" w:eastAsia="仿宋_GB2312" w:hint="eastAsia"/>
          <w:bCs/>
          <w:sz w:val="32"/>
          <w:szCs w:val="32"/>
        </w:rPr>
        <w:t>10123</w:t>
      </w:r>
      <w:r w:rsidRPr="001B06CE">
        <w:rPr>
          <w:rFonts w:ascii="仿宋_GB2312" w:eastAsia="仿宋_GB2312" w:hint="eastAsia"/>
          <w:bCs/>
          <w:sz w:val="32"/>
          <w:szCs w:val="32"/>
        </w:rPr>
        <w:t>人，注册护士10</w:t>
      </w:r>
      <w:r w:rsidR="00940C45" w:rsidRPr="001B06CE">
        <w:rPr>
          <w:rFonts w:ascii="仿宋_GB2312" w:eastAsia="仿宋_GB2312" w:hint="eastAsia"/>
          <w:bCs/>
          <w:sz w:val="32"/>
          <w:szCs w:val="32"/>
        </w:rPr>
        <w:t>575</w:t>
      </w:r>
      <w:r w:rsidRPr="001B06CE">
        <w:rPr>
          <w:rFonts w:ascii="仿宋_GB2312" w:eastAsia="仿宋_GB2312" w:hint="eastAsia"/>
          <w:bCs/>
          <w:sz w:val="32"/>
          <w:szCs w:val="32"/>
        </w:rPr>
        <w:t>人。全年诊疗人次数2</w:t>
      </w:r>
      <w:r w:rsidR="00940C45" w:rsidRPr="001B06CE">
        <w:rPr>
          <w:rFonts w:ascii="仿宋_GB2312" w:eastAsia="仿宋_GB2312" w:hint="eastAsia"/>
          <w:bCs/>
          <w:sz w:val="32"/>
          <w:szCs w:val="32"/>
        </w:rPr>
        <w:t>59</w:t>
      </w:r>
      <w:r w:rsidRPr="001B06CE">
        <w:rPr>
          <w:rFonts w:ascii="仿宋_GB2312" w:eastAsia="仿宋_GB2312" w:hint="eastAsia"/>
          <w:bCs/>
          <w:sz w:val="32"/>
          <w:szCs w:val="32"/>
        </w:rPr>
        <w:t>8万人次，其中，门诊人次数2</w:t>
      </w:r>
      <w:r w:rsidR="00940C45" w:rsidRPr="001B06CE">
        <w:rPr>
          <w:rFonts w:ascii="仿宋_GB2312" w:eastAsia="仿宋_GB2312" w:hint="eastAsia"/>
          <w:bCs/>
          <w:sz w:val="32"/>
          <w:szCs w:val="32"/>
        </w:rPr>
        <w:t>485</w:t>
      </w:r>
      <w:r w:rsidRPr="001B06CE">
        <w:rPr>
          <w:rFonts w:ascii="仿宋_GB2312" w:eastAsia="仿宋_GB2312" w:hint="eastAsia"/>
          <w:bCs/>
          <w:sz w:val="32"/>
          <w:szCs w:val="32"/>
        </w:rPr>
        <w:t>万人次。平均期望寿命84.</w:t>
      </w:r>
      <w:r w:rsidR="00940C45" w:rsidRPr="001B06CE">
        <w:rPr>
          <w:rFonts w:ascii="仿宋_GB2312" w:eastAsia="仿宋_GB2312" w:hint="eastAsia"/>
          <w:bCs/>
          <w:sz w:val="32"/>
          <w:szCs w:val="32"/>
        </w:rPr>
        <w:t>31</w:t>
      </w:r>
      <w:r w:rsidRPr="001B06CE">
        <w:rPr>
          <w:rFonts w:ascii="仿宋_GB2312" w:eastAsia="仿宋_GB2312" w:hint="eastAsia"/>
          <w:bCs/>
          <w:sz w:val="32"/>
          <w:szCs w:val="32"/>
        </w:rPr>
        <w:t>岁。</w:t>
      </w:r>
    </w:p>
    <w:p w:rsidR="00336D62" w:rsidRPr="00940C45" w:rsidRDefault="00336D62" w:rsidP="00CB566F">
      <w:pPr>
        <w:adjustRightInd w:val="0"/>
        <w:snapToGrid w:val="0"/>
        <w:ind w:firstLine="640"/>
        <w:rPr>
          <w:rFonts w:ascii="黑体" w:eastAsia="黑体"/>
          <w:bCs/>
          <w:sz w:val="32"/>
          <w:szCs w:val="32"/>
        </w:rPr>
      </w:pPr>
      <w:r w:rsidRPr="00F66AEF">
        <w:rPr>
          <w:rFonts w:ascii="黑体" w:eastAsia="黑体" w:hint="eastAsia"/>
          <w:bCs/>
          <w:sz w:val="32"/>
          <w:szCs w:val="32"/>
        </w:rPr>
        <w:t>体育：</w:t>
      </w:r>
      <w:r w:rsidRPr="00F66AEF">
        <w:rPr>
          <w:rFonts w:ascii="仿宋_GB2312" w:eastAsia="仿宋_GB2312" w:hint="eastAsia"/>
          <w:bCs/>
          <w:sz w:val="32"/>
          <w:szCs w:val="32"/>
        </w:rPr>
        <w:t>201</w:t>
      </w:r>
      <w:r w:rsidR="00940C45" w:rsidRPr="00F66AEF">
        <w:rPr>
          <w:rFonts w:ascii="仿宋_GB2312" w:eastAsia="仿宋_GB2312" w:hint="eastAsia"/>
          <w:bCs/>
          <w:sz w:val="32"/>
          <w:szCs w:val="32"/>
        </w:rPr>
        <w:t>6</w:t>
      </w:r>
      <w:r w:rsidRPr="00F66AEF">
        <w:rPr>
          <w:rFonts w:ascii="仿宋_GB2312" w:eastAsia="仿宋_GB2312" w:hint="eastAsia"/>
          <w:bCs/>
          <w:sz w:val="32"/>
          <w:szCs w:val="32"/>
        </w:rPr>
        <w:t>年末全区共有体育场馆</w:t>
      </w:r>
      <w:r w:rsidR="00940C45" w:rsidRPr="00F66AEF">
        <w:rPr>
          <w:rFonts w:ascii="仿宋_GB2312" w:eastAsia="仿宋_GB2312" w:hint="eastAsia"/>
          <w:bCs/>
          <w:sz w:val="32"/>
          <w:szCs w:val="32"/>
        </w:rPr>
        <w:t>83</w:t>
      </w:r>
      <w:r w:rsidRPr="00F66AEF">
        <w:rPr>
          <w:rFonts w:ascii="仿宋_GB2312" w:eastAsia="仿宋_GB2312" w:hint="eastAsia"/>
          <w:bCs/>
          <w:sz w:val="32"/>
          <w:szCs w:val="32"/>
        </w:rPr>
        <w:t>个，其中，体育场3个，体育馆</w:t>
      </w:r>
      <w:r w:rsidR="00940C45" w:rsidRPr="00F66AEF">
        <w:rPr>
          <w:rFonts w:ascii="仿宋_GB2312" w:eastAsia="仿宋_GB2312" w:hint="eastAsia"/>
          <w:bCs/>
          <w:sz w:val="32"/>
          <w:szCs w:val="32"/>
        </w:rPr>
        <w:t>14</w:t>
      </w:r>
      <w:r w:rsidRPr="00F66AEF">
        <w:rPr>
          <w:rFonts w:ascii="仿宋_GB2312" w:eastAsia="仿宋_GB2312" w:hint="eastAsia"/>
          <w:bCs/>
          <w:sz w:val="32"/>
          <w:szCs w:val="32"/>
        </w:rPr>
        <w:t>个，游泳</w:t>
      </w:r>
      <w:r w:rsidRPr="00940C45">
        <w:rPr>
          <w:rFonts w:ascii="仿宋_GB2312" w:eastAsia="仿宋_GB2312" w:hint="eastAsia"/>
          <w:bCs/>
          <w:sz w:val="32"/>
          <w:szCs w:val="32"/>
        </w:rPr>
        <w:t>场馆</w:t>
      </w:r>
      <w:r w:rsidR="00940C45" w:rsidRPr="00940C45">
        <w:rPr>
          <w:rFonts w:ascii="仿宋_GB2312" w:eastAsia="仿宋_GB2312" w:hint="eastAsia"/>
          <w:bCs/>
          <w:sz w:val="32"/>
          <w:szCs w:val="32"/>
        </w:rPr>
        <w:t>6</w:t>
      </w:r>
      <w:r w:rsidRPr="00940C45">
        <w:rPr>
          <w:rFonts w:ascii="仿宋_GB2312" w:eastAsia="仿宋_GB2312" w:hint="eastAsia"/>
          <w:bCs/>
          <w:sz w:val="32"/>
          <w:szCs w:val="32"/>
        </w:rPr>
        <w:t>6个，体育设施2253件，全年举办体育活动2</w:t>
      </w:r>
      <w:r w:rsidR="00940C45" w:rsidRPr="00940C45">
        <w:rPr>
          <w:rFonts w:ascii="仿宋_GB2312" w:eastAsia="仿宋_GB2312" w:hint="eastAsia"/>
          <w:bCs/>
          <w:sz w:val="32"/>
          <w:szCs w:val="32"/>
        </w:rPr>
        <w:t>45</w:t>
      </w:r>
      <w:r w:rsidRPr="00940C45">
        <w:rPr>
          <w:rFonts w:ascii="仿宋_GB2312" w:eastAsia="仿宋_GB2312" w:hint="eastAsia"/>
          <w:bCs/>
          <w:sz w:val="32"/>
          <w:szCs w:val="32"/>
        </w:rPr>
        <w:t>次，参加体育活动人次3</w:t>
      </w:r>
      <w:r w:rsidR="00940C45" w:rsidRPr="00940C45">
        <w:rPr>
          <w:rFonts w:ascii="仿宋_GB2312" w:eastAsia="仿宋_GB2312" w:hint="eastAsia"/>
          <w:bCs/>
          <w:sz w:val="32"/>
          <w:szCs w:val="32"/>
        </w:rPr>
        <w:t>3</w:t>
      </w:r>
      <w:r w:rsidRPr="00940C45">
        <w:rPr>
          <w:rFonts w:ascii="仿宋_GB2312" w:eastAsia="仿宋_GB2312" w:hint="eastAsia"/>
          <w:bCs/>
          <w:sz w:val="32"/>
          <w:szCs w:val="32"/>
        </w:rPr>
        <w:t>万人次。</w:t>
      </w:r>
    </w:p>
    <w:p w:rsidR="00336D62" w:rsidRPr="00D70438" w:rsidRDefault="00D70438" w:rsidP="00CB566F">
      <w:pPr>
        <w:adjustRightInd w:val="0"/>
        <w:snapToGrid w:val="0"/>
        <w:ind w:firstLine="640"/>
        <w:rPr>
          <w:rFonts w:ascii="仿宋_GB2312" w:eastAsia="仿宋_GB2312"/>
          <w:bCs/>
          <w:sz w:val="32"/>
          <w:szCs w:val="32"/>
        </w:rPr>
      </w:pPr>
      <w:r w:rsidRPr="00D70438">
        <w:rPr>
          <w:rFonts w:ascii="仿宋_GB2312" w:eastAsia="仿宋_GB2312" w:hint="eastAsia"/>
          <w:bCs/>
          <w:sz w:val="32"/>
          <w:szCs w:val="32"/>
        </w:rPr>
        <w:t>年末</w:t>
      </w:r>
      <w:r w:rsidR="00336D62" w:rsidRPr="00D70438">
        <w:rPr>
          <w:rFonts w:ascii="仿宋_GB2312" w:eastAsia="仿宋_GB2312" w:hint="eastAsia"/>
          <w:bCs/>
          <w:sz w:val="32"/>
          <w:szCs w:val="32"/>
        </w:rPr>
        <w:t>全区共有裁判</w:t>
      </w:r>
      <w:r w:rsidR="00F66AEF" w:rsidRPr="00D70438">
        <w:rPr>
          <w:rFonts w:ascii="仿宋_GB2312" w:eastAsia="仿宋_GB2312" w:hint="eastAsia"/>
          <w:bCs/>
          <w:sz w:val="32"/>
          <w:szCs w:val="32"/>
        </w:rPr>
        <w:t>1</w:t>
      </w:r>
      <w:r w:rsidRPr="00D70438">
        <w:rPr>
          <w:rFonts w:ascii="仿宋_GB2312" w:eastAsia="仿宋_GB2312" w:hint="eastAsia"/>
          <w:bCs/>
          <w:sz w:val="32"/>
          <w:szCs w:val="32"/>
        </w:rPr>
        <w:t>347</w:t>
      </w:r>
      <w:r w:rsidR="00336D62" w:rsidRPr="00D70438">
        <w:rPr>
          <w:rFonts w:ascii="仿宋_GB2312" w:eastAsia="仿宋_GB2312" w:hint="eastAsia"/>
          <w:bCs/>
          <w:sz w:val="32"/>
          <w:szCs w:val="32"/>
        </w:rPr>
        <w:t>人，</w:t>
      </w:r>
      <w:r w:rsidRPr="00D70438">
        <w:rPr>
          <w:rFonts w:ascii="仿宋_GB2312" w:eastAsia="仿宋_GB2312" w:hint="eastAsia"/>
          <w:bCs/>
          <w:sz w:val="32"/>
          <w:szCs w:val="32"/>
        </w:rPr>
        <w:t>其中，国际级裁判员8人、国家级裁判员9人、一级裁判员124人、二级裁判员744人、三级裁判员462人，</w:t>
      </w:r>
      <w:r w:rsidR="00336D62" w:rsidRPr="00D70438">
        <w:rPr>
          <w:rFonts w:ascii="仿宋_GB2312" w:eastAsia="仿宋_GB2312" w:hint="eastAsia"/>
          <w:bCs/>
          <w:sz w:val="32"/>
          <w:szCs w:val="32"/>
        </w:rPr>
        <w:t>教练员</w:t>
      </w:r>
      <w:r w:rsidR="00940C45" w:rsidRPr="00D70438">
        <w:rPr>
          <w:rFonts w:ascii="仿宋_GB2312" w:eastAsia="仿宋_GB2312" w:hint="eastAsia"/>
          <w:bCs/>
          <w:sz w:val="32"/>
          <w:szCs w:val="32"/>
        </w:rPr>
        <w:t>65</w:t>
      </w:r>
      <w:r w:rsidR="00336D62" w:rsidRPr="00D70438">
        <w:rPr>
          <w:rFonts w:ascii="仿宋_GB2312" w:eastAsia="仿宋_GB2312" w:hint="eastAsia"/>
          <w:bCs/>
          <w:sz w:val="32"/>
          <w:szCs w:val="32"/>
        </w:rPr>
        <w:t>人，输送运动员获奖牌总数</w:t>
      </w:r>
      <w:r w:rsidR="003E7BE0" w:rsidRPr="00D70438">
        <w:rPr>
          <w:rFonts w:ascii="仿宋_GB2312" w:eastAsia="仿宋_GB2312" w:hint="eastAsia"/>
          <w:bCs/>
          <w:sz w:val="32"/>
          <w:szCs w:val="32"/>
        </w:rPr>
        <w:t>737</w:t>
      </w:r>
      <w:r w:rsidR="00336D62" w:rsidRPr="00D70438">
        <w:rPr>
          <w:rFonts w:ascii="仿宋_GB2312" w:eastAsia="仿宋_GB2312" w:hint="eastAsia"/>
          <w:bCs/>
          <w:sz w:val="32"/>
          <w:szCs w:val="32"/>
        </w:rPr>
        <w:t>块，其中，国际级比赛奖牌</w:t>
      </w:r>
      <w:r w:rsidR="003E7BE0" w:rsidRPr="00D70438">
        <w:rPr>
          <w:rFonts w:ascii="仿宋_GB2312" w:eastAsia="仿宋_GB2312" w:hint="eastAsia"/>
          <w:bCs/>
          <w:sz w:val="32"/>
          <w:szCs w:val="32"/>
        </w:rPr>
        <w:t>10</w:t>
      </w:r>
      <w:r w:rsidR="00336D62" w:rsidRPr="00D70438">
        <w:rPr>
          <w:rFonts w:ascii="仿宋_GB2312" w:eastAsia="仿宋_GB2312" w:hint="eastAsia"/>
          <w:bCs/>
          <w:sz w:val="32"/>
          <w:szCs w:val="32"/>
        </w:rPr>
        <w:t>块，国</w:t>
      </w:r>
      <w:r w:rsidR="006A09CB" w:rsidRPr="00D70438">
        <w:rPr>
          <w:rFonts w:ascii="仿宋_GB2312" w:eastAsia="仿宋_GB2312" w:hint="eastAsia"/>
          <w:bCs/>
          <w:sz w:val="32"/>
          <w:szCs w:val="32"/>
        </w:rPr>
        <w:t>内</w:t>
      </w:r>
      <w:r w:rsidR="00336D62" w:rsidRPr="00D70438">
        <w:rPr>
          <w:rFonts w:ascii="仿宋_GB2312" w:eastAsia="仿宋_GB2312" w:hint="eastAsia"/>
          <w:bCs/>
          <w:sz w:val="32"/>
          <w:szCs w:val="32"/>
        </w:rPr>
        <w:t>级比赛奖牌</w:t>
      </w:r>
      <w:r w:rsidR="003E7BE0" w:rsidRPr="00D70438">
        <w:rPr>
          <w:rFonts w:ascii="仿宋_GB2312" w:eastAsia="仿宋_GB2312" w:hint="eastAsia"/>
          <w:bCs/>
          <w:sz w:val="32"/>
          <w:szCs w:val="32"/>
        </w:rPr>
        <w:t>3</w:t>
      </w:r>
      <w:r w:rsidR="00336D62" w:rsidRPr="00D70438">
        <w:rPr>
          <w:rFonts w:ascii="仿宋_GB2312" w:eastAsia="仿宋_GB2312" w:hint="eastAsia"/>
          <w:bCs/>
          <w:sz w:val="32"/>
          <w:szCs w:val="32"/>
        </w:rPr>
        <w:t>块，省市级比赛奖牌</w:t>
      </w:r>
      <w:r w:rsidR="003E7BE0" w:rsidRPr="00D70438">
        <w:rPr>
          <w:rFonts w:ascii="仿宋_GB2312" w:eastAsia="仿宋_GB2312" w:hint="eastAsia"/>
          <w:bCs/>
          <w:sz w:val="32"/>
          <w:szCs w:val="32"/>
        </w:rPr>
        <w:t>724</w:t>
      </w:r>
      <w:r w:rsidR="00336D62" w:rsidRPr="00D70438">
        <w:rPr>
          <w:rFonts w:ascii="仿宋_GB2312" w:eastAsia="仿宋_GB2312" w:hint="eastAsia"/>
          <w:bCs/>
          <w:sz w:val="32"/>
          <w:szCs w:val="32"/>
        </w:rPr>
        <w:t>块。</w:t>
      </w:r>
    </w:p>
    <w:p w:rsidR="00A87E34" w:rsidRPr="0038597D" w:rsidRDefault="005F68DB" w:rsidP="00CB566F">
      <w:pPr>
        <w:adjustRightInd w:val="0"/>
        <w:snapToGrid w:val="0"/>
        <w:ind w:firstLine="640"/>
        <w:rPr>
          <w:rFonts w:ascii="仿宋_GB2312" w:eastAsia="仿宋_GB2312"/>
          <w:sz w:val="32"/>
          <w:szCs w:val="32"/>
        </w:rPr>
      </w:pPr>
      <w:r w:rsidRPr="0038597D">
        <w:rPr>
          <w:rFonts w:ascii="黑体" w:eastAsia="黑体" w:hint="eastAsia"/>
          <w:bCs/>
          <w:sz w:val="32"/>
          <w:szCs w:val="32"/>
        </w:rPr>
        <w:t>七</w:t>
      </w:r>
      <w:r w:rsidR="00A87E34" w:rsidRPr="0038597D">
        <w:rPr>
          <w:rFonts w:ascii="黑体" w:eastAsia="黑体" w:hint="eastAsia"/>
          <w:bCs/>
          <w:sz w:val="32"/>
          <w:szCs w:val="32"/>
        </w:rPr>
        <w:t>、就业保障与居民生活</w:t>
      </w:r>
    </w:p>
    <w:p w:rsidR="00A87E34" w:rsidRPr="0038597D" w:rsidRDefault="00A87E34" w:rsidP="00CB566F">
      <w:pPr>
        <w:adjustRightInd w:val="0"/>
        <w:snapToGrid w:val="0"/>
        <w:ind w:firstLine="640"/>
        <w:rPr>
          <w:rFonts w:ascii="仿宋_GB2312" w:eastAsia="仿宋_GB2312"/>
          <w:sz w:val="32"/>
          <w:szCs w:val="32"/>
        </w:rPr>
      </w:pPr>
      <w:r w:rsidRPr="0038597D">
        <w:rPr>
          <w:rFonts w:ascii="黑体" w:eastAsia="黑体" w:hint="eastAsia"/>
          <w:bCs/>
          <w:sz w:val="32"/>
          <w:szCs w:val="32"/>
        </w:rPr>
        <w:t>就业：</w:t>
      </w:r>
      <w:r w:rsidR="0038597D" w:rsidRPr="0038597D">
        <w:rPr>
          <w:rFonts w:ascii="仿宋_GB2312" w:eastAsia="仿宋_GB2312" w:hint="eastAsia"/>
          <w:sz w:val="32"/>
          <w:szCs w:val="32"/>
        </w:rPr>
        <w:t>全区城镇新增就业人员28675人，年末实有城镇登记</w:t>
      </w:r>
      <w:r w:rsidR="0038597D" w:rsidRPr="0038597D">
        <w:rPr>
          <w:rFonts w:ascii="仿宋_GB2312" w:eastAsia="仿宋_GB2312" w:hint="eastAsia"/>
          <w:sz w:val="32"/>
          <w:szCs w:val="32"/>
        </w:rPr>
        <w:lastRenderedPageBreak/>
        <w:t>失业人员4623人，城镇登记失业率为0.85%，失业人员再就业9630人，城镇登记失业人员就业率为65.31%。</w:t>
      </w:r>
    </w:p>
    <w:p w:rsidR="0038597D" w:rsidRPr="0038597D" w:rsidRDefault="00A87E34" w:rsidP="00CB566F">
      <w:pPr>
        <w:adjustRightInd w:val="0"/>
        <w:snapToGrid w:val="0"/>
        <w:ind w:firstLine="640"/>
        <w:rPr>
          <w:rFonts w:ascii="仿宋_GB2312" w:eastAsia="仿宋_GB2312"/>
          <w:sz w:val="32"/>
          <w:szCs w:val="32"/>
        </w:rPr>
      </w:pPr>
      <w:r w:rsidRPr="0038597D">
        <w:rPr>
          <w:rFonts w:ascii="黑体" w:eastAsia="黑体" w:hint="eastAsia"/>
          <w:bCs/>
          <w:sz w:val="32"/>
          <w:szCs w:val="32"/>
        </w:rPr>
        <w:t>社会保障：</w:t>
      </w:r>
      <w:r w:rsidR="0038597D" w:rsidRPr="0038597D">
        <w:rPr>
          <w:rFonts w:ascii="仿宋_GB2312" w:eastAsia="仿宋_GB2312" w:hint="eastAsia"/>
          <w:sz w:val="32"/>
          <w:szCs w:val="32"/>
        </w:rPr>
        <w:t>全区参加基本养老、基本医疗、失业、工伤和生育保险人数分别为142.72万人、160.53万人、108.79万人、91.68万人和91.86万人，分别比上年末增加5.25万人、0.63万人、1.35万人、-2.43万人和0.45万人，分别比上年增长3.82%、0.39%、1.26%、-2.58%和0.49%。</w:t>
      </w:r>
    </w:p>
    <w:p w:rsidR="00817AD1" w:rsidRDefault="00817AD1" w:rsidP="00CB566F">
      <w:pPr>
        <w:adjustRightInd w:val="0"/>
        <w:snapToGrid w:val="0"/>
        <w:ind w:firstLine="640"/>
        <w:rPr>
          <w:rFonts w:ascii="仿宋_GB2312" w:eastAsia="仿宋_GB2312"/>
          <w:sz w:val="32"/>
          <w:szCs w:val="32"/>
        </w:rPr>
      </w:pPr>
      <w:r>
        <w:rPr>
          <w:rFonts w:ascii="仿宋_GB2312" w:eastAsia="仿宋_GB2312" w:hint="eastAsia"/>
          <w:sz w:val="32"/>
          <w:szCs w:val="32"/>
        </w:rPr>
        <w:t>全区享受城市居民最低生活保障家庭数为7601个，城市居民最低生活保障的人数为12460人，城市低保资金实际支出12331.74万元。</w:t>
      </w:r>
    </w:p>
    <w:p w:rsidR="00336D62" w:rsidRPr="00817AD1" w:rsidRDefault="00336D62" w:rsidP="00CB566F">
      <w:pPr>
        <w:adjustRightInd w:val="0"/>
        <w:snapToGrid w:val="0"/>
        <w:ind w:firstLine="640"/>
        <w:rPr>
          <w:rFonts w:ascii="仿宋_GB2312" w:eastAsia="仿宋_GB2312"/>
          <w:sz w:val="32"/>
          <w:szCs w:val="32"/>
        </w:rPr>
      </w:pPr>
      <w:r w:rsidRPr="00817AD1">
        <w:rPr>
          <w:rFonts w:ascii="仿宋_GB2312" w:eastAsia="仿宋_GB2312" w:hint="eastAsia"/>
          <w:sz w:val="32"/>
          <w:szCs w:val="32"/>
        </w:rPr>
        <w:t>年末全区各类收养性单位1</w:t>
      </w:r>
      <w:r w:rsidR="00817AD1" w:rsidRPr="00817AD1">
        <w:rPr>
          <w:rFonts w:ascii="仿宋_GB2312" w:eastAsia="仿宋_GB2312" w:hint="eastAsia"/>
          <w:sz w:val="32"/>
          <w:szCs w:val="32"/>
        </w:rPr>
        <w:t>5</w:t>
      </w:r>
      <w:r w:rsidRPr="00817AD1">
        <w:rPr>
          <w:rFonts w:ascii="仿宋_GB2312" w:eastAsia="仿宋_GB2312" w:hint="eastAsia"/>
          <w:sz w:val="32"/>
          <w:szCs w:val="32"/>
        </w:rPr>
        <w:t>家，床位1142张，收养各类人员</w:t>
      </w:r>
      <w:r w:rsidR="00817AD1" w:rsidRPr="00817AD1">
        <w:rPr>
          <w:rFonts w:ascii="仿宋_GB2312" w:eastAsia="仿宋_GB2312" w:hint="eastAsia"/>
          <w:sz w:val="32"/>
          <w:szCs w:val="32"/>
        </w:rPr>
        <w:t>674</w:t>
      </w:r>
      <w:r w:rsidRPr="00817AD1">
        <w:rPr>
          <w:rFonts w:ascii="仿宋_GB2312" w:eastAsia="仿宋_GB2312" w:hint="eastAsia"/>
          <w:sz w:val="32"/>
          <w:szCs w:val="32"/>
        </w:rPr>
        <w:t>人。</w:t>
      </w:r>
    </w:p>
    <w:p w:rsidR="001B06CE" w:rsidRPr="0018059E" w:rsidRDefault="00A87E34" w:rsidP="0018059E">
      <w:pPr>
        <w:adjustRightInd w:val="0"/>
        <w:snapToGrid w:val="0"/>
        <w:ind w:firstLine="640"/>
        <w:rPr>
          <w:rFonts w:ascii="仿宋_GB2312" w:eastAsia="仿宋_GB2312"/>
          <w:sz w:val="32"/>
          <w:szCs w:val="32"/>
        </w:rPr>
      </w:pPr>
      <w:r w:rsidRPr="00870D04">
        <w:rPr>
          <w:rFonts w:ascii="黑体" w:eastAsia="黑体" w:hint="eastAsia"/>
          <w:bCs/>
          <w:sz w:val="32"/>
          <w:szCs w:val="32"/>
        </w:rPr>
        <w:t>居民生活：</w:t>
      </w:r>
      <w:r w:rsidRPr="00870D04">
        <w:rPr>
          <w:rFonts w:ascii="仿宋_GB2312" w:eastAsia="仿宋_GB2312" w:hint="eastAsia"/>
          <w:sz w:val="32"/>
          <w:szCs w:val="32"/>
        </w:rPr>
        <w:t>全区居民人均可支配收入达到</w:t>
      </w:r>
      <w:r w:rsidR="00234633" w:rsidRPr="00870D04">
        <w:rPr>
          <w:rFonts w:ascii="仿宋_GB2312" w:eastAsia="仿宋_GB2312" w:hint="eastAsia"/>
          <w:sz w:val="32"/>
          <w:szCs w:val="32"/>
        </w:rPr>
        <w:t>6</w:t>
      </w:r>
      <w:r w:rsidR="00870D04" w:rsidRPr="00870D04">
        <w:rPr>
          <w:rFonts w:ascii="仿宋_GB2312" w:eastAsia="仿宋_GB2312" w:hint="eastAsia"/>
          <w:sz w:val="32"/>
          <w:szCs w:val="32"/>
        </w:rPr>
        <w:t>6084</w:t>
      </w:r>
      <w:r w:rsidR="00234633" w:rsidRPr="00870D04">
        <w:rPr>
          <w:rFonts w:ascii="仿宋_GB2312" w:eastAsia="仿宋_GB2312" w:hint="eastAsia"/>
          <w:sz w:val="32"/>
          <w:szCs w:val="32"/>
        </w:rPr>
        <w:t>元，</w:t>
      </w:r>
      <w:r w:rsidR="00366587" w:rsidRPr="00870D04">
        <w:rPr>
          <w:rFonts w:ascii="仿宋_GB2312" w:eastAsia="仿宋_GB2312" w:hint="eastAsia"/>
          <w:sz w:val="32"/>
          <w:szCs w:val="32"/>
        </w:rPr>
        <w:t>比上年</w:t>
      </w:r>
      <w:r w:rsidRPr="00870D04">
        <w:rPr>
          <w:rFonts w:ascii="仿宋_GB2312" w:eastAsia="仿宋_GB2312" w:hint="eastAsia"/>
          <w:sz w:val="32"/>
          <w:szCs w:val="32"/>
        </w:rPr>
        <w:t>增长</w:t>
      </w:r>
      <w:r w:rsidR="00234633" w:rsidRPr="00870D04">
        <w:rPr>
          <w:rFonts w:ascii="仿宋_GB2312" w:eastAsia="仿宋_GB2312" w:hint="eastAsia"/>
          <w:sz w:val="32"/>
          <w:szCs w:val="32"/>
        </w:rPr>
        <w:t>7.</w:t>
      </w:r>
      <w:r w:rsidR="00870D04" w:rsidRPr="00870D04">
        <w:rPr>
          <w:rFonts w:ascii="仿宋_GB2312" w:eastAsia="仿宋_GB2312" w:hint="eastAsia"/>
          <w:sz w:val="32"/>
          <w:szCs w:val="32"/>
        </w:rPr>
        <w:t>0</w:t>
      </w:r>
      <w:r w:rsidRPr="00870D04">
        <w:rPr>
          <w:rFonts w:ascii="仿宋_GB2312" w:eastAsia="仿宋_GB2312"/>
          <w:sz w:val="32"/>
          <w:szCs w:val="32"/>
        </w:rPr>
        <w:t>%</w:t>
      </w:r>
      <w:r w:rsidR="002226EC" w:rsidRPr="00870D04">
        <w:rPr>
          <w:rFonts w:ascii="仿宋_GB2312" w:eastAsia="仿宋_GB2312" w:hint="eastAsia"/>
          <w:sz w:val="32"/>
          <w:szCs w:val="32"/>
        </w:rPr>
        <w:t>；居民人均消费</w:t>
      </w:r>
      <w:r w:rsidRPr="00870D04">
        <w:rPr>
          <w:rFonts w:ascii="仿宋_GB2312" w:eastAsia="仿宋_GB2312" w:hint="eastAsia"/>
          <w:sz w:val="32"/>
          <w:szCs w:val="32"/>
        </w:rPr>
        <w:t>支出</w:t>
      </w:r>
      <w:r w:rsidR="00870D04" w:rsidRPr="00870D04">
        <w:rPr>
          <w:rFonts w:ascii="仿宋_GB2312" w:eastAsia="仿宋_GB2312" w:hint="eastAsia"/>
          <w:sz w:val="32"/>
          <w:szCs w:val="32"/>
        </w:rPr>
        <w:t>43923</w:t>
      </w:r>
      <w:r w:rsidRPr="00870D04">
        <w:rPr>
          <w:rFonts w:ascii="仿宋_GB2312" w:eastAsia="仿宋_GB2312" w:hint="eastAsia"/>
          <w:sz w:val="32"/>
          <w:szCs w:val="32"/>
        </w:rPr>
        <w:t>元，比上年增长</w:t>
      </w:r>
      <w:r w:rsidR="00870D04" w:rsidRPr="00870D04">
        <w:rPr>
          <w:rFonts w:ascii="仿宋_GB2312" w:eastAsia="仿宋_GB2312" w:hint="eastAsia"/>
          <w:sz w:val="32"/>
          <w:szCs w:val="32"/>
        </w:rPr>
        <w:t>7.5</w:t>
      </w:r>
      <w:r w:rsidRPr="00870D04">
        <w:rPr>
          <w:rFonts w:ascii="仿宋_GB2312" w:eastAsia="仿宋_GB2312" w:hint="eastAsia"/>
          <w:sz w:val="32"/>
          <w:szCs w:val="32"/>
        </w:rPr>
        <w:t>%</w:t>
      </w:r>
      <w:r w:rsidRPr="006D6983">
        <w:rPr>
          <w:rFonts w:ascii="仿宋_GB2312" w:eastAsia="仿宋_GB2312" w:hint="eastAsia"/>
          <w:sz w:val="32"/>
          <w:szCs w:val="32"/>
        </w:rPr>
        <w:t>；恩格尔系数为</w:t>
      </w:r>
      <w:r w:rsidR="00234633" w:rsidRPr="006D6983">
        <w:rPr>
          <w:rFonts w:ascii="仿宋_GB2312" w:eastAsia="仿宋_GB2312" w:hint="eastAsia"/>
          <w:sz w:val="32"/>
          <w:szCs w:val="32"/>
        </w:rPr>
        <w:t>2</w:t>
      </w:r>
      <w:r w:rsidR="006D6983" w:rsidRPr="006D6983">
        <w:rPr>
          <w:rFonts w:ascii="仿宋_GB2312" w:eastAsia="仿宋_GB2312" w:hint="eastAsia"/>
          <w:sz w:val="32"/>
          <w:szCs w:val="32"/>
        </w:rPr>
        <w:t>3.4</w:t>
      </w:r>
      <w:r w:rsidRPr="006D6983">
        <w:rPr>
          <w:rFonts w:ascii="仿宋_GB2312" w:eastAsia="仿宋_GB2312" w:hint="eastAsia"/>
          <w:sz w:val="32"/>
          <w:szCs w:val="32"/>
        </w:rPr>
        <w:t>%</w:t>
      </w:r>
      <w:r w:rsidR="00234633" w:rsidRPr="006D6983">
        <w:rPr>
          <w:rFonts w:ascii="仿宋_GB2312" w:eastAsia="仿宋_GB2312" w:hint="eastAsia"/>
          <w:sz w:val="32"/>
          <w:szCs w:val="32"/>
        </w:rPr>
        <w:t>，比上年下降0.</w:t>
      </w:r>
      <w:r w:rsidR="006D6983" w:rsidRPr="006D6983">
        <w:rPr>
          <w:rFonts w:ascii="仿宋_GB2312" w:eastAsia="仿宋_GB2312" w:hint="eastAsia"/>
          <w:sz w:val="32"/>
          <w:szCs w:val="32"/>
        </w:rPr>
        <w:t>8</w:t>
      </w:r>
      <w:r w:rsidR="00234633" w:rsidRPr="006D6983">
        <w:rPr>
          <w:rFonts w:ascii="仿宋_GB2312" w:eastAsia="仿宋_GB2312" w:hint="eastAsia"/>
          <w:sz w:val="32"/>
          <w:szCs w:val="32"/>
        </w:rPr>
        <w:t>个百分点。</w:t>
      </w:r>
    </w:p>
    <w:p w:rsidR="002226EC" w:rsidRPr="001B06CE" w:rsidRDefault="00DF7BFE" w:rsidP="001B06CE">
      <w:pPr>
        <w:pStyle w:val="a9"/>
        <w:adjustRightInd w:val="0"/>
        <w:snapToGrid w:val="0"/>
        <w:ind w:firstLineChars="0" w:firstLine="0"/>
        <w:jc w:val="center"/>
        <w:rPr>
          <w:rFonts w:ascii="仿宋_GB2312" w:eastAsia="仿宋_GB2312" w:hAnsi="Times New Roman" w:cs="Times New Roman"/>
          <w:w w:val="90"/>
          <w:sz w:val="32"/>
          <w:szCs w:val="32"/>
        </w:rPr>
      </w:pPr>
      <w:r>
        <w:rPr>
          <w:rFonts w:hAnsi="宋体" w:hint="eastAsia"/>
          <w:b/>
          <w:noProof/>
          <w:sz w:val="28"/>
          <w:szCs w:val="28"/>
        </w:rPr>
        <w:drawing>
          <wp:anchor distT="128016" distB="139446" distL="248412" distR="370332" simplePos="0" relativeHeight="251657728" behindDoc="0" locked="0" layoutInCell="1" allowOverlap="1">
            <wp:simplePos x="0" y="0"/>
            <wp:positionH relativeFrom="column">
              <wp:posOffset>591693</wp:posOffset>
            </wp:positionH>
            <wp:positionV relativeFrom="paragraph">
              <wp:posOffset>315849</wp:posOffset>
            </wp:positionV>
            <wp:extent cx="4572254" cy="2876677"/>
            <wp:effectExtent l="0" t="0" r="0" b="0"/>
            <wp:wrapNone/>
            <wp:docPr id="6"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226EC" w:rsidRPr="001B06CE">
        <w:rPr>
          <w:rFonts w:hAnsi="宋体" w:hint="eastAsia"/>
          <w:b/>
          <w:w w:val="90"/>
          <w:sz w:val="28"/>
          <w:szCs w:val="28"/>
        </w:rPr>
        <w:t>图10 2011年-201</w:t>
      </w:r>
      <w:r w:rsidR="000011D7" w:rsidRPr="001B06CE">
        <w:rPr>
          <w:rFonts w:hAnsi="宋体" w:hint="eastAsia"/>
          <w:b/>
          <w:w w:val="90"/>
          <w:sz w:val="28"/>
          <w:szCs w:val="28"/>
        </w:rPr>
        <w:t>6</w:t>
      </w:r>
      <w:r w:rsidR="002226EC" w:rsidRPr="001B06CE">
        <w:rPr>
          <w:rFonts w:hAnsi="宋体" w:hint="eastAsia"/>
          <w:b/>
          <w:w w:val="90"/>
          <w:sz w:val="28"/>
          <w:szCs w:val="28"/>
        </w:rPr>
        <w:t>年居民人均可支配收入和消费支出增长速度情况</w:t>
      </w:r>
    </w:p>
    <w:p w:rsidR="002226EC" w:rsidRPr="000011D7" w:rsidRDefault="002226EC" w:rsidP="000011D7">
      <w:pPr>
        <w:pStyle w:val="a9"/>
        <w:adjustRightInd w:val="0"/>
        <w:snapToGrid w:val="0"/>
        <w:ind w:firstLine="640"/>
        <w:rPr>
          <w:rFonts w:ascii="仿宋_GB2312" w:eastAsia="仿宋_GB2312" w:hAnsi="Times New Roman" w:cs="Times New Roman"/>
          <w:color w:val="FF0000"/>
          <w:sz w:val="32"/>
          <w:szCs w:val="32"/>
        </w:rPr>
      </w:pPr>
    </w:p>
    <w:p w:rsidR="002226EC" w:rsidRPr="00C55F3D" w:rsidRDefault="002226EC" w:rsidP="00C549BE">
      <w:pPr>
        <w:pStyle w:val="a9"/>
        <w:adjustRightInd w:val="0"/>
        <w:snapToGrid w:val="0"/>
        <w:ind w:firstLine="640"/>
        <w:rPr>
          <w:rFonts w:ascii="仿宋_GB2312" w:eastAsia="仿宋_GB2312" w:hAnsi="Times New Roman" w:cs="Times New Roman"/>
          <w:color w:val="FF0000"/>
          <w:sz w:val="32"/>
          <w:szCs w:val="32"/>
        </w:rPr>
      </w:pPr>
    </w:p>
    <w:p w:rsidR="002226EC" w:rsidRPr="00C55F3D" w:rsidRDefault="002226EC" w:rsidP="00C549BE">
      <w:pPr>
        <w:pStyle w:val="a9"/>
        <w:adjustRightInd w:val="0"/>
        <w:snapToGrid w:val="0"/>
        <w:ind w:firstLine="640"/>
        <w:rPr>
          <w:rFonts w:ascii="仿宋_GB2312" w:eastAsia="仿宋_GB2312" w:hAnsi="Times New Roman" w:cs="Times New Roman"/>
          <w:color w:val="FF0000"/>
          <w:sz w:val="32"/>
          <w:szCs w:val="32"/>
        </w:rPr>
      </w:pPr>
    </w:p>
    <w:p w:rsidR="002226EC" w:rsidRPr="00C55F3D" w:rsidRDefault="002226EC" w:rsidP="00C549BE">
      <w:pPr>
        <w:pStyle w:val="a9"/>
        <w:adjustRightInd w:val="0"/>
        <w:snapToGrid w:val="0"/>
        <w:ind w:firstLine="640"/>
        <w:rPr>
          <w:rFonts w:ascii="仿宋_GB2312" w:eastAsia="仿宋_GB2312" w:hAnsi="Times New Roman" w:cs="Times New Roman"/>
          <w:color w:val="FF0000"/>
          <w:sz w:val="32"/>
          <w:szCs w:val="32"/>
        </w:rPr>
      </w:pPr>
    </w:p>
    <w:p w:rsidR="002226EC" w:rsidRPr="00C55F3D" w:rsidRDefault="002226EC" w:rsidP="00C549BE">
      <w:pPr>
        <w:pStyle w:val="a9"/>
        <w:adjustRightInd w:val="0"/>
        <w:snapToGrid w:val="0"/>
        <w:ind w:firstLine="640"/>
        <w:rPr>
          <w:rFonts w:ascii="仿宋_GB2312" w:eastAsia="仿宋_GB2312" w:hAnsi="Times New Roman" w:cs="Times New Roman"/>
          <w:color w:val="FF0000"/>
          <w:sz w:val="32"/>
          <w:szCs w:val="32"/>
        </w:rPr>
      </w:pPr>
    </w:p>
    <w:p w:rsidR="001B06CE" w:rsidRDefault="001B06CE" w:rsidP="0018059E">
      <w:pPr>
        <w:pStyle w:val="a9"/>
        <w:adjustRightInd w:val="0"/>
        <w:snapToGrid w:val="0"/>
        <w:ind w:firstLineChars="0" w:firstLine="0"/>
        <w:rPr>
          <w:rFonts w:ascii="仿宋_GB2312" w:eastAsia="仿宋_GB2312" w:hAnsi="Times New Roman" w:cs="Times New Roman"/>
          <w:sz w:val="32"/>
          <w:szCs w:val="32"/>
        </w:rPr>
      </w:pPr>
    </w:p>
    <w:p w:rsidR="000D328C" w:rsidRDefault="002226EC" w:rsidP="0018059E">
      <w:pPr>
        <w:pStyle w:val="a9"/>
        <w:adjustRightInd w:val="0"/>
        <w:snapToGrid w:val="0"/>
        <w:ind w:firstLine="640"/>
        <w:rPr>
          <w:rFonts w:hAnsi="宋体" w:cs="宋体"/>
          <w:b/>
          <w:bCs/>
          <w:kern w:val="0"/>
          <w:sz w:val="28"/>
          <w:szCs w:val="28"/>
        </w:rPr>
      </w:pPr>
      <w:r w:rsidRPr="000011D7">
        <w:rPr>
          <w:rFonts w:ascii="仿宋_GB2312" w:eastAsia="仿宋_GB2312" w:hAnsi="Times New Roman" w:cs="Times New Roman" w:hint="eastAsia"/>
          <w:sz w:val="32"/>
          <w:szCs w:val="32"/>
        </w:rPr>
        <w:lastRenderedPageBreak/>
        <w:t>居民人均消费</w:t>
      </w:r>
      <w:r w:rsidR="00A87E34" w:rsidRPr="000011D7">
        <w:rPr>
          <w:rFonts w:ascii="仿宋_GB2312" w:eastAsia="仿宋_GB2312" w:hAnsi="Times New Roman" w:cs="Times New Roman" w:hint="eastAsia"/>
          <w:sz w:val="32"/>
          <w:szCs w:val="32"/>
        </w:rPr>
        <w:t>支出中，食品</w:t>
      </w:r>
      <w:r w:rsidR="00DA02C7" w:rsidRPr="000011D7">
        <w:rPr>
          <w:rFonts w:ascii="仿宋_GB2312" w:eastAsia="仿宋_GB2312" w:hAnsi="Times New Roman" w:cs="Times New Roman" w:hint="eastAsia"/>
          <w:sz w:val="32"/>
          <w:szCs w:val="32"/>
        </w:rPr>
        <w:t>烟酒</w:t>
      </w:r>
      <w:r w:rsidR="00A87E34" w:rsidRPr="000011D7">
        <w:rPr>
          <w:rFonts w:ascii="仿宋_GB2312" w:eastAsia="仿宋_GB2312" w:hAnsi="Times New Roman" w:cs="Times New Roman" w:hint="eastAsia"/>
          <w:sz w:val="32"/>
          <w:szCs w:val="32"/>
        </w:rPr>
        <w:t>支出</w:t>
      </w:r>
      <w:r w:rsidR="000011D7" w:rsidRPr="000011D7">
        <w:rPr>
          <w:rFonts w:ascii="仿宋_GB2312" w:eastAsia="仿宋_GB2312" w:hAnsi="Times New Roman" w:cs="Times New Roman" w:hint="eastAsia"/>
          <w:sz w:val="32"/>
          <w:szCs w:val="32"/>
        </w:rPr>
        <w:t>10295</w:t>
      </w:r>
      <w:r w:rsidR="00A87E34" w:rsidRPr="000011D7">
        <w:rPr>
          <w:rFonts w:ascii="仿宋_GB2312" w:eastAsia="仿宋_GB2312" w:hAnsi="Times New Roman" w:cs="Times New Roman" w:hint="eastAsia"/>
          <w:sz w:val="32"/>
          <w:szCs w:val="32"/>
        </w:rPr>
        <w:t>元，比上年增长</w:t>
      </w:r>
      <w:r w:rsidR="000011D7" w:rsidRPr="000011D7">
        <w:rPr>
          <w:rFonts w:ascii="仿宋_GB2312" w:eastAsia="仿宋_GB2312" w:hAnsi="Times New Roman" w:cs="Times New Roman" w:hint="eastAsia"/>
          <w:sz w:val="32"/>
          <w:szCs w:val="32"/>
        </w:rPr>
        <w:t>4.4</w:t>
      </w:r>
      <w:r w:rsidR="00A87E34" w:rsidRPr="000011D7">
        <w:rPr>
          <w:rFonts w:ascii="仿宋_GB2312" w:eastAsia="仿宋_GB2312" w:hAnsi="Times New Roman" w:cs="Times New Roman" w:hint="eastAsia"/>
          <w:sz w:val="32"/>
          <w:szCs w:val="32"/>
        </w:rPr>
        <w:t>%；衣着支出</w:t>
      </w:r>
      <w:r w:rsidR="000011D7" w:rsidRPr="000011D7">
        <w:rPr>
          <w:rFonts w:ascii="仿宋_GB2312" w:eastAsia="仿宋_GB2312" w:hAnsi="Times New Roman" w:cs="Times New Roman" w:hint="eastAsia"/>
          <w:sz w:val="32"/>
          <w:szCs w:val="32"/>
        </w:rPr>
        <w:t>3171</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w:t>
      </w:r>
      <w:r w:rsidR="00A87E34" w:rsidRPr="000011D7">
        <w:rPr>
          <w:rFonts w:ascii="仿宋_GB2312" w:eastAsia="仿宋_GB2312" w:hAnsi="Times New Roman" w:cs="Times New Roman" w:hint="eastAsia"/>
          <w:sz w:val="32"/>
          <w:szCs w:val="32"/>
        </w:rPr>
        <w:t>增长</w:t>
      </w:r>
      <w:r w:rsidR="000011D7" w:rsidRPr="000011D7">
        <w:rPr>
          <w:rFonts w:ascii="仿宋_GB2312" w:eastAsia="仿宋_GB2312" w:hAnsi="Times New Roman" w:cs="Times New Roman" w:hint="eastAsia"/>
          <w:sz w:val="32"/>
          <w:szCs w:val="32"/>
        </w:rPr>
        <w:t>9.5</w:t>
      </w:r>
      <w:r w:rsidR="00A87E34" w:rsidRPr="000011D7">
        <w:rPr>
          <w:rFonts w:ascii="仿宋_GB2312" w:eastAsia="仿宋_GB2312" w:hAnsi="Times New Roman" w:cs="Times New Roman" w:hint="eastAsia"/>
          <w:sz w:val="32"/>
          <w:szCs w:val="32"/>
        </w:rPr>
        <w:t>%；居住支出</w:t>
      </w:r>
      <w:r w:rsidR="00DA02C7" w:rsidRPr="000011D7">
        <w:rPr>
          <w:rFonts w:ascii="仿宋_GB2312" w:eastAsia="仿宋_GB2312" w:hAnsi="Times New Roman" w:cs="Times New Roman" w:hint="eastAsia"/>
          <w:sz w:val="32"/>
          <w:szCs w:val="32"/>
        </w:rPr>
        <w:t>1</w:t>
      </w:r>
      <w:r w:rsidR="000011D7" w:rsidRPr="000011D7">
        <w:rPr>
          <w:rFonts w:ascii="仿宋_GB2312" w:eastAsia="仿宋_GB2312" w:hAnsi="Times New Roman" w:cs="Times New Roman" w:hint="eastAsia"/>
          <w:sz w:val="32"/>
          <w:szCs w:val="32"/>
        </w:rPr>
        <w:t>4306</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w:t>
      </w:r>
      <w:r w:rsidR="00A87E34" w:rsidRPr="000011D7">
        <w:rPr>
          <w:rFonts w:ascii="仿宋_GB2312" w:eastAsia="仿宋_GB2312" w:hAnsi="Times New Roman" w:cs="Times New Roman" w:hint="eastAsia"/>
          <w:sz w:val="32"/>
          <w:szCs w:val="32"/>
        </w:rPr>
        <w:t>增长</w:t>
      </w:r>
      <w:r w:rsidR="000011D7" w:rsidRPr="000011D7">
        <w:rPr>
          <w:rFonts w:ascii="仿宋_GB2312" w:eastAsia="仿宋_GB2312" w:hAnsi="Times New Roman" w:cs="Times New Roman" w:hint="eastAsia"/>
          <w:sz w:val="32"/>
          <w:szCs w:val="32"/>
        </w:rPr>
        <w:t>11.3</w:t>
      </w:r>
      <w:r w:rsidR="00A87E34" w:rsidRPr="000011D7">
        <w:rPr>
          <w:rFonts w:ascii="仿宋_GB2312" w:eastAsia="仿宋_GB2312" w:hAnsi="Times New Roman" w:cs="Times New Roman" w:hint="eastAsia"/>
          <w:sz w:val="32"/>
          <w:szCs w:val="32"/>
        </w:rPr>
        <w:t>%；</w:t>
      </w:r>
      <w:r w:rsidR="00DA02C7" w:rsidRPr="000011D7">
        <w:rPr>
          <w:rFonts w:ascii="仿宋_GB2312" w:eastAsia="仿宋_GB2312" w:hAnsi="Times New Roman" w:cs="Times New Roman" w:hint="eastAsia"/>
          <w:sz w:val="32"/>
          <w:szCs w:val="32"/>
        </w:rPr>
        <w:t>生活</w:t>
      </w:r>
      <w:r w:rsidR="00A87E34" w:rsidRPr="000011D7">
        <w:rPr>
          <w:rFonts w:ascii="仿宋_GB2312" w:eastAsia="仿宋_GB2312" w:hAnsi="Times New Roman" w:cs="Times New Roman" w:hint="eastAsia"/>
          <w:sz w:val="32"/>
          <w:szCs w:val="32"/>
        </w:rPr>
        <w:t>用品及服务支出2</w:t>
      </w:r>
      <w:r w:rsidR="000011D7" w:rsidRPr="000011D7">
        <w:rPr>
          <w:rFonts w:ascii="仿宋_GB2312" w:eastAsia="仿宋_GB2312" w:hAnsi="Times New Roman" w:cs="Times New Roman" w:hint="eastAsia"/>
          <w:sz w:val="32"/>
          <w:szCs w:val="32"/>
        </w:rPr>
        <w:t>679</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w:t>
      </w:r>
      <w:r w:rsidR="000011D7" w:rsidRPr="000011D7">
        <w:rPr>
          <w:rFonts w:ascii="仿宋_GB2312" w:eastAsia="仿宋_GB2312" w:hAnsi="Times New Roman" w:cs="Times New Roman" w:hint="eastAsia"/>
          <w:sz w:val="32"/>
          <w:szCs w:val="32"/>
        </w:rPr>
        <w:t>增长</w:t>
      </w:r>
      <w:r w:rsidR="00DA02C7" w:rsidRPr="000011D7">
        <w:rPr>
          <w:rFonts w:ascii="仿宋_GB2312" w:eastAsia="仿宋_GB2312" w:hAnsi="Times New Roman" w:cs="Times New Roman" w:hint="eastAsia"/>
          <w:sz w:val="32"/>
          <w:szCs w:val="32"/>
        </w:rPr>
        <w:t>1</w:t>
      </w:r>
      <w:r w:rsidR="000011D7" w:rsidRPr="000011D7">
        <w:rPr>
          <w:rFonts w:ascii="仿宋_GB2312" w:eastAsia="仿宋_GB2312" w:hAnsi="Times New Roman" w:cs="Times New Roman" w:hint="eastAsia"/>
          <w:sz w:val="32"/>
          <w:szCs w:val="32"/>
        </w:rPr>
        <w:t>6.5</w:t>
      </w:r>
      <w:r w:rsidR="00A87E34" w:rsidRPr="000011D7">
        <w:rPr>
          <w:rFonts w:ascii="仿宋_GB2312" w:eastAsia="仿宋_GB2312" w:hAnsi="Times New Roman" w:cs="Times New Roman" w:hint="eastAsia"/>
          <w:sz w:val="32"/>
          <w:szCs w:val="32"/>
        </w:rPr>
        <w:t>%；医疗保健支出</w:t>
      </w:r>
      <w:r w:rsidR="00DA02C7" w:rsidRPr="000011D7">
        <w:rPr>
          <w:rFonts w:ascii="仿宋_GB2312" w:eastAsia="仿宋_GB2312" w:hAnsi="Times New Roman" w:cs="Times New Roman" w:hint="eastAsia"/>
          <w:sz w:val="32"/>
          <w:szCs w:val="32"/>
        </w:rPr>
        <w:t>2</w:t>
      </w:r>
      <w:r w:rsidR="000011D7" w:rsidRPr="000011D7">
        <w:rPr>
          <w:rFonts w:ascii="仿宋_GB2312" w:eastAsia="仿宋_GB2312" w:hAnsi="Times New Roman" w:cs="Times New Roman" w:hint="eastAsia"/>
          <w:sz w:val="32"/>
          <w:szCs w:val="32"/>
        </w:rPr>
        <w:t>765</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w:t>
      </w:r>
      <w:r w:rsidRPr="000011D7">
        <w:rPr>
          <w:rFonts w:ascii="仿宋_GB2312" w:eastAsia="仿宋_GB2312" w:hAnsi="Times New Roman" w:cs="Times New Roman" w:hint="eastAsia"/>
          <w:sz w:val="32"/>
          <w:szCs w:val="32"/>
        </w:rPr>
        <w:t>增长</w:t>
      </w:r>
      <w:r w:rsidR="00DA02C7" w:rsidRPr="000011D7">
        <w:rPr>
          <w:rFonts w:ascii="仿宋_GB2312" w:eastAsia="仿宋_GB2312" w:hAnsi="Times New Roman" w:cs="Times New Roman" w:hint="eastAsia"/>
          <w:sz w:val="32"/>
          <w:szCs w:val="32"/>
        </w:rPr>
        <w:t>1</w:t>
      </w:r>
      <w:r w:rsidR="000011D7" w:rsidRPr="000011D7">
        <w:rPr>
          <w:rFonts w:ascii="仿宋_GB2312" w:eastAsia="仿宋_GB2312" w:hAnsi="Times New Roman" w:cs="Times New Roman" w:hint="eastAsia"/>
          <w:sz w:val="32"/>
          <w:szCs w:val="32"/>
        </w:rPr>
        <w:t>4.1</w:t>
      </w:r>
      <w:r w:rsidR="00A87E34" w:rsidRPr="000011D7">
        <w:rPr>
          <w:rFonts w:ascii="仿宋_GB2312" w:eastAsia="仿宋_GB2312" w:hAnsi="Times New Roman" w:cs="Times New Roman" w:hint="eastAsia"/>
          <w:sz w:val="32"/>
          <w:szCs w:val="32"/>
        </w:rPr>
        <w:t>%；交通通信支出</w:t>
      </w:r>
      <w:r w:rsidR="00DA02C7" w:rsidRPr="000011D7">
        <w:rPr>
          <w:rFonts w:ascii="仿宋_GB2312" w:eastAsia="仿宋_GB2312" w:hAnsi="Times New Roman" w:cs="Times New Roman" w:hint="eastAsia"/>
          <w:sz w:val="32"/>
          <w:szCs w:val="32"/>
        </w:rPr>
        <w:t>47</w:t>
      </w:r>
      <w:r w:rsidR="000011D7" w:rsidRPr="000011D7">
        <w:rPr>
          <w:rFonts w:ascii="仿宋_GB2312" w:eastAsia="仿宋_GB2312" w:hAnsi="Times New Roman" w:cs="Times New Roman" w:hint="eastAsia"/>
          <w:sz w:val="32"/>
          <w:szCs w:val="32"/>
        </w:rPr>
        <w:t>77</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比上年增长</w:t>
      </w:r>
      <w:r w:rsidR="000011D7" w:rsidRPr="000011D7">
        <w:rPr>
          <w:rFonts w:ascii="仿宋_GB2312" w:eastAsia="仿宋_GB2312" w:hint="eastAsia"/>
          <w:sz w:val="32"/>
          <w:szCs w:val="32"/>
        </w:rPr>
        <w:t>1.5</w:t>
      </w:r>
      <w:r w:rsidR="00A87E34" w:rsidRPr="000011D7">
        <w:rPr>
          <w:rFonts w:ascii="仿宋_GB2312" w:eastAsia="仿宋_GB2312" w:hAnsi="Times New Roman" w:cs="Times New Roman" w:hint="eastAsia"/>
          <w:sz w:val="32"/>
          <w:szCs w:val="32"/>
        </w:rPr>
        <w:t>%；教育文化娱乐支出</w:t>
      </w:r>
      <w:r w:rsidR="00DA02C7" w:rsidRPr="000011D7">
        <w:rPr>
          <w:rFonts w:ascii="仿宋_GB2312" w:eastAsia="仿宋_GB2312" w:hAnsi="Times New Roman" w:cs="Times New Roman" w:hint="eastAsia"/>
          <w:sz w:val="32"/>
          <w:szCs w:val="32"/>
        </w:rPr>
        <w:t>442</w:t>
      </w:r>
      <w:r w:rsidR="000011D7" w:rsidRPr="000011D7">
        <w:rPr>
          <w:rFonts w:ascii="仿宋_GB2312" w:eastAsia="仿宋_GB2312" w:hAnsi="Times New Roman" w:cs="Times New Roman" w:hint="eastAsia"/>
          <w:sz w:val="32"/>
          <w:szCs w:val="32"/>
        </w:rPr>
        <w:t>9</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比上年增长</w:t>
      </w:r>
      <w:r w:rsidR="000011D7" w:rsidRPr="000011D7">
        <w:rPr>
          <w:rFonts w:ascii="仿宋_GB2312" w:eastAsia="仿宋_GB2312" w:hint="eastAsia"/>
          <w:sz w:val="32"/>
          <w:szCs w:val="32"/>
        </w:rPr>
        <w:t>0.2</w:t>
      </w:r>
      <w:r w:rsidR="00A87E34" w:rsidRPr="000011D7">
        <w:rPr>
          <w:rFonts w:ascii="仿宋_GB2312" w:eastAsia="仿宋_GB2312" w:hAnsi="Times New Roman" w:cs="Times New Roman" w:hint="eastAsia"/>
          <w:sz w:val="32"/>
          <w:szCs w:val="32"/>
        </w:rPr>
        <w:t>%；其他</w:t>
      </w:r>
      <w:r w:rsidR="00DA02C7" w:rsidRPr="000011D7">
        <w:rPr>
          <w:rFonts w:ascii="仿宋_GB2312" w:eastAsia="仿宋_GB2312" w:hAnsi="Times New Roman" w:cs="Times New Roman" w:hint="eastAsia"/>
          <w:sz w:val="32"/>
          <w:szCs w:val="32"/>
        </w:rPr>
        <w:t>用品</w:t>
      </w:r>
      <w:r w:rsidR="00A87E34" w:rsidRPr="000011D7">
        <w:rPr>
          <w:rFonts w:ascii="仿宋_GB2312" w:eastAsia="仿宋_GB2312" w:hAnsi="Times New Roman" w:cs="Times New Roman" w:hint="eastAsia"/>
          <w:sz w:val="32"/>
          <w:szCs w:val="32"/>
        </w:rPr>
        <w:t>和服务支出1</w:t>
      </w:r>
      <w:r w:rsidR="000011D7" w:rsidRPr="000011D7">
        <w:rPr>
          <w:rFonts w:ascii="仿宋_GB2312" w:eastAsia="仿宋_GB2312" w:hAnsi="Times New Roman" w:cs="Times New Roman" w:hint="eastAsia"/>
          <w:sz w:val="32"/>
          <w:szCs w:val="32"/>
        </w:rPr>
        <w:t>501</w:t>
      </w:r>
      <w:r w:rsidR="00A87E34" w:rsidRPr="000011D7">
        <w:rPr>
          <w:rFonts w:ascii="仿宋_GB2312" w:eastAsia="仿宋_GB2312" w:hAnsi="Times New Roman" w:cs="Times New Roman" w:hint="eastAsia"/>
          <w:sz w:val="32"/>
          <w:szCs w:val="32"/>
        </w:rPr>
        <w:t>元，</w:t>
      </w:r>
      <w:r w:rsidR="00A87E34" w:rsidRPr="000011D7">
        <w:rPr>
          <w:rFonts w:ascii="仿宋_GB2312" w:eastAsia="仿宋_GB2312" w:hint="eastAsia"/>
          <w:sz w:val="32"/>
          <w:szCs w:val="32"/>
        </w:rPr>
        <w:t>比上年</w:t>
      </w:r>
      <w:r w:rsidR="000011D7" w:rsidRPr="000011D7">
        <w:rPr>
          <w:rFonts w:ascii="仿宋_GB2312" w:eastAsia="仿宋_GB2312" w:hint="eastAsia"/>
          <w:sz w:val="32"/>
          <w:szCs w:val="32"/>
        </w:rPr>
        <w:t>增长</w:t>
      </w:r>
      <w:r w:rsidR="000011D7" w:rsidRPr="000011D7">
        <w:rPr>
          <w:rFonts w:ascii="仿宋_GB2312" w:eastAsia="仿宋_GB2312" w:hAnsi="Times New Roman" w:cs="Times New Roman" w:hint="eastAsia"/>
          <w:sz w:val="32"/>
          <w:szCs w:val="32"/>
        </w:rPr>
        <w:t>7.4</w:t>
      </w:r>
      <w:r w:rsidR="00A87E34" w:rsidRPr="000011D7">
        <w:rPr>
          <w:rFonts w:ascii="仿宋_GB2312" w:eastAsia="仿宋_GB2312" w:hAnsi="Times New Roman" w:cs="Times New Roman" w:hint="eastAsia"/>
          <w:sz w:val="32"/>
          <w:szCs w:val="32"/>
        </w:rPr>
        <w:t>%。</w:t>
      </w:r>
    </w:p>
    <w:p w:rsidR="00A87E34" w:rsidRPr="00445679" w:rsidRDefault="00A87E34" w:rsidP="002226EC">
      <w:pPr>
        <w:pStyle w:val="a9"/>
        <w:adjustRightInd w:val="0"/>
        <w:snapToGrid w:val="0"/>
        <w:ind w:firstLineChars="0" w:firstLine="0"/>
        <w:jc w:val="center"/>
        <w:rPr>
          <w:rFonts w:hAnsi="宋体" w:cs="宋体"/>
          <w:b/>
          <w:bCs/>
          <w:kern w:val="0"/>
          <w:sz w:val="28"/>
          <w:szCs w:val="28"/>
        </w:rPr>
      </w:pPr>
      <w:r w:rsidRPr="00445679">
        <w:rPr>
          <w:rFonts w:hAnsi="宋体" w:cs="宋体" w:hint="eastAsia"/>
          <w:b/>
          <w:bCs/>
          <w:kern w:val="0"/>
          <w:sz w:val="28"/>
          <w:szCs w:val="28"/>
        </w:rPr>
        <w:t>图</w:t>
      </w:r>
      <w:r w:rsidR="002226EC" w:rsidRPr="00445679">
        <w:rPr>
          <w:rFonts w:hAnsi="宋体" w:cs="宋体" w:hint="eastAsia"/>
          <w:b/>
          <w:bCs/>
          <w:kern w:val="0"/>
          <w:sz w:val="28"/>
          <w:szCs w:val="28"/>
        </w:rPr>
        <w:t>1</w:t>
      </w:r>
      <w:r w:rsidR="00A4649C">
        <w:rPr>
          <w:rFonts w:hAnsi="宋体" w:cs="宋体" w:hint="eastAsia"/>
          <w:b/>
          <w:bCs/>
          <w:kern w:val="0"/>
          <w:sz w:val="28"/>
          <w:szCs w:val="28"/>
        </w:rPr>
        <w:t>1</w:t>
      </w:r>
      <w:r w:rsidRPr="00445679">
        <w:rPr>
          <w:rFonts w:hAnsi="宋体" w:cs="宋体" w:hint="eastAsia"/>
          <w:b/>
          <w:bCs/>
          <w:kern w:val="0"/>
          <w:sz w:val="28"/>
          <w:szCs w:val="28"/>
        </w:rPr>
        <w:t xml:space="preserve"> 201</w:t>
      </w:r>
      <w:r w:rsidR="000011D7" w:rsidRPr="00445679">
        <w:rPr>
          <w:rFonts w:hAnsi="宋体" w:cs="宋体" w:hint="eastAsia"/>
          <w:b/>
          <w:bCs/>
          <w:kern w:val="0"/>
          <w:sz w:val="28"/>
          <w:szCs w:val="28"/>
        </w:rPr>
        <w:t>6</w:t>
      </w:r>
      <w:r w:rsidR="002226EC" w:rsidRPr="00445679">
        <w:rPr>
          <w:rFonts w:hAnsi="宋体" w:cs="宋体" w:hint="eastAsia"/>
          <w:b/>
          <w:bCs/>
          <w:kern w:val="0"/>
          <w:sz w:val="28"/>
          <w:szCs w:val="28"/>
        </w:rPr>
        <w:t>年居民人均消费</w:t>
      </w:r>
      <w:r w:rsidRPr="00445679">
        <w:rPr>
          <w:rFonts w:hAnsi="宋体" w:cs="宋体" w:hint="eastAsia"/>
          <w:b/>
          <w:bCs/>
          <w:kern w:val="0"/>
          <w:sz w:val="28"/>
          <w:szCs w:val="28"/>
        </w:rPr>
        <w:t>支出构成</w:t>
      </w:r>
    </w:p>
    <w:p w:rsidR="007C6A9B" w:rsidRPr="00C55F3D" w:rsidRDefault="00DF7BFE" w:rsidP="000011D7">
      <w:pPr>
        <w:pStyle w:val="a9"/>
        <w:adjustRightInd w:val="0"/>
        <w:snapToGrid w:val="0"/>
        <w:ind w:firstLine="562"/>
        <w:jc w:val="center"/>
        <w:rPr>
          <w:rFonts w:hAnsi="宋体" w:cs="Times New Roman"/>
          <w:b/>
          <w:color w:val="FF0000"/>
          <w:sz w:val="28"/>
          <w:szCs w:val="28"/>
        </w:rPr>
      </w:pPr>
      <w:r>
        <w:rPr>
          <w:rFonts w:hAnsi="宋体" w:cs="Times New Roman"/>
          <w:b/>
          <w:noProof/>
          <w:color w:val="FF0000"/>
          <w:sz w:val="28"/>
          <w:szCs w:val="28"/>
        </w:rPr>
        <w:drawing>
          <wp:anchor distT="48768" distB="274320" distL="150876" distR="150495" simplePos="0" relativeHeight="251658752" behindDoc="0" locked="0" layoutInCell="1" allowOverlap="1">
            <wp:simplePos x="0" y="0"/>
            <wp:positionH relativeFrom="column">
              <wp:posOffset>163449</wp:posOffset>
            </wp:positionH>
            <wp:positionV relativeFrom="paragraph">
              <wp:posOffset>322072</wp:posOffset>
            </wp:positionV>
            <wp:extent cx="5248021" cy="3200273"/>
            <wp:effectExtent l="0" t="0" r="0" b="0"/>
            <wp:wrapNone/>
            <wp:docPr id="5"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87E34" w:rsidRPr="00C55F3D" w:rsidRDefault="00A87E34" w:rsidP="00C4722C">
      <w:pPr>
        <w:adjustRightInd w:val="0"/>
        <w:snapToGrid w:val="0"/>
        <w:spacing w:line="360" w:lineRule="auto"/>
        <w:ind w:firstLine="560"/>
        <w:jc w:val="center"/>
        <w:rPr>
          <w:rFonts w:ascii="黑体" w:eastAsia="黑体"/>
          <w:bCs/>
          <w:color w:val="FF0000"/>
          <w:sz w:val="28"/>
          <w:szCs w:val="28"/>
        </w:rPr>
      </w:pPr>
    </w:p>
    <w:p w:rsidR="002226EC" w:rsidRPr="00C55F3D" w:rsidRDefault="002226EC" w:rsidP="00A87E34">
      <w:pPr>
        <w:adjustRightInd w:val="0"/>
        <w:snapToGrid w:val="0"/>
        <w:spacing w:line="360" w:lineRule="auto"/>
        <w:ind w:firstLine="560"/>
        <w:rPr>
          <w:rFonts w:ascii="黑体" w:eastAsia="黑体"/>
          <w:bCs/>
          <w:color w:val="FF0000"/>
          <w:sz w:val="28"/>
          <w:szCs w:val="28"/>
        </w:rPr>
      </w:pPr>
    </w:p>
    <w:p w:rsidR="002226EC" w:rsidRPr="00C55F3D" w:rsidRDefault="002226EC" w:rsidP="00A87E34">
      <w:pPr>
        <w:adjustRightInd w:val="0"/>
        <w:snapToGrid w:val="0"/>
        <w:spacing w:line="360" w:lineRule="auto"/>
        <w:ind w:firstLine="560"/>
        <w:rPr>
          <w:rFonts w:ascii="黑体" w:eastAsia="黑体"/>
          <w:bCs/>
          <w:color w:val="FF0000"/>
          <w:sz w:val="28"/>
          <w:szCs w:val="28"/>
        </w:rPr>
      </w:pPr>
    </w:p>
    <w:p w:rsidR="002226EC" w:rsidRPr="00C55F3D" w:rsidRDefault="002226EC" w:rsidP="00A87E34">
      <w:pPr>
        <w:adjustRightInd w:val="0"/>
        <w:snapToGrid w:val="0"/>
        <w:spacing w:line="360" w:lineRule="auto"/>
        <w:ind w:firstLine="560"/>
        <w:rPr>
          <w:rFonts w:ascii="黑体" w:eastAsia="黑体"/>
          <w:bCs/>
          <w:color w:val="FF0000"/>
          <w:sz w:val="28"/>
          <w:szCs w:val="28"/>
        </w:rPr>
      </w:pPr>
    </w:p>
    <w:p w:rsidR="002226EC" w:rsidRPr="00C55F3D" w:rsidRDefault="002226EC" w:rsidP="00A87E34">
      <w:pPr>
        <w:adjustRightInd w:val="0"/>
        <w:snapToGrid w:val="0"/>
        <w:spacing w:line="360" w:lineRule="auto"/>
        <w:ind w:firstLine="560"/>
        <w:rPr>
          <w:rFonts w:ascii="黑体" w:eastAsia="黑体"/>
          <w:bCs/>
          <w:color w:val="FF0000"/>
          <w:sz w:val="28"/>
          <w:szCs w:val="28"/>
        </w:rPr>
      </w:pPr>
    </w:p>
    <w:p w:rsidR="00B6036A" w:rsidRDefault="00B6036A" w:rsidP="00A87E34">
      <w:pPr>
        <w:adjustRightInd w:val="0"/>
        <w:snapToGrid w:val="0"/>
        <w:spacing w:line="360" w:lineRule="auto"/>
        <w:ind w:firstLine="560"/>
        <w:rPr>
          <w:rFonts w:ascii="黑体" w:eastAsia="黑体"/>
          <w:bCs/>
          <w:color w:val="FF0000"/>
          <w:sz w:val="28"/>
          <w:szCs w:val="28"/>
        </w:rPr>
      </w:pPr>
    </w:p>
    <w:p w:rsidR="00B6036A" w:rsidRDefault="00B6036A" w:rsidP="00A87E34">
      <w:pPr>
        <w:adjustRightInd w:val="0"/>
        <w:snapToGrid w:val="0"/>
        <w:spacing w:line="360" w:lineRule="auto"/>
        <w:ind w:firstLine="560"/>
        <w:rPr>
          <w:rFonts w:ascii="黑体" w:eastAsia="黑体"/>
          <w:bCs/>
          <w:color w:val="FF0000"/>
          <w:sz w:val="28"/>
          <w:szCs w:val="28"/>
        </w:rPr>
      </w:pPr>
    </w:p>
    <w:p w:rsidR="00B6036A" w:rsidRDefault="00B6036A" w:rsidP="00A87E34">
      <w:pPr>
        <w:adjustRightInd w:val="0"/>
        <w:snapToGrid w:val="0"/>
        <w:spacing w:line="360" w:lineRule="auto"/>
        <w:ind w:firstLine="560"/>
        <w:rPr>
          <w:rFonts w:ascii="黑体" w:eastAsia="黑体"/>
          <w:bCs/>
          <w:color w:val="FF0000"/>
          <w:sz w:val="28"/>
          <w:szCs w:val="28"/>
        </w:rPr>
      </w:pPr>
    </w:p>
    <w:p w:rsidR="008E6DA2" w:rsidRDefault="008E6DA2" w:rsidP="00445679">
      <w:pPr>
        <w:adjustRightInd w:val="0"/>
        <w:snapToGrid w:val="0"/>
        <w:spacing w:line="360" w:lineRule="auto"/>
        <w:ind w:firstLine="560"/>
        <w:rPr>
          <w:rFonts w:ascii="黑体" w:eastAsia="黑体"/>
          <w:bCs/>
          <w:sz w:val="28"/>
          <w:szCs w:val="28"/>
        </w:rPr>
      </w:pPr>
    </w:p>
    <w:p w:rsidR="008E6DA2" w:rsidRPr="000D328C" w:rsidRDefault="008E6DA2" w:rsidP="00445679">
      <w:pPr>
        <w:adjustRightInd w:val="0"/>
        <w:snapToGrid w:val="0"/>
        <w:spacing w:line="360" w:lineRule="auto"/>
        <w:ind w:firstLine="560"/>
        <w:rPr>
          <w:rFonts w:ascii="黑体" w:eastAsia="黑体"/>
          <w:bCs/>
          <w:sz w:val="28"/>
          <w:szCs w:val="28"/>
        </w:rPr>
      </w:pPr>
    </w:p>
    <w:p w:rsidR="001B06CE" w:rsidRDefault="001B06CE" w:rsidP="00445679">
      <w:pPr>
        <w:adjustRightInd w:val="0"/>
        <w:snapToGrid w:val="0"/>
        <w:spacing w:line="360" w:lineRule="auto"/>
        <w:ind w:firstLine="560"/>
        <w:rPr>
          <w:rFonts w:ascii="黑体" w:eastAsia="黑体"/>
          <w:bCs/>
          <w:sz w:val="28"/>
          <w:szCs w:val="28"/>
        </w:rPr>
      </w:pPr>
    </w:p>
    <w:p w:rsidR="0018059E" w:rsidRDefault="0018059E" w:rsidP="00445679">
      <w:pPr>
        <w:adjustRightInd w:val="0"/>
        <w:snapToGrid w:val="0"/>
        <w:spacing w:line="360" w:lineRule="auto"/>
        <w:ind w:firstLine="560"/>
        <w:rPr>
          <w:rFonts w:ascii="黑体" w:eastAsia="黑体" w:hint="eastAsia"/>
          <w:bCs/>
          <w:sz w:val="28"/>
          <w:szCs w:val="28"/>
        </w:rPr>
      </w:pPr>
    </w:p>
    <w:p w:rsidR="0018059E" w:rsidRDefault="0018059E" w:rsidP="00445679">
      <w:pPr>
        <w:adjustRightInd w:val="0"/>
        <w:snapToGrid w:val="0"/>
        <w:spacing w:line="360" w:lineRule="auto"/>
        <w:ind w:firstLine="560"/>
        <w:rPr>
          <w:rFonts w:ascii="黑体" w:eastAsia="黑体" w:hint="eastAsia"/>
          <w:bCs/>
          <w:sz w:val="28"/>
          <w:szCs w:val="28"/>
        </w:rPr>
      </w:pPr>
    </w:p>
    <w:p w:rsidR="0018059E" w:rsidRDefault="0018059E" w:rsidP="00445679">
      <w:pPr>
        <w:adjustRightInd w:val="0"/>
        <w:snapToGrid w:val="0"/>
        <w:spacing w:line="360" w:lineRule="auto"/>
        <w:ind w:firstLine="560"/>
        <w:rPr>
          <w:rFonts w:ascii="黑体" w:eastAsia="黑体" w:hint="eastAsia"/>
          <w:bCs/>
          <w:sz w:val="28"/>
          <w:szCs w:val="28"/>
        </w:rPr>
      </w:pPr>
    </w:p>
    <w:p w:rsidR="0018059E" w:rsidRDefault="0018059E" w:rsidP="00445679">
      <w:pPr>
        <w:adjustRightInd w:val="0"/>
        <w:snapToGrid w:val="0"/>
        <w:spacing w:line="360" w:lineRule="auto"/>
        <w:ind w:firstLine="560"/>
        <w:rPr>
          <w:rFonts w:ascii="黑体" w:eastAsia="黑体" w:hint="eastAsia"/>
          <w:bCs/>
          <w:sz w:val="28"/>
          <w:szCs w:val="28"/>
        </w:rPr>
      </w:pPr>
    </w:p>
    <w:p w:rsidR="00A87E34" w:rsidRPr="00445679" w:rsidRDefault="00A87E34" w:rsidP="00445679">
      <w:pPr>
        <w:adjustRightInd w:val="0"/>
        <w:snapToGrid w:val="0"/>
        <w:spacing w:line="360" w:lineRule="auto"/>
        <w:ind w:firstLine="560"/>
        <w:rPr>
          <w:rFonts w:ascii="黑体" w:eastAsia="黑体"/>
          <w:bCs/>
          <w:sz w:val="28"/>
          <w:szCs w:val="28"/>
        </w:rPr>
      </w:pPr>
      <w:r w:rsidRPr="00445679">
        <w:rPr>
          <w:rFonts w:ascii="黑体" w:eastAsia="黑体" w:hint="eastAsia"/>
          <w:bCs/>
          <w:sz w:val="28"/>
          <w:szCs w:val="28"/>
        </w:rPr>
        <w:lastRenderedPageBreak/>
        <w:t>公报注释：</w:t>
      </w:r>
    </w:p>
    <w:p w:rsidR="00A87E34" w:rsidRPr="00445679" w:rsidRDefault="00A87E34" w:rsidP="00445679">
      <w:pPr>
        <w:adjustRightInd w:val="0"/>
        <w:snapToGrid w:val="0"/>
        <w:spacing w:line="360" w:lineRule="auto"/>
        <w:ind w:firstLine="560"/>
        <w:rPr>
          <w:rFonts w:ascii="仿宋_GB2312" w:eastAsia="仿宋_GB2312" w:cs="楷体_GB2312"/>
          <w:kern w:val="0"/>
          <w:sz w:val="28"/>
          <w:szCs w:val="28"/>
          <w:lang w:val="zh-CN"/>
        </w:rPr>
      </w:pPr>
      <w:r w:rsidRPr="00445679">
        <w:rPr>
          <w:rFonts w:ascii="仿宋_GB2312" w:eastAsia="仿宋_GB2312" w:cs="楷体_GB2312" w:hint="eastAsia"/>
          <w:kern w:val="0"/>
          <w:sz w:val="28"/>
          <w:szCs w:val="28"/>
        </w:rPr>
        <w:t>1</w:t>
      </w:r>
      <w:r w:rsidRPr="00445679">
        <w:rPr>
          <w:rFonts w:ascii="仿宋_GB2312" w:eastAsia="仿宋_GB2312" w:cs="楷体_GB2312" w:hint="eastAsia"/>
          <w:kern w:val="0"/>
          <w:sz w:val="28"/>
          <w:szCs w:val="28"/>
          <w:lang w:val="zh-CN"/>
        </w:rPr>
        <w:t>．201</w:t>
      </w:r>
      <w:r w:rsidR="00B6036A" w:rsidRPr="00445679">
        <w:rPr>
          <w:rFonts w:ascii="仿宋_GB2312" w:eastAsia="仿宋_GB2312" w:cs="楷体_GB2312" w:hint="eastAsia"/>
          <w:kern w:val="0"/>
          <w:sz w:val="28"/>
          <w:szCs w:val="28"/>
          <w:lang w:val="zh-CN"/>
        </w:rPr>
        <w:t>6</w:t>
      </w:r>
      <w:r w:rsidRPr="00445679">
        <w:rPr>
          <w:rFonts w:ascii="仿宋_GB2312" w:eastAsia="仿宋_GB2312" w:cs="楷体_GB2312" w:hint="eastAsia"/>
          <w:kern w:val="0"/>
          <w:sz w:val="28"/>
          <w:szCs w:val="28"/>
          <w:lang w:val="zh-CN"/>
        </w:rPr>
        <w:t>年地区生产总值为初步核算数，地区生产总值及各产业、各行业增加值增长速度均为</w:t>
      </w:r>
      <w:r w:rsidR="00B6036A" w:rsidRPr="00445679">
        <w:rPr>
          <w:rFonts w:ascii="仿宋_GB2312" w:eastAsia="仿宋_GB2312" w:cs="楷体_GB2312" w:hint="eastAsia"/>
          <w:kern w:val="0"/>
          <w:sz w:val="28"/>
          <w:szCs w:val="28"/>
          <w:lang w:val="zh-CN"/>
        </w:rPr>
        <w:t>不变价</w:t>
      </w:r>
      <w:r w:rsidRPr="00445679">
        <w:rPr>
          <w:rFonts w:ascii="仿宋_GB2312" w:eastAsia="仿宋_GB2312" w:cs="楷体_GB2312" w:hint="eastAsia"/>
          <w:kern w:val="0"/>
          <w:sz w:val="28"/>
          <w:szCs w:val="28"/>
          <w:lang w:val="zh-CN"/>
        </w:rPr>
        <w:t>增速，</w:t>
      </w:r>
      <w:r w:rsidRPr="00445679">
        <w:rPr>
          <w:rFonts w:ascii="仿宋_GB2312" w:eastAsia="仿宋_GB2312" w:cs="楷体_GB2312"/>
          <w:kern w:val="0"/>
          <w:sz w:val="28"/>
          <w:szCs w:val="28"/>
          <w:lang w:val="zh-CN"/>
        </w:rPr>
        <w:t>与上年相比的增速为</w:t>
      </w:r>
      <w:r w:rsidR="00DA02C7" w:rsidRPr="00445679">
        <w:rPr>
          <w:rFonts w:ascii="仿宋_GB2312" w:eastAsia="仿宋_GB2312" w:cs="楷体_GB2312"/>
          <w:kern w:val="0"/>
          <w:sz w:val="28"/>
          <w:szCs w:val="28"/>
          <w:lang w:val="zh-CN"/>
        </w:rPr>
        <w:t>201</w:t>
      </w:r>
      <w:r w:rsidR="00B6036A" w:rsidRPr="00445679">
        <w:rPr>
          <w:rFonts w:ascii="仿宋_GB2312" w:eastAsia="仿宋_GB2312" w:cs="楷体_GB2312" w:hint="eastAsia"/>
          <w:kern w:val="0"/>
          <w:sz w:val="28"/>
          <w:szCs w:val="28"/>
          <w:lang w:val="zh-CN"/>
        </w:rPr>
        <w:t>6</w:t>
      </w:r>
      <w:r w:rsidRPr="00445679">
        <w:rPr>
          <w:rFonts w:ascii="仿宋_GB2312" w:eastAsia="仿宋_GB2312" w:cs="楷体_GB2312"/>
          <w:kern w:val="0"/>
          <w:sz w:val="28"/>
          <w:szCs w:val="28"/>
          <w:lang w:val="zh-CN"/>
        </w:rPr>
        <w:t>年初步</w:t>
      </w:r>
      <w:r w:rsidR="0013035E">
        <w:rPr>
          <w:rFonts w:ascii="仿宋_GB2312" w:eastAsia="仿宋_GB2312" w:cs="楷体_GB2312" w:hint="eastAsia"/>
          <w:kern w:val="0"/>
          <w:sz w:val="28"/>
          <w:szCs w:val="28"/>
          <w:lang w:val="zh-CN"/>
        </w:rPr>
        <w:t>核算</w:t>
      </w:r>
      <w:r w:rsidRPr="00445679">
        <w:rPr>
          <w:rFonts w:ascii="仿宋_GB2312" w:eastAsia="仿宋_GB2312" w:cs="楷体_GB2312"/>
          <w:kern w:val="0"/>
          <w:sz w:val="28"/>
          <w:szCs w:val="28"/>
          <w:lang w:val="zh-CN"/>
        </w:rPr>
        <w:t>数与</w:t>
      </w:r>
      <w:r w:rsidR="00DA02C7" w:rsidRPr="00445679">
        <w:rPr>
          <w:rFonts w:ascii="仿宋_GB2312" w:eastAsia="仿宋_GB2312" w:cs="楷体_GB2312"/>
          <w:kern w:val="0"/>
          <w:sz w:val="28"/>
          <w:szCs w:val="28"/>
          <w:lang w:val="zh-CN"/>
        </w:rPr>
        <w:t>201</w:t>
      </w:r>
      <w:r w:rsidR="00B6036A" w:rsidRPr="00445679">
        <w:rPr>
          <w:rFonts w:ascii="仿宋_GB2312" w:eastAsia="仿宋_GB2312" w:cs="楷体_GB2312" w:hint="eastAsia"/>
          <w:kern w:val="0"/>
          <w:sz w:val="28"/>
          <w:szCs w:val="28"/>
          <w:lang w:val="zh-CN"/>
        </w:rPr>
        <w:t>5</w:t>
      </w:r>
      <w:r w:rsidRPr="00445679">
        <w:rPr>
          <w:rFonts w:ascii="仿宋_GB2312" w:eastAsia="仿宋_GB2312" w:cs="楷体_GB2312"/>
          <w:kern w:val="0"/>
          <w:sz w:val="28"/>
          <w:szCs w:val="28"/>
          <w:lang w:val="zh-CN"/>
        </w:rPr>
        <w:t>年最终核实数比较的结果。</w:t>
      </w:r>
    </w:p>
    <w:p w:rsidR="00A87E34" w:rsidRPr="00445679" w:rsidRDefault="00A87E34" w:rsidP="00445679">
      <w:pPr>
        <w:pStyle w:val="000"/>
        <w:adjustRightInd w:val="0"/>
        <w:snapToGrid w:val="0"/>
        <w:spacing w:line="360" w:lineRule="auto"/>
        <w:ind w:firstLine="560"/>
        <w:rPr>
          <w:rFonts w:ascii="仿宋_GB2312" w:eastAsia="仿宋_GB2312" w:hAnsi="Times New Roman" w:cs="楷体_GB2312"/>
          <w:bCs w:val="0"/>
          <w:color w:val="auto"/>
          <w:sz w:val="28"/>
          <w:szCs w:val="28"/>
          <w:lang w:val="zh-CN"/>
        </w:rPr>
      </w:pPr>
      <w:r w:rsidRPr="00445679">
        <w:rPr>
          <w:rFonts w:ascii="仿宋_GB2312" w:eastAsia="仿宋_GB2312" w:cs="楷体_GB2312" w:hint="eastAsia"/>
          <w:color w:val="auto"/>
          <w:sz w:val="28"/>
          <w:szCs w:val="28"/>
          <w:lang w:val="zh-CN"/>
        </w:rPr>
        <w:t>2．地区生产总值</w:t>
      </w:r>
      <w:r w:rsidRPr="00445679">
        <w:rPr>
          <w:rFonts w:ascii="仿宋_GB2312" w:eastAsia="仿宋_GB2312" w:hAnsi="Times New Roman" w:cs="楷体_GB2312" w:hint="eastAsia"/>
          <w:bCs w:val="0"/>
          <w:color w:val="auto"/>
          <w:sz w:val="28"/>
          <w:szCs w:val="28"/>
          <w:lang w:val="zh-CN"/>
        </w:rPr>
        <w:t>产业划分依据国家统计局2012年制定的《三次产业划分规定》，行业划分依据《国民经济行业分类》（GB/T4754-2011）。</w:t>
      </w:r>
    </w:p>
    <w:p w:rsidR="00A87E34" w:rsidRPr="00445679" w:rsidRDefault="00A87E34" w:rsidP="00445679">
      <w:pPr>
        <w:widowControl/>
        <w:adjustRightInd w:val="0"/>
        <w:snapToGrid w:val="0"/>
        <w:spacing w:line="360" w:lineRule="auto"/>
        <w:ind w:firstLine="560"/>
        <w:jc w:val="left"/>
        <w:rPr>
          <w:rFonts w:ascii="仿宋_GB2312" w:eastAsia="仿宋_GB2312" w:cs="楷体_GB2312"/>
          <w:kern w:val="0"/>
          <w:sz w:val="28"/>
          <w:szCs w:val="28"/>
          <w:lang w:val="zh-CN"/>
        </w:rPr>
      </w:pPr>
      <w:r w:rsidRPr="00445679">
        <w:rPr>
          <w:rFonts w:ascii="仿宋_GB2312" w:eastAsia="仿宋_GB2312" w:cs="楷体_GB2312" w:hint="eastAsia"/>
          <w:kern w:val="0"/>
          <w:sz w:val="28"/>
          <w:szCs w:val="28"/>
          <w:lang w:val="zh-CN"/>
        </w:rPr>
        <w:t>3</w:t>
      </w:r>
      <w:r w:rsidR="00891ABF" w:rsidRPr="00445679">
        <w:rPr>
          <w:rFonts w:ascii="仿宋_GB2312" w:eastAsia="仿宋_GB2312" w:cs="楷体_GB2312" w:hint="eastAsia"/>
          <w:kern w:val="0"/>
          <w:sz w:val="28"/>
          <w:szCs w:val="28"/>
          <w:lang w:val="zh-CN"/>
        </w:rPr>
        <w:t>．恩格尔系数指居民食品支出占消费</w:t>
      </w:r>
      <w:r w:rsidRPr="00445679">
        <w:rPr>
          <w:rFonts w:ascii="仿宋_GB2312" w:eastAsia="仿宋_GB2312" w:cs="楷体_GB2312" w:hint="eastAsia"/>
          <w:kern w:val="0"/>
          <w:sz w:val="28"/>
          <w:szCs w:val="28"/>
          <w:lang w:val="zh-CN"/>
        </w:rPr>
        <w:t>支出总额的比重。</w:t>
      </w:r>
    </w:p>
    <w:p w:rsidR="00A87E34" w:rsidRPr="00445679" w:rsidRDefault="00A87E34" w:rsidP="00445679">
      <w:pPr>
        <w:adjustRightInd w:val="0"/>
        <w:snapToGrid w:val="0"/>
        <w:spacing w:line="360" w:lineRule="auto"/>
        <w:ind w:firstLine="560"/>
        <w:rPr>
          <w:rFonts w:ascii="仿宋_GB2312" w:eastAsia="仿宋_GB2312" w:hAnsi="宋体" w:cs="楷体_GB2312"/>
          <w:bCs/>
          <w:kern w:val="0"/>
          <w:sz w:val="28"/>
          <w:szCs w:val="28"/>
          <w:lang w:val="zh-CN"/>
        </w:rPr>
      </w:pPr>
      <w:r w:rsidRPr="00445679">
        <w:rPr>
          <w:rFonts w:ascii="仿宋_GB2312" w:eastAsia="仿宋_GB2312" w:hAnsi="宋体" w:cs="楷体_GB2312" w:hint="eastAsia"/>
          <w:bCs/>
          <w:kern w:val="0"/>
          <w:sz w:val="28"/>
          <w:szCs w:val="28"/>
          <w:lang w:val="zh-CN"/>
        </w:rPr>
        <w:t>4．</w:t>
      </w:r>
      <w:r w:rsidRPr="00445679">
        <w:rPr>
          <w:rFonts w:ascii="仿宋_GB2312" w:eastAsia="仿宋_GB2312" w:hAnsi="宋体" w:cs="楷体_GB2312"/>
          <w:bCs/>
          <w:kern w:val="0"/>
          <w:sz w:val="28"/>
          <w:szCs w:val="28"/>
          <w:lang w:val="zh-CN"/>
        </w:rPr>
        <w:t>医疗机构和卫生技术人员等相关数据均不含部队医院数据。</w:t>
      </w:r>
    </w:p>
    <w:p w:rsidR="00A87E34" w:rsidRPr="00445679" w:rsidRDefault="00A87E34" w:rsidP="00445679">
      <w:pPr>
        <w:adjustRightInd w:val="0"/>
        <w:snapToGrid w:val="0"/>
        <w:spacing w:line="360" w:lineRule="auto"/>
        <w:ind w:firstLine="560"/>
        <w:rPr>
          <w:rFonts w:ascii="仿宋_GB2312" w:eastAsia="仿宋_GB2312" w:cs="楷体_GB2312"/>
          <w:kern w:val="0"/>
          <w:sz w:val="28"/>
          <w:szCs w:val="28"/>
          <w:lang w:val="zh-CN"/>
        </w:rPr>
      </w:pPr>
      <w:r w:rsidRPr="00445679">
        <w:rPr>
          <w:rFonts w:ascii="仿宋_GB2312" w:eastAsia="仿宋_GB2312" w:cs="楷体_GB2312" w:hint="eastAsia"/>
          <w:kern w:val="0"/>
          <w:sz w:val="28"/>
          <w:szCs w:val="28"/>
          <w:lang w:val="zh-CN"/>
        </w:rPr>
        <w:t>5．公报中部分数据合计数或相对数由于计量单位取舍不同而产生的计算误差，均未作机械调整。</w:t>
      </w:r>
    </w:p>
    <w:p w:rsidR="00A87E34" w:rsidRPr="00445679" w:rsidRDefault="00A87E34" w:rsidP="00445679">
      <w:pPr>
        <w:adjustRightInd w:val="0"/>
        <w:snapToGrid w:val="0"/>
        <w:spacing w:line="360" w:lineRule="auto"/>
        <w:ind w:firstLine="560"/>
        <w:rPr>
          <w:rFonts w:ascii="黑体" w:eastAsia="黑体"/>
          <w:bCs/>
          <w:sz w:val="28"/>
          <w:szCs w:val="28"/>
        </w:rPr>
      </w:pPr>
      <w:r w:rsidRPr="00445679">
        <w:rPr>
          <w:rFonts w:ascii="黑体" w:eastAsia="黑体" w:hint="eastAsia"/>
          <w:bCs/>
          <w:sz w:val="28"/>
          <w:szCs w:val="28"/>
        </w:rPr>
        <w:t>资料来源：</w:t>
      </w:r>
    </w:p>
    <w:p w:rsidR="00C107EC" w:rsidRDefault="00A87E34" w:rsidP="00C107EC">
      <w:pPr>
        <w:adjustRightInd w:val="0"/>
        <w:snapToGrid w:val="0"/>
        <w:spacing w:line="360" w:lineRule="auto"/>
        <w:ind w:firstLine="560"/>
        <w:rPr>
          <w:rFonts w:ascii="楷体_GB2312" w:eastAsia="楷体_GB2312" w:cs="楷体_GB2312"/>
          <w:kern w:val="0"/>
          <w:sz w:val="32"/>
          <w:szCs w:val="32"/>
        </w:rPr>
      </w:pPr>
      <w:r w:rsidRPr="00445679">
        <w:rPr>
          <w:rFonts w:ascii="仿宋_GB2312" w:eastAsia="仿宋_GB2312" w:cs="楷体_GB2312" w:hint="eastAsia"/>
          <w:kern w:val="0"/>
          <w:sz w:val="28"/>
          <w:szCs w:val="28"/>
          <w:lang w:val="zh-CN"/>
        </w:rPr>
        <w:t>本公报中户籍人口数据来自东城区公安分局；财政数据来自东城区财政局；对外经贸数据来自东城区商务委员会；道路数据来自东城区城市综合管理委员会；安全生产数据来自东城区安全生产监督管理局；环境保护数据来自东城区环境保护局；科技数据来自东城区科学技术委员会；教育数据来自东城区教育委员会；文化数据来自东城区文化委员会；卫生数据来自东城区卫生和计划生育委员会；体育数据来自东城区体育局；就业和社会保障数据来自东城区人力资源和社会保障局和东城区民政局；其他数据来自东城区统计局、东城区经济社会调查队。</w:t>
      </w:r>
    </w:p>
    <w:p w:rsidR="001B06CE" w:rsidRDefault="001B06CE" w:rsidP="00E51051">
      <w:pPr>
        <w:spacing w:beforeLines="100" w:afterLines="100"/>
        <w:ind w:right="640" w:firstLineChars="0" w:firstLine="0"/>
        <w:rPr>
          <w:rFonts w:ascii="楷体_GB2312" w:eastAsia="楷体_GB2312" w:cs="楷体_GB2312"/>
          <w:kern w:val="0"/>
          <w:sz w:val="32"/>
          <w:szCs w:val="32"/>
        </w:rPr>
      </w:pPr>
    </w:p>
    <w:sectPr w:rsidR="001B06CE" w:rsidSect="00CB566F">
      <w:headerReference w:type="even" r:id="rId18"/>
      <w:headerReference w:type="default" r:id="rId19"/>
      <w:footerReference w:type="even" r:id="rId20"/>
      <w:footerReference w:type="default" r:id="rId21"/>
      <w:headerReference w:type="first" r:id="rId22"/>
      <w:footerReference w:type="first" r:id="rId23"/>
      <w:pgSz w:w="11906" w:h="16838" w:code="9"/>
      <w:pgMar w:top="2098" w:right="1474" w:bottom="1985" w:left="1588" w:header="851" w:footer="1673" w:gutter="0"/>
      <w:pgNumType w:fmt="numberInDash" w:start="1" w:chapSep="e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440" w:rsidRDefault="00EF4440" w:rsidP="00C74FED">
      <w:pPr>
        <w:ind w:firstLine="420"/>
      </w:pPr>
      <w:r>
        <w:separator/>
      </w:r>
    </w:p>
  </w:endnote>
  <w:endnote w:type="continuationSeparator" w:id="1">
    <w:p w:rsidR="00EF4440" w:rsidRDefault="00EF4440" w:rsidP="00C74FE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6F" w:rsidRPr="00CB566F" w:rsidRDefault="00160ED8" w:rsidP="00CB566F">
    <w:pPr>
      <w:pStyle w:val="a5"/>
      <w:framePr w:wrap="around" w:vAnchor="text" w:hAnchor="margin" w:xAlign="outside" w:y="1"/>
      <w:ind w:firstLineChars="0" w:firstLine="0"/>
      <w:rPr>
        <w:rStyle w:val="a6"/>
        <w:rFonts w:ascii="仿宋_GB2312" w:eastAsia="仿宋_GB2312"/>
        <w:sz w:val="28"/>
        <w:szCs w:val="28"/>
      </w:rPr>
    </w:pPr>
    <w:r w:rsidRPr="00CB566F">
      <w:rPr>
        <w:rStyle w:val="a6"/>
        <w:rFonts w:ascii="仿宋_GB2312" w:eastAsia="仿宋_GB2312" w:hint="eastAsia"/>
        <w:sz w:val="28"/>
        <w:szCs w:val="28"/>
      </w:rPr>
      <w:fldChar w:fldCharType="begin"/>
    </w:r>
    <w:r w:rsidR="00CB566F" w:rsidRPr="00CB566F">
      <w:rPr>
        <w:rStyle w:val="a6"/>
        <w:rFonts w:ascii="仿宋_GB2312" w:eastAsia="仿宋_GB2312" w:hint="eastAsia"/>
        <w:sz w:val="28"/>
        <w:szCs w:val="28"/>
      </w:rPr>
      <w:instrText xml:space="preserve">PAGE  </w:instrText>
    </w:r>
    <w:r w:rsidRPr="00CB566F">
      <w:rPr>
        <w:rStyle w:val="a6"/>
        <w:rFonts w:ascii="仿宋_GB2312" w:eastAsia="仿宋_GB2312" w:hint="eastAsia"/>
        <w:sz w:val="28"/>
        <w:szCs w:val="28"/>
      </w:rPr>
      <w:fldChar w:fldCharType="separate"/>
    </w:r>
    <w:r w:rsidR="0018059E">
      <w:rPr>
        <w:rStyle w:val="a6"/>
        <w:rFonts w:ascii="仿宋_GB2312" w:eastAsia="仿宋_GB2312"/>
        <w:noProof/>
        <w:sz w:val="28"/>
        <w:szCs w:val="28"/>
      </w:rPr>
      <w:t>- 12 -</w:t>
    </w:r>
    <w:r w:rsidRPr="00CB566F">
      <w:rPr>
        <w:rStyle w:val="a6"/>
        <w:rFonts w:ascii="仿宋_GB2312" w:eastAsia="仿宋_GB2312" w:hint="eastAsia"/>
        <w:sz w:val="28"/>
        <w:szCs w:val="28"/>
      </w:rPr>
      <w:fldChar w:fldCharType="end"/>
    </w:r>
  </w:p>
  <w:p w:rsidR="00A971F5" w:rsidRDefault="00A971F5" w:rsidP="00475BC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8" w:rsidRPr="00CB566F" w:rsidRDefault="00160ED8" w:rsidP="00CB566F">
    <w:pPr>
      <w:pStyle w:val="a5"/>
      <w:framePr w:wrap="around" w:vAnchor="text" w:hAnchor="margin" w:xAlign="outside" w:y="1"/>
      <w:ind w:firstLineChars="150" w:firstLine="420"/>
      <w:rPr>
        <w:rStyle w:val="a6"/>
        <w:rFonts w:ascii="仿宋_GB2312" w:eastAsia="仿宋_GB2312" w:hAnsi="宋体"/>
        <w:sz w:val="28"/>
        <w:szCs w:val="28"/>
      </w:rPr>
    </w:pPr>
    <w:r w:rsidRPr="00CB566F">
      <w:rPr>
        <w:rStyle w:val="a6"/>
        <w:rFonts w:ascii="仿宋_GB2312" w:eastAsia="仿宋_GB2312" w:hAnsi="宋体" w:hint="eastAsia"/>
        <w:sz w:val="28"/>
        <w:szCs w:val="28"/>
      </w:rPr>
      <w:fldChar w:fldCharType="begin"/>
    </w:r>
    <w:r w:rsidR="00175A98" w:rsidRPr="00CB566F">
      <w:rPr>
        <w:rStyle w:val="a6"/>
        <w:rFonts w:ascii="仿宋_GB2312" w:eastAsia="仿宋_GB2312" w:hAnsi="宋体" w:hint="eastAsia"/>
        <w:sz w:val="28"/>
        <w:szCs w:val="28"/>
      </w:rPr>
      <w:instrText xml:space="preserve">PAGE  </w:instrText>
    </w:r>
    <w:r w:rsidRPr="00CB566F">
      <w:rPr>
        <w:rStyle w:val="a6"/>
        <w:rFonts w:ascii="仿宋_GB2312" w:eastAsia="仿宋_GB2312" w:hAnsi="宋体" w:hint="eastAsia"/>
        <w:sz w:val="28"/>
        <w:szCs w:val="28"/>
      </w:rPr>
      <w:fldChar w:fldCharType="separate"/>
    </w:r>
    <w:r w:rsidR="0018059E">
      <w:rPr>
        <w:rStyle w:val="a6"/>
        <w:rFonts w:ascii="仿宋_GB2312" w:eastAsia="仿宋_GB2312" w:hAnsi="宋体"/>
        <w:noProof/>
        <w:sz w:val="28"/>
        <w:szCs w:val="28"/>
      </w:rPr>
      <w:t>- 13 -</w:t>
    </w:r>
    <w:r w:rsidRPr="00CB566F">
      <w:rPr>
        <w:rStyle w:val="a6"/>
        <w:rFonts w:ascii="仿宋_GB2312" w:eastAsia="仿宋_GB2312" w:hAnsi="宋体" w:hint="eastAsia"/>
        <w:sz w:val="28"/>
        <w:szCs w:val="28"/>
      </w:rPr>
      <w:fldChar w:fldCharType="end"/>
    </w:r>
  </w:p>
  <w:p w:rsidR="00A971F5" w:rsidRPr="00913414" w:rsidRDefault="00A971F5" w:rsidP="00276D6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72" w:rsidRDefault="00996F72" w:rsidP="00996F7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440" w:rsidRDefault="00EF4440" w:rsidP="00C74FED">
      <w:pPr>
        <w:ind w:firstLine="360"/>
      </w:pPr>
      <w:r>
        <w:rPr>
          <w:rStyle w:val="a6"/>
          <w:sz w:val="18"/>
          <w:szCs w:val="18"/>
        </w:rPr>
        <w:fldChar w:fldCharType="begin"/>
      </w:r>
      <w:r>
        <w:rPr>
          <w:rStyle w:val="a6"/>
          <w:sz w:val="18"/>
          <w:szCs w:val="18"/>
        </w:rPr>
        <w:instrText xml:space="preserve"> PAGE </w:instrText>
      </w:r>
      <w:r>
        <w:rPr>
          <w:rStyle w:val="a6"/>
          <w:sz w:val="18"/>
          <w:szCs w:val="18"/>
        </w:rPr>
        <w:fldChar w:fldCharType="separate"/>
      </w:r>
      <w:r>
        <w:rPr>
          <w:rStyle w:val="a6"/>
          <w:noProof/>
          <w:sz w:val="18"/>
          <w:szCs w:val="18"/>
        </w:rPr>
        <w:t>- 1 -</w:t>
      </w:r>
      <w:r>
        <w:rPr>
          <w:rStyle w:val="a6"/>
          <w:sz w:val="18"/>
          <w:szCs w:val="18"/>
        </w:rPr>
        <w:fldChar w:fldCharType="end"/>
      </w:r>
      <w:r>
        <w:separator/>
      </w:r>
    </w:p>
  </w:footnote>
  <w:footnote w:type="continuationSeparator" w:id="1">
    <w:p w:rsidR="00EF4440" w:rsidRDefault="00EF4440" w:rsidP="00C74FE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72" w:rsidRDefault="00996F72" w:rsidP="001B06CE">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72" w:rsidRDefault="00996F72" w:rsidP="001B06CE">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72" w:rsidRDefault="00996F72" w:rsidP="001B06CE">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352AE"/>
    <w:multiLevelType w:val="hybridMultilevel"/>
    <w:tmpl w:val="53FA1150"/>
    <w:lvl w:ilvl="0" w:tplc="9022F7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135170">
      <o:colormru v:ext="edit" colors="#f30,#ff1e0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2199"/>
    <w:rsid w:val="000011D7"/>
    <w:rsid w:val="00001AC6"/>
    <w:rsid w:val="00006316"/>
    <w:rsid w:val="0001010D"/>
    <w:rsid w:val="00011EDA"/>
    <w:rsid w:val="00021F62"/>
    <w:rsid w:val="00027F17"/>
    <w:rsid w:val="000368C6"/>
    <w:rsid w:val="000425B8"/>
    <w:rsid w:val="00043F7B"/>
    <w:rsid w:val="000472EA"/>
    <w:rsid w:val="00055EB6"/>
    <w:rsid w:val="00056C84"/>
    <w:rsid w:val="000601AA"/>
    <w:rsid w:val="00060202"/>
    <w:rsid w:val="00061DD8"/>
    <w:rsid w:val="000705CB"/>
    <w:rsid w:val="00071A20"/>
    <w:rsid w:val="00084BB0"/>
    <w:rsid w:val="00085819"/>
    <w:rsid w:val="00095255"/>
    <w:rsid w:val="00097061"/>
    <w:rsid w:val="000A1CCD"/>
    <w:rsid w:val="000A2981"/>
    <w:rsid w:val="000A373F"/>
    <w:rsid w:val="000A5979"/>
    <w:rsid w:val="000A6F23"/>
    <w:rsid w:val="000B275C"/>
    <w:rsid w:val="000B5693"/>
    <w:rsid w:val="000D0E70"/>
    <w:rsid w:val="000D24A1"/>
    <w:rsid w:val="000D328C"/>
    <w:rsid w:val="000E0544"/>
    <w:rsid w:val="000E3D08"/>
    <w:rsid w:val="000E5D3B"/>
    <w:rsid w:val="000F4AF8"/>
    <w:rsid w:val="00102675"/>
    <w:rsid w:val="0010629E"/>
    <w:rsid w:val="0011325E"/>
    <w:rsid w:val="00117C6A"/>
    <w:rsid w:val="00120F84"/>
    <w:rsid w:val="00121AF0"/>
    <w:rsid w:val="00121D4E"/>
    <w:rsid w:val="00126B06"/>
    <w:rsid w:val="00127F03"/>
    <w:rsid w:val="0013035E"/>
    <w:rsid w:val="0013263A"/>
    <w:rsid w:val="001362B3"/>
    <w:rsid w:val="0014142F"/>
    <w:rsid w:val="0014278C"/>
    <w:rsid w:val="00157778"/>
    <w:rsid w:val="00160ED8"/>
    <w:rsid w:val="00161833"/>
    <w:rsid w:val="001626AD"/>
    <w:rsid w:val="00172737"/>
    <w:rsid w:val="00173C77"/>
    <w:rsid w:val="00173EA1"/>
    <w:rsid w:val="00175501"/>
    <w:rsid w:val="00175529"/>
    <w:rsid w:val="00175A98"/>
    <w:rsid w:val="0018059E"/>
    <w:rsid w:val="00181BA3"/>
    <w:rsid w:val="0018515E"/>
    <w:rsid w:val="001A523B"/>
    <w:rsid w:val="001A5751"/>
    <w:rsid w:val="001A7699"/>
    <w:rsid w:val="001B06CE"/>
    <w:rsid w:val="001D7328"/>
    <w:rsid w:val="001D7AE9"/>
    <w:rsid w:val="001E1F52"/>
    <w:rsid w:val="001F14E9"/>
    <w:rsid w:val="001F4DCC"/>
    <w:rsid w:val="001F5173"/>
    <w:rsid w:val="001F6691"/>
    <w:rsid w:val="00200BEB"/>
    <w:rsid w:val="002108C0"/>
    <w:rsid w:val="002116D4"/>
    <w:rsid w:val="00216A29"/>
    <w:rsid w:val="002226EC"/>
    <w:rsid w:val="00225A49"/>
    <w:rsid w:val="00226671"/>
    <w:rsid w:val="00234633"/>
    <w:rsid w:val="00235ADF"/>
    <w:rsid w:val="00240F3C"/>
    <w:rsid w:val="0024244B"/>
    <w:rsid w:val="00242D36"/>
    <w:rsid w:val="0024653D"/>
    <w:rsid w:val="0025026F"/>
    <w:rsid w:val="002516DD"/>
    <w:rsid w:val="00252A4B"/>
    <w:rsid w:val="002531C0"/>
    <w:rsid w:val="00256BC4"/>
    <w:rsid w:val="002673DB"/>
    <w:rsid w:val="00273A24"/>
    <w:rsid w:val="00276D6A"/>
    <w:rsid w:val="00284988"/>
    <w:rsid w:val="00285641"/>
    <w:rsid w:val="002A087C"/>
    <w:rsid w:val="002A119E"/>
    <w:rsid w:val="002B17B1"/>
    <w:rsid w:val="002B710A"/>
    <w:rsid w:val="002C1AC8"/>
    <w:rsid w:val="002C4049"/>
    <w:rsid w:val="002C4C98"/>
    <w:rsid w:val="002D3098"/>
    <w:rsid w:val="002D36AF"/>
    <w:rsid w:val="002D50CE"/>
    <w:rsid w:val="002D6804"/>
    <w:rsid w:val="002D69E8"/>
    <w:rsid w:val="002E0B6E"/>
    <w:rsid w:val="002E41E6"/>
    <w:rsid w:val="002E4E1D"/>
    <w:rsid w:val="002E6E34"/>
    <w:rsid w:val="002E71E0"/>
    <w:rsid w:val="002E769D"/>
    <w:rsid w:val="002F7464"/>
    <w:rsid w:val="00303322"/>
    <w:rsid w:val="003060A9"/>
    <w:rsid w:val="003064DA"/>
    <w:rsid w:val="003070D3"/>
    <w:rsid w:val="003077D3"/>
    <w:rsid w:val="00311D6E"/>
    <w:rsid w:val="00314397"/>
    <w:rsid w:val="00315C46"/>
    <w:rsid w:val="00320004"/>
    <w:rsid w:val="00327931"/>
    <w:rsid w:val="00332074"/>
    <w:rsid w:val="0033462E"/>
    <w:rsid w:val="0033547A"/>
    <w:rsid w:val="00336D62"/>
    <w:rsid w:val="00344654"/>
    <w:rsid w:val="003457B6"/>
    <w:rsid w:val="00347C87"/>
    <w:rsid w:val="00351731"/>
    <w:rsid w:val="0036426A"/>
    <w:rsid w:val="00365B1E"/>
    <w:rsid w:val="0036621E"/>
    <w:rsid w:val="00366587"/>
    <w:rsid w:val="00374494"/>
    <w:rsid w:val="00374A7B"/>
    <w:rsid w:val="0037660D"/>
    <w:rsid w:val="00376867"/>
    <w:rsid w:val="0038597D"/>
    <w:rsid w:val="00386AB8"/>
    <w:rsid w:val="00390870"/>
    <w:rsid w:val="003928E5"/>
    <w:rsid w:val="003A455B"/>
    <w:rsid w:val="003A5074"/>
    <w:rsid w:val="003A63BB"/>
    <w:rsid w:val="003B4913"/>
    <w:rsid w:val="003C1FFF"/>
    <w:rsid w:val="003C29CE"/>
    <w:rsid w:val="003C3634"/>
    <w:rsid w:val="003C7FAE"/>
    <w:rsid w:val="003D21A4"/>
    <w:rsid w:val="003E62F6"/>
    <w:rsid w:val="003E7BE0"/>
    <w:rsid w:val="003F15BF"/>
    <w:rsid w:val="00402AE8"/>
    <w:rsid w:val="004107D0"/>
    <w:rsid w:val="00416C26"/>
    <w:rsid w:val="00426A11"/>
    <w:rsid w:val="004312AF"/>
    <w:rsid w:val="0043181C"/>
    <w:rsid w:val="00431BBF"/>
    <w:rsid w:val="00433842"/>
    <w:rsid w:val="00437FF1"/>
    <w:rsid w:val="00445679"/>
    <w:rsid w:val="00452AC0"/>
    <w:rsid w:val="00454DA1"/>
    <w:rsid w:val="00461525"/>
    <w:rsid w:val="004646F1"/>
    <w:rsid w:val="00464826"/>
    <w:rsid w:val="00471695"/>
    <w:rsid w:val="00475BCE"/>
    <w:rsid w:val="004802C6"/>
    <w:rsid w:val="00481DE7"/>
    <w:rsid w:val="0049068F"/>
    <w:rsid w:val="00490F75"/>
    <w:rsid w:val="0049122D"/>
    <w:rsid w:val="00492592"/>
    <w:rsid w:val="004A2BD6"/>
    <w:rsid w:val="004A3D5C"/>
    <w:rsid w:val="004A57FB"/>
    <w:rsid w:val="004A5C3E"/>
    <w:rsid w:val="004B2EAD"/>
    <w:rsid w:val="004C0021"/>
    <w:rsid w:val="004C0FA6"/>
    <w:rsid w:val="004C5DF6"/>
    <w:rsid w:val="004C6815"/>
    <w:rsid w:val="004D36B5"/>
    <w:rsid w:val="004D5515"/>
    <w:rsid w:val="004E1EDE"/>
    <w:rsid w:val="004F0F93"/>
    <w:rsid w:val="004F15F8"/>
    <w:rsid w:val="005107A9"/>
    <w:rsid w:val="00512D3B"/>
    <w:rsid w:val="00513D0D"/>
    <w:rsid w:val="00514639"/>
    <w:rsid w:val="00514B71"/>
    <w:rsid w:val="0051692D"/>
    <w:rsid w:val="00534443"/>
    <w:rsid w:val="00544BC0"/>
    <w:rsid w:val="00550E07"/>
    <w:rsid w:val="0055650E"/>
    <w:rsid w:val="00556EAC"/>
    <w:rsid w:val="005637D5"/>
    <w:rsid w:val="0056682A"/>
    <w:rsid w:val="00576B4E"/>
    <w:rsid w:val="005864C3"/>
    <w:rsid w:val="0058778D"/>
    <w:rsid w:val="005902F5"/>
    <w:rsid w:val="00592EF7"/>
    <w:rsid w:val="00594E8B"/>
    <w:rsid w:val="005A0A89"/>
    <w:rsid w:val="005A4D15"/>
    <w:rsid w:val="005A7992"/>
    <w:rsid w:val="005B10C6"/>
    <w:rsid w:val="005B4BDD"/>
    <w:rsid w:val="005D1749"/>
    <w:rsid w:val="005D1EB8"/>
    <w:rsid w:val="005D47B2"/>
    <w:rsid w:val="005E2E71"/>
    <w:rsid w:val="005E5B8C"/>
    <w:rsid w:val="005F5CBF"/>
    <w:rsid w:val="005F68DB"/>
    <w:rsid w:val="006002FA"/>
    <w:rsid w:val="00601798"/>
    <w:rsid w:val="00616677"/>
    <w:rsid w:val="00616F5F"/>
    <w:rsid w:val="00621110"/>
    <w:rsid w:val="00621A1D"/>
    <w:rsid w:val="006258D8"/>
    <w:rsid w:val="00625F40"/>
    <w:rsid w:val="0062726E"/>
    <w:rsid w:val="00630F59"/>
    <w:rsid w:val="00631C02"/>
    <w:rsid w:val="0063490C"/>
    <w:rsid w:val="00637335"/>
    <w:rsid w:val="00637D38"/>
    <w:rsid w:val="00644E58"/>
    <w:rsid w:val="00646D2B"/>
    <w:rsid w:val="00653ADE"/>
    <w:rsid w:val="00657F02"/>
    <w:rsid w:val="006621B3"/>
    <w:rsid w:val="00663F82"/>
    <w:rsid w:val="00664583"/>
    <w:rsid w:val="006675FA"/>
    <w:rsid w:val="00675012"/>
    <w:rsid w:val="00687C0B"/>
    <w:rsid w:val="00693055"/>
    <w:rsid w:val="00694F2E"/>
    <w:rsid w:val="0069538B"/>
    <w:rsid w:val="006A09CB"/>
    <w:rsid w:val="006B3242"/>
    <w:rsid w:val="006B37B5"/>
    <w:rsid w:val="006B5FC3"/>
    <w:rsid w:val="006B7BE5"/>
    <w:rsid w:val="006C0F65"/>
    <w:rsid w:val="006D0CDB"/>
    <w:rsid w:val="006D1BCF"/>
    <w:rsid w:val="006D6983"/>
    <w:rsid w:val="006E1CE5"/>
    <w:rsid w:val="006E500D"/>
    <w:rsid w:val="006E6C99"/>
    <w:rsid w:val="007023B4"/>
    <w:rsid w:val="00702F24"/>
    <w:rsid w:val="00703961"/>
    <w:rsid w:val="00711977"/>
    <w:rsid w:val="00711BD3"/>
    <w:rsid w:val="0072338B"/>
    <w:rsid w:val="00724CF6"/>
    <w:rsid w:val="0073566B"/>
    <w:rsid w:val="00753293"/>
    <w:rsid w:val="00755044"/>
    <w:rsid w:val="00757441"/>
    <w:rsid w:val="00757A03"/>
    <w:rsid w:val="00757CB0"/>
    <w:rsid w:val="00767FF9"/>
    <w:rsid w:val="00770B9A"/>
    <w:rsid w:val="0077588D"/>
    <w:rsid w:val="007820BB"/>
    <w:rsid w:val="007934FD"/>
    <w:rsid w:val="00794F84"/>
    <w:rsid w:val="00796A07"/>
    <w:rsid w:val="007A2EEC"/>
    <w:rsid w:val="007A4BFF"/>
    <w:rsid w:val="007B013A"/>
    <w:rsid w:val="007B04E3"/>
    <w:rsid w:val="007B4D42"/>
    <w:rsid w:val="007B5396"/>
    <w:rsid w:val="007B6661"/>
    <w:rsid w:val="007C2395"/>
    <w:rsid w:val="007C3C88"/>
    <w:rsid w:val="007C4D1C"/>
    <w:rsid w:val="007C6A9B"/>
    <w:rsid w:val="007D21A5"/>
    <w:rsid w:val="007D49C6"/>
    <w:rsid w:val="007D6325"/>
    <w:rsid w:val="007D65C5"/>
    <w:rsid w:val="007E118B"/>
    <w:rsid w:val="007E177C"/>
    <w:rsid w:val="007E2B7C"/>
    <w:rsid w:val="007E6ED7"/>
    <w:rsid w:val="007F0243"/>
    <w:rsid w:val="007F21D4"/>
    <w:rsid w:val="007F7543"/>
    <w:rsid w:val="0080091E"/>
    <w:rsid w:val="00804DAE"/>
    <w:rsid w:val="00813FAD"/>
    <w:rsid w:val="00814F0E"/>
    <w:rsid w:val="00817AD1"/>
    <w:rsid w:val="008216A7"/>
    <w:rsid w:val="00821982"/>
    <w:rsid w:val="00822199"/>
    <w:rsid w:val="00833F4C"/>
    <w:rsid w:val="00841512"/>
    <w:rsid w:val="00842121"/>
    <w:rsid w:val="008448A6"/>
    <w:rsid w:val="00847F94"/>
    <w:rsid w:val="00851609"/>
    <w:rsid w:val="00860607"/>
    <w:rsid w:val="00870D04"/>
    <w:rsid w:val="00872037"/>
    <w:rsid w:val="00883A10"/>
    <w:rsid w:val="00885205"/>
    <w:rsid w:val="00891233"/>
    <w:rsid w:val="00891ABF"/>
    <w:rsid w:val="00893780"/>
    <w:rsid w:val="00895BE6"/>
    <w:rsid w:val="008A10C7"/>
    <w:rsid w:val="008A22C5"/>
    <w:rsid w:val="008A353D"/>
    <w:rsid w:val="008A7A8B"/>
    <w:rsid w:val="008B05E6"/>
    <w:rsid w:val="008B60EA"/>
    <w:rsid w:val="008B6C5C"/>
    <w:rsid w:val="008B7928"/>
    <w:rsid w:val="008B7EAA"/>
    <w:rsid w:val="008C13B0"/>
    <w:rsid w:val="008C5776"/>
    <w:rsid w:val="008C594A"/>
    <w:rsid w:val="008C7089"/>
    <w:rsid w:val="008E6DA2"/>
    <w:rsid w:val="008F20F4"/>
    <w:rsid w:val="008F3BE6"/>
    <w:rsid w:val="00900194"/>
    <w:rsid w:val="00902282"/>
    <w:rsid w:val="00911C79"/>
    <w:rsid w:val="009128A4"/>
    <w:rsid w:val="00913414"/>
    <w:rsid w:val="0091381A"/>
    <w:rsid w:val="00914F1B"/>
    <w:rsid w:val="00923B96"/>
    <w:rsid w:val="00924980"/>
    <w:rsid w:val="00940C45"/>
    <w:rsid w:val="00943B23"/>
    <w:rsid w:val="0095325A"/>
    <w:rsid w:val="00953533"/>
    <w:rsid w:val="00953D38"/>
    <w:rsid w:val="0096172C"/>
    <w:rsid w:val="009658FD"/>
    <w:rsid w:val="009713AE"/>
    <w:rsid w:val="00971916"/>
    <w:rsid w:val="009762B4"/>
    <w:rsid w:val="009839FC"/>
    <w:rsid w:val="009859FD"/>
    <w:rsid w:val="00987F29"/>
    <w:rsid w:val="00996335"/>
    <w:rsid w:val="00996ABC"/>
    <w:rsid w:val="00996F72"/>
    <w:rsid w:val="009A0FAE"/>
    <w:rsid w:val="009A10B9"/>
    <w:rsid w:val="009A29B9"/>
    <w:rsid w:val="009A3B07"/>
    <w:rsid w:val="009A44A4"/>
    <w:rsid w:val="009A465D"/>
    <w:rsid w:val="009A52D0"/>
    <w:rsid w:val="009A6D33"/>
    <w:rsid w:val="009A7018"/>
    <w:rsid w:val="009B60B2"/>
    <w:rsid w:val="009C1927"/>
    <w:rsid w:val="009D4DCD"/>
    <w:rsid w:val="009E32F0"/>
    <w:rsid w:val="009E3560"/>
    <w:rsid w:val="009E5A45"/>
    <w:rsid w:val="009E7DF2"/>
    <w:rsid w:val="009F07D7"/>
    <w:rsid w:val="009F3A86"/>
    <w:rsid w:val="00A05DCE"/>
    <w:rsid w:val="00A1079C"/>
    <w:rsid w:val="00A309DE"/>
    <w:rsid w:val="00A4649C"/>
    <w:rsid w:val="00A515CF"/>
    <w:rsid w:val="00A54B30"/>
    <w:rsid w:val="00A54B32"/>
    <w:rsid w:val="00A714CA"/>
    <w:rsid w:val="00A718F6"/>
    <w:rsid w:val="00A75204"/>
    <w:rsid w:val="00A76C94"/>
    <w:rsid w:val="00A87B15"/>
    <w:rsid w:val="00A87E34"/>
    <w:rsid w:val="00A93410"/>
    <w:rsid w:val="00A9376A"/>
    <w:rsid w:val="00A971F5"/>
    <w:rsid w:val="00AA27CD"/>
    <w:rsid w:val="00AA37C1"/>
    <w:rsid w:val="00AA7AE2"/>
    <w:rsid w:val="00AB67DB"/>
    <w:rsid w:val="00AC3D07"/>
    <w:rsid w:val="00AC6290"/>
    <w:rsid w:val="00AD0A7F"/>
    <w:rsid w:val="00AD1B92"/>
    <w:rsid w:val="00AD4739"/>
    <w:rsid w:val="00AD5524"/>
    <w:rsid w:val="00AE32A0"/>
    <w:rsid w:val="00AF3EC5"/>
    <w:rsid w:val="00AF4C4F"/>
    <w:rsid w:val="00B01F11"/>
    <w:rsid w:val="00B030EB"/>
    <w:rsid w:val="00B11E04"/>
    <w:rsid w:val="00B17E36"/>
    <w:rsid w:val="00B26966"/>
    <w:rsid w:val="00B35BAB"/>
    <w:rsid w:val="00B420CD"/>
    <w:rsid w:val="00B55443"/>
    <w:rsid w:val="00B5706E"/>
    <w:rsid w:val="00B6036A"/>
    <w:rsid w:val="00B70C93"/>
    <w:rsid w:val="00B7343B"/>
    <w:rsid w:val="00B76A29"/>
    <w:rsid w:val="00B774DC"/>
    <w:rsid w:val="00B917E2"/>
    <w:rsid w:val="00B943E9"/>
    <w:rsid w:val="00BA0A33"/>
    <w:rsid w:val="00BA5E71"/>
    <w:rsid w:val="00BB3363"/>
    <w:rsid w:val="00BB64C1"/>
    <w:rsid w:val="00BD39D4"/>
    <w:rsid w:val="00BE1164"/>
    <w:rsid w:val="00BE12B6"/>
    <w:rsid w:val="00BE14DB"/>
    <w:rsid w:val="00BF4A8C"/>
    <w:rsid w:val="00BF5B96"/>
    <w:rsid w:val="00BF7859"/>
    <w:rsid w:val="00C073F5"/>
    <w:rsid w:val="00C107EC"/>
    <w:rsid w:val="00C13D48"/>
    <w:rsid w:val="00C15A2F"/>
    <w:rsid w:val="00C201EC"/>
    <w:rsid w:val="00C227C2"/>
    <w:rsid w:val="00C347FA"/>
    <w:rsid w:val="00C40289"/>
    <w:rsid w:val="00C4208B"/>
    <w:rsid w:val="00C4722C"/>
    <w:rsid w:val="00C5158C"/>
    <w:rsid w:val="00C549BE"/>
    <w:rsid w:val="00C55F3D"/>
    <w:rsid w:val="00C60E36"/>
    <w:rsid w:val="00C67C82"/>
    <w:rsid w:val="00C731C9"/>
    <w:rsid w:val="00C74FED"/>
    <w:rsid w:val="00C76A55"/>
    <w:rsid w:val="00C81D69"/>
    <w:rsid w:val="00C826BA"/>
    <w:rsid w:val="00C846E1"/>
    <w:rsid w:val="00C860B3"/>
    <w:rsid w:val="00C92A77"/>
    <w:rsid w:val="00C9338E"/>
    <w:rsid w:val="00CA0143"/>
    <w:rsid w:val="00CA09E4"/>
    <w:rsid w:val="00CA3130"/>
    <w:rsid w:val="00CA71AD"/>
    <w:rsid w:val="00CB566F"/>
    <w:rsid w:val="00CC48DA"/>
    <w:rsid w:val="00CC6357"/>
    <w:rsid w:val="00CC7C0F"/>
    <w:rsid w:val="00CD45F9"/>
    <w:rsid w:val="00CF000A"/>
    <w:rsid w:val="00CF12CD"/>
    <w:rsid w:val="00CF2FCA"/>
    <w:rsid w:val="00CF3D1C"/>
    <w:rsid w:val="00CF4AE9"/>
    <w:rsid w:val="00D02DCA"/>
    <w:rsid w:val="00D04637"/>
    <w:rsid w:val="00D11307"/>
    <w:rsid w:val="00D11F3C"/>
    <w:rsid w:val="00D20AC9"/>
    <w:rsid w:val="00D33BDC"/>
    <w:rsid w:val="00D34C53"/>
    <w:rsid w:val="00D474A0"/>
    <w:rsid w:val="00D50AFF"/>
    <w:rsid w:val="00D52BBA"/>
    <w:rsid w:val="00D52FB8"/>
    <w:rsid w:val="00D54A81"/>
    <w:rsid w:val="00D61302"/>
    <w:rsid w:val="00D628E1"/>
    <w:rsid w:val="00D650BA"/>
    <w:rsid w:val="00D67121"/>
    <w:rsid w:val="00D70438"/>
    <w:rsid w:val="00D75EFC"/>
    <w:rsid w:val="00D76BA4"/>
    <w:rsid w:val="00D80832"/>
    <w:rsid w:val="00D90137"/>
    <w:rsid w:val="00D91FAE"/>
    <w:rsid w:val="00D95C7B"/>
    <w:rsid w:val="00D95CDA"/>
    <w:rsid w:val="00DA02C7"/>
    <w:rsid w:val="00DA0537"/>
    <w:rsid w:val="00DA0584"/>
    <w:rsid w:val="00DA175E"/>
    <w:rsid w:val="00DA3A38"/>
    <w:rsid w:val="00DA6154"/>
    <w:rsid w:val="00DB3B56"/>
    <w:rsid w:val="00DB6C1D"/>
    <w:rsid w:val="00DC1BE7"/>
    <w:rsid w:val="00DC4E6B"/>
    <w:rsid w:val="00DC682A"/>
    <w:rsid w:val="00DD0584"/>
    <w:rsid w:val="00DD5F4C"/>
    <w:rsid w:val="00DE609A"/>
    <w:rsid w:val="00DF0B77"/>
    <w:rsid w:val="00DF2560"/>
    <w:rsid w:val="00DF2A0B"/>
    <w:rsid w:val="00DF77C3"/>
    <w:rsid w:val="00DF7BFE"/>
    <w:rsid w:val="00E02439"/>
    <w:rsid w:val="00E1025E"/>
    <w:rsid w:val="00E23FE1"/>
    <w:rsid w:val="00E26430"/>
    <w:rsid w:val="00E30625"/>
    <w:rsid w:val="00E3165A"/>
    <w:rsid w:val="00E37EEF"/>
    <w:rsid w:val="00E416F7"/>
    <w:rsid w:val="00E4329A"/>
    <w:rsid w:val="00E51051"/>
    <w:rsid w:val="00E52787"/>
    <w:rsid w:val="00E67F25"/>
    <w:rsid w:val="00E865A8"/>
    <w:rsid w:val="00E87428"/>
    <w:rsid w:val="00E929D8"/>
    <w:rsid w:val="00E957F0"/>
    <w:rsid w:val="00E95B6D"/>
    <w:rsid w:val="00EA0F36"/>
    <w:rsid w:val="00EA3928"/>
    <w:rsid w:val="00EB337D"/>
    <w:rsid w:val="00EB6738"/>
    <w:rsid w:val="00ED7DA9"/>
    <w:rsid w:val="00ED7EE1"/>
    <w:rsid w:val="00EF1434"/>
    <w:rsid w:val="00EF36FF"/>
    <w:rsid w:val="00EF4440"/>
    <w:rsid w:val="00EF759D"/>
    <w:rsid w:val="00EF76F0"/>
    <w:rsid w:val="00F05232"/>
    <w:rsid w:val="00F14841"/>
    <w:rsid w:val="00F23042"/>
    <w:rsid w:val="00F2533A"/>
    <w:rsid w:val="00F359C4"/>
    <w:rsid w:val="00F378CE"/>
    <w:rsid w:val="00F415CD"/>
    <w:rsid w:val="00F4454E"/>
    <w:rsid w:val="00F44857"/>
    <w:rsid w:val="00F465CD"/>
    <w:rsid w:val="00F55BA4"/>
    <w:rsid w:val="00F57762"/>
    <w:rsid w:val="00F6086C"/>
    <w:rsid w:val="00F66AEF"/>
    <w:rsid w:val="00F730DC"/>
    <w:rsid w:val="00F75039"/>
    <w:rsid w:val="00F808EB"/>
    <w:rsid w:val="00F85B40"/>
    <w:rsid w:val="00F92521"/>
    <w:rsid w:val="00F946A8"/>
    <w:rsid w:val="00FA3995"/>
    <w:rsid w:val="00FB04E9"/>
    <w:rsid w:val="00FB1522"/>
    <w:rsid w:val="00FC0384"/>
    <w:rsid w:val="00FD09A4"/>
    <w:rsid w:val="00FE15A9"/>
    <w:rsid w:val="00FE1DCF"/>
    <w:rsid w:val="00FE783A"/>
    <w:rsid w:val="00FE7875"/>
    <w:rsid w:val="00FF6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35170">
      <o:colormru v:ext="edit" colors="#f30,#ff1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A10"/>
    <w:pPr>
      <w:widowControl w:val="0"/>
      <w:spacing w:line="560" w:lineRule="exact"/>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6A29"/>
    <w:pPr>
      <w:ind w:firstLine="640"/>
    </w:pPr>
    <w:rPr>
      <w:rFonts w:ascii="仿宋_GB2312" w:eastAsia="仿宋_GB2312"/>
      <w:sz w:val="32"/>
      <w:szCs w:val="30"/>
    </w:rPr>
  </w:style>
  <w:style w:type="paragraph" w:styleId="a4">
    <w:name w:val="Date"/>
    <w:basedOn w:val="a"/>
    <w:next w:val="a"/>
    <w:rsid w:val="009839FC"/>
    <w:pPr>
      <w:ind w:leftChars="2500" w:left="100"/>
    </w:pPr>
  </w:style>
  <w:style w:type="paragraph" w:styleId="a5">
    <w:name w:val="footer"/>
    <w:basedOn w:val="a"/>
    <w:rsid w:val="00A971F5"/>
    <w:pPr>
      <w:tabs>
        <w:tab w:val="center" w:pos="4153"/>
        <w:tab w:val="right" w:pos="8306"/>
      </w:tabs>
      <w:snapToGrid w:val="0"/>
      <w:jc w:val="left"/>
    </w:pPr>
    <w:rPr>
      <w:sz w:val="18"/>
      <w:szCs w:val="18"/>
    </w:rPr>
  </w:style>
  <w:style w:type="character" w:styleId="a6">
    <w:name w:val="page number"/>
    <w:basedOn w:val="a0"/>
    <w:rsid w:val="00A971F5"/>
  </w:style>
  <w:style w:type="paragraph" w:styleId="2">
    <w:name w:val="Body Text Indent 2"/>
    <w:basedOn w:val="a"/>
    <w:rsid w:val="009C1927"/>
    <w:pPr>
      <w:spacing w:after="120" w:line="480" w:lineRule="auto"/>
      <w:ind w:leftChars="200" w:left="420"/>
    </w:pPr>
  </w:style>
  <w:style w:type="paragraph" w:customStyle="1" w:styleId="Char1">
    <w:name w:val="Char1"/>
    <w:basedOn w:val="a"/>
    <w:autoRedefine/>
    <w:rsid w:val="00630F59"/>
    <w:rPr>
      <w:rFonts w:ascii="仿宋_GB2312" w:eastAsia="仿宋_GB2312"/>
      <w:b/>
      <w:sz w:val="32"/>
      <w:szCs w:val="32"/>
    </w:rPr>
  </w:style>
  <w:style w:type="paragraph" w:customStyle="1" w:styleId="CharCharCharChar4">
    <w:name w:val="Char Char Char Char4"/>
    <w:basedOn w:val="a7"/>
    <w:rsid w:val="00433842"/>
    <w:pPr>
      <w:adjustRightInd w:val="0"/>
      <w:spacing w:line="436" w:lineRule="exact"/>
      <w:ind w:left="357"/>
      <w:jc w:val="left"/>
      <w:outlineLvl w:val="3"/>
    </w:pPr>
  </w:style>
  <w:style w:type="paragraph" w:styleId="a7">
    <w:name w:val="Document Map"/>
    <w:basedOn w:val="a"/>
    <w:semiHidden/>
    <w:rsid w:val="00433842"/>
    <w:pPr>
      <w:shd w:val="clear" w:color="auto" w:fill="000080"/>
    </w:pPr>
  </w:style>
  <w:style w:type="paragraph" w:customStyle="1" w:styleId="CharCharCharCharCharCharCharCharChar1Char">
    <w:name w:val="Char Char Char Char Char Char Char Char Char1 Char"/>
    <w:basedOn w:val="a"/>
    <w:rsid w:val="003C7FAE"/>
    <w:rPr>
      <w:rFonts w:ascii="宋体" w:hAnsi="宋体" w:cs="Courier New"/>
      <w:sz w:val="32"/>
      <w:szCs w:val="32"/>
    </w:rPr>
  </w:style>
  <w:style w:type="paragraph" w:customStyle="1" w:styleId="CharCharCharChar1">
    <w:name w:val="Char Char Char Char1"/>
    <w:basedOn w:val="a"/>
    <w:rsid w:val="00814F0E"/>
    <w:rPr>
      <w:rFonts w:ascii="宋体" w:hAnsi="宋体" w:cs="宋体"/>
      <w:sz w:val="32"/>
      <w:szCs w:val="32"/>
    </w:rPr>
  </w:style>
  <w:style w:type="character" w:styleId="a8">
    <w:name w:val="annotation reference"/>
    <w:basedOn w:val="a0"/>
    <w:rsid w:val="00240F3C"/>
    <w:rPr>
      <w:sz w:val="21"/>
      <w:szCs w:val="21"/>
    </w:rPr>
  </w:style>
  <w:style w:type="paragraph" w:customStyle="1" w:styleId="CharCharCharChar">
    <w:name w:val="Char Char Char Char"/>
    <w:basedOn w:val="a"/>
    <w:rsid w:val="009A7018"/>
    <w:pPr>
      <w:widowControl/>
      <w:spacing w:after="160" w:line="240" w:lineRule="exact"/>
      <w:jc w:val="left"/>
    </w:pPr>
    <w:rPr>
      <w:rFonts w:ascii="Tahoma" w:hAnsi="Tahoma"/>
      <w:kern w:val="0"/>
      <w:sz w:val="20"/>
      <w:szCs w:val="20"/>
      <w:lang w:eastAsia="en-US"/>
    </w:rPr>
  </w:style>
  <w:style w:type="paragraph" w:styleId="a9">
    <w:name w:val="Plain Text"/>
    <w:basedOn w:val="a"/>
    <w:rsid w:val="00A87E34"/>
    <w:rPr>
      <w:rFonts w:ascii="宋体" w:hAnsi="Courier New" w:cs="Courier New"/>
      <w:szCs w:val="21"/>
    </w:rPr>
  </w:style>
  <w:style w:type="paragraph" w:customStyle="1" w:styleId="00">
    <w:name w:val="00表格文字"/>
    <w:basedOn w:val="a"/>
    <w:rsid w:val="00A87E34"/>
    <w:pPr>
      <w:spacing w:beforeLines="50"/>
      <w:jc w:val="center"/>
    </w:pPr>
    <w:rPr>
      <w:rFonts w:ascii="仿宋_GB2312" w:eastAsia="仿宋_GB2312" w:hAnsi="宋体"/>
      <w:b/>
      <w:sz w:val="24"/>
    </w:rPr>
  </w:style>
  <w:style w:type="paragraph" w:customStyle="1" w:styleId="000">
    <w:name w:val="00表格下文字"/>
    <w:basedOn w:val="a"/>
    <w:rsid w:val="00A87E34"/>
    <w:rPr>
      <w:rFonts w:ascii="宋体" w:hAnsi="宋体"/>
      <w:bCs/>
      <w:color w:val="000000"/>
      <w:kern w:val="0"/>
      <w:sz w:val="18"/>
      <w:szCs w:val="18"/>
    </w:rPr>
  </w:style>
  <w:style w:type="paragraph" w:styleId="aa">
    <w:name w:val="Normal (Web)"/>
    <w:basedOn w:val="a"/>
    <w:rsid w:val="00336D62"/>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8C13B0"/>
    <w:rPr>
      <w:sz w:val="18"/>
      <w:szCs w:val="18"/>
    </w:rPr>
  </w:style>
  <w:style w:type="character" w:customStyle="1" w:styleId="Char">
    <w:name w:val="批注框文本 Char"/>
    <w:basedOn w:val="a0"/>
    <w:link w:val="ab"/>
    <w:rsid w:val="008C13B0"/>
    <w:rPr>
      <w:kern w:val="2"/>
      <w:sz w:val="18"/>
      <w:szCs w:val="18"/>
    </w:rPr>
  </w:style>
</w:styles>
</file>

<file path=word/webSettings.xml><?xml version="1.0" encoding="utf-8"?>
<w:webSettings xmlns:r="http://schemas.openxmlformats.org/officeDocument/2006/relationships" xmlns:w="http://schemas.openxmlformats.org/wordprocessingml/2006/main">
  <w:divs>
    <w:div w:id="76102285">
      <w:bodyDiv w:val="1"/>
      <w:marLeft w:val="0"/>
      <w:marRight w:val="0"/>
      <w:marTop w:val="0"/>
      <w:marBottom w:val="0"/>
      <w:divBdr>
        <w:top w:val="none" w:sz="0" w:space="0" w:color="auto"/>
        <w:left w:val="none" w:sz="0" w:space="0" w:color="auto"/>
        <w:bottom w:val="none" w:sz="0" w:space="0" w:color="auto"/>
        <w:right w:val="none" w:sz="0" w:space="0" w:color="auto"/>
      </w:divBdr>
    </w:div>
    <w:div w:id="86774047">
      <w:bodyDiv w:val="1"/>
      <w:marLeft w:val="0"/>
      <w:marRight w:val="0"/>
      <w:marTop w:val="0"/>
      <w:marBottom w:val="0"/>
      <w:divBdr>
        <w:top w:val="none" w:sz="0" w:space="0" w:color="auto"/>
        <w:left w:val="none" w:sz="0" w:space="0" w:color="auto"/>
        <w:bottom w:val="none" w:sz="0" w:space="0" w:color="auto"/>
        <w:right w:val="none" w:sz="0" w:space="0" w:color="auto"/>
      </w:divBdr>
    </w:div>
    <w:div w:id="276572346">
      <w:bodyDiv w:val="1"/>
      <w:marLeft w:val="0"/>
      <w:marRight w:val="0"/>
      <w:marTop w:val="0"/>
      <w:marBottom w:val="0"/>
      <w:divBdr>
        <w:top w:val="none" w:sz="0" w:space="0" w:color="auto"/>
        <w:left w:val="none" w:sz="0" w:space="0" w:color="auto"/>
        <w:bottom w:val="none" w:sz="0" w:space="0" w:color="auto"/>
        <w:right w:val="none" w:sz="0" w:space="0" w:color="auto"/>
      </w:divBdr>
    </w:div>
    <w:div w:id="310335481">
      <w:bodyDiv w:val="1"/>
      <w:marLeft w:val="0"/>
      <w:marRight w:val="0"/>
      <w:marTop w:val="0"/>
      <w:marBottom w:val="0"/>
      <w:divBdr>
        <w:top w:val="none" w:sz="0" w:space="0" w:color="auto"/>
        <w:left w:val="none" w:sz="0" w:space="0" w:color="auto"/>
        <w:bottom w:val="none" w:sz="0" w:space="0" w:color="auto"/>
        <w:right w:val="none" w:sz="0" w:space="0" w:color="auto"/>
      </w:divBdr>
    </w:div>
    <w:div w:id="867911927">
      <w:bodyDiv w:val="1"/>
      <w:marLeft w:val="0"/>
      <w:marRight w:val="0"/>
      <w:marTop w:val="0"/>
      <w:marBottom w:val="0"/>
      <w:divBdr>
        <w:top w:val="none" w:sz="0" w:space="0" w:color="auto"/>
        <w:left w:val="none" w:sz="0" w:space="0" w:color="auto"/>
        <w:bottom w:val="none" w:sz="0" w:space="0" w:color="auto"/>
        <w:right w:val="none" w:sz="0" w:space="0" w:color="auto"/>
      </w:divBdr>
    </w:div>
    <w:div w:id="1132331368">
      <w:bodyDiv w:val="1"/>
      <w:marLeft w:val="0"/>
      <w:marRight w:val="0"/>
      <w:marTop w:val="0"/>
      <w:marBottom w:val="0"/>
      <w:divBdr>
        <w:top w:val="none" w:sz="0" w:space="0" w:color="auto"/>
        <w:left w:val="none" w:sz="0" w:space="0" w:color="auto"/>
        <w:bottom w:val="none" w:sz="0" w:space="0" w:color="auto"/>
        <w:right w:val="none" w:sz="0" w:space="0" w:color="auto"/>
      </w:divBdr>
    </w:div>
    <w:div w:id="1328359104">
      <w:bodyDiv w:val="1"/>
      <w:marLeft w:val="0"/>
      <w:marRight w:val="0"/>
      <w:marTop w:val="0"/>
      <w:marBottom w:val="0"/>
      <w:divBdr>
        <w:top w:val="none" w:sz="0" w:space="0" w:color="auto"/>
        <w:left w:val="none" w:sz="0" w:space="0" w:color="auto"/>
        <w:bottom w:val="none" w:sz="0" w:space="0" w:color="auto"/>
        <w:right w:val="none" w:sz="0" w:space="0" w:color="auto"/>
      </w:divBdr>
    </w:div>
    <w:div w:id="1375735136">
      <w:bodyDiv w:val="1"/>
      <w:marLeft w:val="0"/>
      <w:marRight w:val="0"/>
      <w:marTop w:val="0"/>
      <w:marBottom w:val="0"/>
      <w:divBdr>
        <w:top w:val="none" w:sz="0" w:space="0" w:color="auto"/>
        <w:left w:val="none" w:sz="0" w:space="0" w:color="auto"/>
        <w:bottom w:val="none" w:sz="0" w:space="0" w:color="auto"/>
        <w:right w:val="none" w:sz="0" w:space="0" w:color="auto"/>
      </w:divBdr>
    </w:div>
    <w:div w:id="1629629510">
      <w:bodyDiv w:val="1"/>
      <w:marLeft w:val="0"/>
      <w:marRight w:val="0"/>
      <w:marTop w:val="0"/>
      <w:marBottom w:val="0"/>
      <w:divBdr>
        <w:top w:val="none" w:sz="0" w:space="0" w:color="auto"/>
        <w:left w:val="none" w:sz="0" w:space="0" w:color="auto"/>
        <w:bottom w:val="none" w:sz="0" w:space="0" w:color="auto"/>
        <w:right w:val="none" w:sz="0" w:space="0" w:color="auto"/>
      </w:divBdr>
    </w:div>
    <w:div w:id="1721899455">
      <w:bodyDiv w:val="1"/>
      <w:marLeft w:val="0"/>
      <w:marRight w:val="0"/>
      <w:marTop w:val="0"/>
      <w:marBottom w:val="0"/>
      <w:divBdr>
        <w:top w:val="none" w:sz="0" w:space="0" w:color="auto"/>
        <w:left w:val="none" w:sz="0" w:space="0" w:color="auto"/>
        <w:bottom w:val="none" w:sz="0" w:space="0" w:color="auto"/>
        <w:right w:val="none" w:sz="0" w:space="0" w:color="auto"/>
      </w:divBdr>
    </w:div>
    <w:div w:id="19450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39759;&#23376;&#22025;\&#32479;&#35745;&#30417;&#27979;\&#32479;&#35745;&#20844;&#25253;\2015\&#2227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E:\&#39759;&#23376;&#22025;\&#32479;&#35745;&#30417;&#27979;\&#32479;&#35745;&#20844;&#25253;\2015\&#2227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39759;&#23376;&#22025;\&#32479;&#35745;&#30417;&#27979;\&#32479;&#35745;&#20844;&#25253;\2015\&#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39759;&#23376;&#22025;\&#32479;&#35745;&#30417;&#27979;\&#32479;&#35745;&#20844;&#25253;\2015\&#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9759;&#23376;&#22025;\&#32479;&#35745;&#30417;&#27979;\&#32479;&#35745;&#20844;&#25253;\2015\&#2227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39759;&#23376;&#22025;\&#32479;&#35745;&#30417;&#27979;\&#32479;&#35745;&#20844;&#25253;\2015\&#2227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39759;&#23376;&#22025;\&#32479;&#35745;&#30417;&#27979;\&#32479;&#35745;&#20844;&#25253;\2015\&#2227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39759;&#23376;&#22025;\&#32479;&#35745;&#30417;&#27979;\&#32479;&#35745;&#20844;&#25253;\2015\&#2227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39759;&#23376;&#22025;\&#32479;&#35745;&#30417;&#27979;\&#32479;&#35745;&#20844;&#25253;\2015\&#2227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39759;&#23376;&#22025;\&#32479;&#35745;&#30417;&#27979;\&#32479;&#35745;&#20844;&#25253;\2015\&#2227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39759;&#23376;&#22025;\&#32479;&#35745;&#30417;&#27979;\&#32479;&#35745;&#20844;&#25253;\2015\&#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55857392825913"/>
          <c:y val="8.4744168214928278E-2"/>
          <c:w val="0.86385870516185481"/>
          <c:h val="0.70989117933292045"/>
        </c:manualLayout>
      </c:layout>
      <c:barChart>
        <c:barDir val="col"/>
        <c:grouping val="clustered"/>
        <c:ser>
          <c:idx val="0"/>
          <c:order val="0"/>
          <c:tx>
            <c:strRef>
              <c:f>Sheet1!$H$3</c:f>
              <c:strCache>
                <c:ptCount val="1"/>
                <c:pt idx="0">
                  <c:v>常住人口</c:v>
                </c:pt>
              </c:strCache>
            </c:strRef>
          </c:tx>
          <c:dPt>
            <c:idx val="0"/>
            <c:spPr>
              <a:solidFill>
                <a:srgbClr val="1F497D">
                  <a:lumMod val="40000"/>
                  <a:lumOff val="60000"/>
                </a:srgbClr>
              </a:solidFill>
            </c:spPr>
          </c:dPt>
          <c:dPt>
            <c:idx val="1"/>
            <c:spPr>
              <a:solidFill>
                <a:srgbClr val="1F497D">
                  <a:lumMod val="40000"/>
                  <a:lumOff val="60000"/>
                </a:srgbClr>
              </a:solidFill>
            </c:spPr>
          </c:dPt>
          <c:dPt>
            <c:idx val="2"/>
            <c:spPr>
              <a:solidFill>
                <a:srgbClr val="1F497D">
                  <a:lumMod val="40000"/>
                  <a:lumOff val="60000"/>
                </a:srgbClr>
              </a:solidFill>
            </c:spPr>
          </c:dPt>
          <c:dPt>
            <c:idx val="3"/>
            <c:spPr>
              <a:solidFill>
                <a:srgbClr val="1F497D">
                  <a:lumMod val="40000"/>
                  <a:lumOff val="60000"/>
                </a:srgbClr>
              </a:solidFill>
            </c:spPr>
          </c:dPt>
          <c:dPt>
            <c:idx val="4"/>
            <c:spPr>
              <a:solidFill>
                <a:srgbClr val="1F497D">
                  <a:lumMod val="40000"/>
                  <a:lumOff val="60000"/>
                </a:srgbClr>
              </a:solidFill>
            </c:spPr>
          </c:dPt>
          <c:dPt>
            <c:idx val="5"/>
            <c:spPr>
              <a:solidFill>
                <a:srgbClr val="1F497D">
                  <a:lumMod val="40000"/>
                  <a:lumOff val="60000"/>
                </a:srgbClr>
              </a:solidFill>
            </c:spPr>
          </c:dPt>
          <c:dLbls>
            <c:dLbl>
              <c:idx val="0"/>
              <c:tx>
                <c:rich>
                  <a:bodyPr/>
                  <a:lstStyle/>
                  <a:p>
                    <a:r>
                      <a:rPr lang="en-US" altLang="en-US" sz="1100" b="1">
                        <a:latin typeface="Times New Roman" pitchFamily="18" charset="0"/>
                        <a:cs typeface="Times New Roman" pitchFamily="18" charset="0"/>
                      </a:rPr>
                      <a:t>91.0</a:t>
                    </a:r>
                  </a:p>
                </c:rich>
              </c:tx>
              <c:dLblPos val="inEnd"/>
              <c:showVal val="1"/>
            </c:dLbl>
            <c:dLbl>
              <c:idx val="1"/>
              <c:numFmt formatCode="#,##0.0_);[Red]\(#,##0.0\)" sourceLinked="0"/>
              <c:spPr/>
              <c:txPr>
                <a:bodyPr/>
                <a:lstStyle/>
                <a:p>
                  <a:pPr>
                    <a:defRPr lang="en-US" altLang="en-US" sz="1100" b="1" i="0" u="none" strike="noStrike" kern="1200" baseline="0">
                      <a:solidFill>
                        <a:sysClr val="windowText" lastClr="000000"/>
                      </a:solidFill>
                      <a:latin typeface="Times New Roman" pitchFamily="18" charset="0"/>
                      <a:ea typeface="+mn-ea"/>
                      <a:cs typeface="Times New Roman" pitchFamily="18" charset="0"/>
                    </a:defRPr>
                  </a:pPr>
                  <a:endParaRPr lang="zh-CN"/>
                </a:p>
              </c:txPr>
            </c:dLbl>
            <c:dLbl>
              <c:idx val="2"/>
              <c:numFmt formatCode="#,##0.0_);[Red]\(#,##0.0\)" sourceLinked="0"/>
              <c:spPr/>
              <c:txPr>
                <a:bodyPr/>
                <a:lstStyle/>
                <a:p>
                  <a:pPr>
                    <a:defRPr lang="en-US" altLang="en-US" sz="1100" b="1" i="0" u="none" strike="noStrike" kern="1200" baseline="0">
                      <a:solidFill>
                        <a:sysClr val="windowText" lastClr="000000"/>
                      </a:solidFill>
                      <a:latin typeface="Times New Roman" pitchFamily="18" charset="0"/>
                      <a:ea typeface="+mn-ea"/>
                      <a:cs typeface="Times New Roman" pitchFamily="18" charset="0"/>
                    </a:defRPr>
                  </a:pPr>
                  <a:endParaRPr lang="zh-CN"/>
                </a:p>
              </c:txPr>
            </c:dLbl>
            <c:dLbl>
              <c:idx val="3"/>
              <c:numFmt formatCode="#,##0.0_);[Red]\(#,##0.0\)" sourceLinked="0"/>
              <c:spPr/>
              <c:txPr>
                <a:bodyPr/>
                <a:lstStyle/>
                <a:p>
                  <a:pPr>
                    <a:defRPr lang="en-US" altLang="en-US" sz="1100" b="1" i="0" u="none" strike="noStrike" kern="1200" baseline="0">
                      <a:solidFill>
                        <a:sysClr val="windowText" lastClr="000000"/>
                      </a:solidFill>
                      <a:latin typeface="Times New Roman" pitchFamily="18" charset="0"/>
                      <a:ea typeface="+mn-ea"/>
                      <a:cs typeface="Times New Roman" pitchFamily="18" charset="0"/>
                    </a:defRPr>
                  </a:pPr>
                  <a:endParaRPr lang="zh-CN"/>
                </a:p>
              </c:txPr>
            </c:dLbl>
            <c:dLbl>
              <c:idx val="4"/>
              <c:numFmt formatCode="#,##0.0_);[Red]\(#,##0.0\)" sourceLinked="0"/>
              <c:spPr/>
              <c:txPr>
                <a:bodyPr/>
                <a:lstStyle/>
                <a:p>
                  <a:pPr>
                    <a:defRPr lang="en-US" altLang="en-US" sz="1100" b="1" i="0" u="none" strike="noStrike" kern="1200" baseline="0">
                      <a:solidFill>
                        <a:sysClr val="windowText" lastClr="000000"/>
                      </a:solidFill>
                      <a:latin typeface="Times New Roman" pitchFamily="18" charset="0"/>
                      <a:ea typeface="+mn-ea"/>
                      <a:cs typeface="Times New Roman" pitchFamily="18" charset="0"/>
                    </a:defRPr>
                  </a:pPr>
                  <a:endParaRPr lang="zh-CN"/>
                </a:p>
              </c:txPr>
            </c:dLbl>
            <c:dLbl>
              <c:idx val="5"/>
              <c:tx>
                <c:rich>
                  <a:bodyPr/>
                  <a:lstStyle/>
                  <a:p>
                    <a:r>
                      <a:rPr lang="en-US" altLang="en-US" sz="1100" b="1">
                        <a:latin typeface="Times New Roman" pitchFamily="18" charset="0"/>
                        <a:cs typeface="Times New Roman" pitchFamily="18" charset="0"/>
                      </a:rPr>
                      <a:t>87.8</a:t>
                    </a:r>
                    <a:r>
                      <a:rPr lang="en-US" altLang="en-US"/>
                      <a:t> </a:t>
                    </a:r>
                  </a:p>
                </c:rich>
              </c:tx>
              <c:dLblPos val="inEnd"/>
              <c:showVal val="1"/>
            </c:dLbl>
            <c:numFmt formatCode="#,##0.0_);[Red]\(#,##0.0\)" sourceLinked="0"/>
            <c:dLblPos val="inEnd"/>
            <c:showVal val="1"/>
          </c:dLbls>
          <c:cat>
            <c:strRef>
              <c:f>Sheet1!$I$2:$N$2</c:f>
              <c:strCache>
                <c:ptCount val="6"/>
                <c:pt idx="0">
                  <c:v>2011年</c:v>
                </c:pt>
                <c:pt idx="1">
                  <c:v>2012年</c:v>
                </c:pt>
                <c:pt idx="2">
                  <c:v>2013年</c:v>
                </c:pt>
                <c:pt idx="3">
                  <c:v>2014年</c:v>
                </c:pt>
                <c:pt idx="4">
                  <c:v>2015年</c:v>
                </c:pt>
                <c:pt idx="5">
                  <c:v>2016年</c:v>
                </c:pt>
              </c:strCache>
            </c:strRef>
          </c:cat>
          <c:val>
            <c:numRef>
              <c:f>Sheet1!$I$3:$N$3</c:f>
              <c:numCache>
                <c:formatCode>0.0_ </c:formatCode>
                <c:ptCount val="6"/>
                <c:pt idx="0">
                  <c:v>91</c:v>
                </c:pt>
                <c:pt idx="1">
                  <c:v>90.8</c:v>
                </c:pt>
                <c:pt idx="2">
                  <c:v>90.9</c:v>
                </c:pt>
                <c:pt idx="3">
                  <c:v>91.1</c:v>
                </c:pt>
                <c:pt idx="4">
                  <c:v>90.5</c:v>
                </c:pt>
                <c:pt idx="5">
                  <c:v>87.8</c:v>
                </c:pt>
              </c:numCache>
            </c:numRef>
          </c:val>
        </c:ser>
        <c:axId val="87848448"/>
        <c:axId val="87850368"/>
      </c:barChart>
      <c:catAx>
        <c:axId val="87848448"/>
        <c:scaling>
          <c:orientation val="minMax"/>
        </c:scaling>
        <c:axPos val="b"/>
        <c:numFmt formatCode="General" sourceLinked="0"/>
        <c:tickLblPos val="nextTo"/>
        <c:crossAx val="87850368"/>
        <c:crosses val="autoZero"/>
        <c:auto val="1"/>
        <c:lblAlgn val="ctr"/>
        <c:lblOffset val="100"/>
      </c:catAx>
      <c:valAx>
        <c:axId val="87850368"/>
        <c:scaling>
          <c:orientation val="minMax"/>
          <c:max val="91.5"/>
          <c:min val="80"/>
        </c:scaling>
        <c:axPos val="l"/>
        <c:numFmt formatCode="0.0_ " sourceLinked="1"/>
        <c:tickLblPos val="nextTo"/>
        <c:crossAx val="87848448"/>
        <c:crosses val="autoZero"/>
        <c:crossBetween val="between"/>
      </c:valAx>
      <c:spPr>
        <a:noFill/>
        <a:ln w="25400">
          <a:noFill/>
        </a:ln>
      </c:spPr>
    </c:plotArea>
    <c:plotVisOnly val="1"/>
  </c:chart>
  <c:spPr>
    <a:noFill/>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186351706036735"/>
          <c:y val="0.17177092446777489"/>
          <c:w val="0.85758092738407765"/>
          <c:h val="0.56267935258093604"/>
        </c:manualLayout>
      </c:layout>
      <c:lineChart>
        <c:grouping val="standard"/>
        <c:ser>
          <c:idx val="0"/>
          <c:order val="0"/>
          <c:tx>
            <c:strRef>
              <c:f>Sheet1!$H$147</c:f>
              <c:strCache>
                <c:ptCount val="1"/>
                <c:pt idx="0">
                  <c:v>居民人均可支配收入</c:v>
                </c:pt>
              </c:strCache>
            </c:strRef>
          </c:tx>
          <c:dLbls>
            <c:txPr>
              <a:bodyPr/>
              <a:lstStyle/>
              <a:p>
                <a:pPr>
                  <a:defRPr sz="1100" b="1"/>
                </a:pPr>
                <a:endParaRPr lang="zh-CN"/>
              </a:p>
            </c:txPr>
            <c:dLblPos val="t"/>
            <c:showVal val="1"/>
          </c:dLbls>
          <c:cat>
            <c:strRef>
              <c:f>Sheet1!$I$146:$N$146</c:f>
              <c:strCache>
                <c:ptCount val="6"/>
                <c:pt idx="0">
                  <c:v>2011年</c:v>
                </c:pt>
                <c:pt idx="1">
                  <c:v>2012年</c:v>
                </c:pt>
                <c:pt idx="2">
                  <c:v>2013年</c:v>
                </c:pt>
                <c:pt idx="3">
                  <c:v>2014年</c:v>
                </c:pt>
                <c:pt idx="4">
                  <c:v>2015年</c:v>
                </c:pt>
                <c:pt idx="5">
                  <c:v>2016年</c:v>
                </c:pt>
              </c:strCache>
            </c:strRef>
          </c:cat>
          <c:val>
            <c:numRef>
              <c:f>Sheet1!$I$147:$N$147</c:f>
              <c:numCache>
                <c:formatCode>0.0_ </c:formatCode>
                <c:ptCount val="6"/>
                <c:pt idx="0">
                  <c:v>12.847086429409472</c:v>
                </c:pt>
                <c:pt idx="1">
                  <c:v>11.358516721538734</c:v>
                </c:pt>
                <c:pt idx="2">
                  <c:v>8.0837158640006237</c:v>
                </c:pt>
                <c:pt idx="3">
                  <c:v>8.1005854688549732</c:v>
                </c:pt>
                <c:pt idx="4">
                  <c:v>7.6</c:v>
                </c:pt>
                <c:pt idx="5">
                  <c:v>7</c:v>
                </c:pt>
              </c:numCache>
            </c:numRef>
          </c:val>
        </c:ser>
        <c:ser>
          <c:idx val="1"/>
          <c:order val="1"/>
          <c:tx>
            <c:strRef>
              <c:f>Sheet1!$H$148</c:f>
              <c:strCache>
                <c:ptCount val="1"/>
                <c:pt idx="0">
                  <c:v>居民人均消费性支出</c:v>
                </c:pt>
              </c:strCache>
            </c:strRef>
          </c:tx>
          <c:dLbls>
            <c:txPr>
              <a:bodyPr/>
              <a:lstStyle/>
              <a:p>
                <a:pPr>
                  <a:defRPr sz="1100" b="1"/>
                </a:pPr>
                <a:endParaRPr lang="zh-CN"/>
              </a:p>
            </c:txPr>
            <c:dLblPos val="b"/>
            <c:showVal val="1"/>
          </c:dLbls>
          <c:cat>
            <c:strRef>
              <c:f>Sheet1!$I$146:$N$146</c:f>
              <c:strCache>
                <c:ptCount val="6"/>
                <c:pt idx="0">
                  <c:v>2011年</c:v>
                </c:pt>
                <c:pt idx="1">
                  <c:v>2012年</c:v>
                </c:pt>
                <c:pt idx="2">
                  <c:v>2013年</c:v>
                </c:pt>
                <c:pt idx="3">
                  <c:v>2014年</c:v>
                </c:pt>
                <c:pt idx="4">
                  <c:v>2015年</c:v>
                </c:pt>
                <c:pt idx="5">
                  <c:v>2016年</c:v>
                </c:pt>
              </c:strCache>
            </c:strRef>
          </c:cat>
          <c:val>
            <c:numRef>
              <c:f>Sheet1!$I$148:$N$148</c:f>
              <c:numCache>
                <c:formatCode>0.0_ </c:formatCode>
                <c:ptCount val="6"/>
                <c:pt idx="0">
                  <c:v>7.2850964137682439</c:v>
                </c:pt>
                <c:pt idx="1">
                  <c:v>8.7095284088522984</c:v>
                </c:pt>
                <c:pt idx="2">
                  <c:v>4.2762776683277224</c:v>
                </c:pt>
                <c:pt idx="3">
                  <c:v>5.9976291027636783</c:v>
                </c:pt>
                <c:pt idx="4">
                  <c:v>5.7</c:v>
                </c:pt>
                <c:pt idx="5">
                  <c:v>7.5</c:v>
                </c:pt>
              </c:numCache>
            </c:numRef>
          </c:val>
        </c:ser>
        <c:marker val="1"/>
        <c:axId val="121256192"/>
        <c:axId val="121270272"/>
      </c:lineChart>
      <c:catAx>
        <c:axId val="121256192"/>
        <c:scaling>
          <c:orientation val="minMax"/>
        </c:scaling>
        <c:axPos val="b"/>
        <c:tickLblPos val="nextTo"/>
        <c:crossAx val="121270272"/>
        <c:crosses val="autoZero"/>
        <c:auto val="1"/>
        <c:lblAlgn val="ctr"/>
        <c:lblOffset val="100"/>
      </c:catAx>
      <c:valAx>
        <c:axId val="121270272"/>
        <c:scaling>
          <c:orientation val="minMax"/>
        </c:scaling>
        <c:axPos val="l"/>
        <c:numFmt formatCode="0.0_ " sourceLinked="1"/>
        <c:tickLblPos val="nextTo"/>
        <c:crossAx val="121256192"/>
        <c:crosses val="autoZero"/>
        <c:crossBetween val="between"/>
        <c:majorUnit val="4"/>
      </c:valAx>
      <c:spPr>
        <a:noFill/>
        <a:ln w="25400">
          <a:noFill/>
        </a:ln>
      </c:spPr>
    </c:plotArea>
    <c:legend>
      <c:legendPos val="b"/>
    </c:legend>
    <c:plotVisOnly val="1"/>
    <c:dispBlanksAs val="zero"/>
  </c:chart>
  <c:spPr>
    <a:noFill/>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dLbl>
              <c:idx val="0"/>
              <c:layout>
                <c:manualLayout>
                  <c:x val="4.1854658792650747E-2"/>
                  <c:y val="4.043504835868119E-2"/>
                </c:manualLayout>
              </c:layout>
              <c:tx>
                <c:rich>
                  <a:bodyPr/>
                  <a:lstStyle/>
                  <a:p>
                    <a:r>
                      <a:rPr lang="zh-CN" altLang="en-US"/>
                      <a:t>食品烟酒 </a:t>
                    </a:r>
                    <a:r>
                      <a:rPr lang="en-US" altLang="zh-CN"/>
                      <a:t>23.4% </a:t>
                    </a:r>
                  </a:p>
                </c:rich>
              </c:tx>
              <c:showVal val="1"/>
              <c:showCatName val="1"/>
              <c:separator> </c:separator>
            </c:dLbl>
            <c:dLbl>
              <c:idx val="1"/>
              <c:layout>
                <c:manualLayout>
                  <c:x val="0"/>
                  <c:y val="-0.21393263342082397"/>
                </c:manualLayout>
              </c:layout>
              <c:tx>
                <c:rich>
                  <a:bodyPr/>
                  <a:lstStyle/>
                  <a:p>
                    <a:r>
                      <a:rPr lang="zh-CN" altLang="en-US"/>
                      <a:t>衣着 </a:t>
                    </a:r>
                    <a:r>
                      <a:rPr lang="en-US" altLang="zh-CN"/>
                      <a:t>7.2% </a:t>
                    </a:r>
                    <a:endParaRPr lang="zh-CN" altLang="en-US"/>
                  </a:p>
                </c:rich>
              </c:tx>
              <c:showVal val="1"/>
              <c:showCatName val="1"/>
              <c:separator> </c:separator>
            </c:dLbl>
            <c:dLbl>
              <c:idx val="2"/>
              <c:layout>
                <c:manualLayout>
                  <c:x val="2.2118547681539816E-2"/>
                  <c:y val="-2.5830367094524756E-2"/>
                </c:manualLayout>
              </c:layout>
              <c:tx>
                <c:rich>
                  <a:bodyPr/>
                  <a:lstStyle/>
                  <a:p>
                    <a:r>
                      <a:rPr lang="zh-CN" altLang="en-US"/>
                      <a:t>居住 </a:t>
                    </a:r>
                    <a:r>
                      <a:rPr lang="en-US" altLang="zh-CN"/>
                      <a:t>32.6% </a:t>
                    </a:r>
                    <a:endParaRPr lang="zh-CN" altLang="en-US"/>
                  </a:p>
                </c:rich>
              </c:tx>
              <c:showVal val="1"/>
              <c:showCatName val="1"/>
              <c:separator> </c:separator>
            </c:dLbl>
            <c:dLbl>
              <c:idx val="3"/>
              <c:tx>
                <c:rich>
                  <a:bodyPr/>
                  <a:lstStyle/>
                  <a:p>
                    <a:r>
                      <a:rPr lang="zh-CN" altLang="en-US"/>
                      <a:t>生活用品及服务 </a:t>
                    </a:r>
                    <a:r>
                      <a:rPr lang="en-US" altLang="zh-CN"/>
                      <a:t>6.1 %</a:t>
                    </a:r>
                    <a:endParaRPr lang="zh-CN" altLang="en-US"/>
                  </a:p>
                </c:rich>
              </c:tx>
              <c:showVal val="1"/>
              <c:showCatName val="1"/>
              <c:separator> </c:separator>
            </c:dLbl>
            <c:dLbl>
              <c:idx val="4"/>
              <c:layout>
                <c:manualLayout>
                  <c:x val="6.4783190667409893E-6"/>
                  <c:y val="-0.2592079115110611"/>
                </c:manualLayout>
              </c:layout>
              <c:tx>
                <c:rich>
                  <a:bodyPr/>
                  <a:lstStyle/>
                  <a:p>
                    <a:r>
                      <a:rPr lang="zh-CN" altLang="en-US"/>
                      <a:t>交通通信 </a:t>
                    </a:r>
                    <a:r>
                      <a:rPr lang="en-US" altLang="zh-CN"/>
                      <a:t>10.9% </a:t>
                    </a:r>
                    <a:endParaRPr lang="zh-CN" altLang="en-US"/>
                  </a:p>
                </c:rich>
              </c:tx>
              <c:showVal val="1"/>
              <c:showCatName val="1"/>
              <c:separator> </c:separator>
            </c:dLbl>
            <c:dLbl>
              <c:idx val="5"/>
              <c:tx>
                <c:rich>
                  <a:bodyPr/>
                  <a:lstStyle/>
                  <a:p>
                    <a:r>
                      <a:rPr lang="zh-CN" altLang="en-US"/>
                      <a:t>教育文化娱乐 </a:t>
                    </a:r>
                    <a:r>
                      <a:rPr lang="en-US" altLang="zh-CN"/>
                      <a:t>10.1% </a:t>
                    </a:r>
                  </a:p>
                </c:rich>
              </c:tx>
              <c:showVal val="1"/>
              <c:showCatName val="1"/>
              <c:separator> </c:separator>
            </c:dLbl>
            <c:dLbl>
              <c:idx val="6"/>
              <c:layout>
                <c:manualLayout>
                  <c:x val="2.293667919459251E-2"/>
                  <c:y val="-1.553877683097832E-2"/>
                </c:manualLayout>
              </c:layout>
              <c:tx>
                <c:rich>
                  <a:bodyPr/>
                  <a:lstStyle/>
                  <a:p>
                    <a:r>
                      <a:rPr lang="zh-CN" altLang="en-US"/>
                      <a:t>医疗保健 </a:t>
                    </a:r>
                    <a:r>
                      <a:rPr lang="en-US" altLang="zh-CN"/>
                      <a:t>6.3% </a:t>
                    </a:r>
                    <a:endParaRPr lang="zh-CN" altLang="en-US"/>
                  </a:p>
                </c:rich>
              </c:tx>
              <c:showVal val="1"/>
              <c:showCatName val="1"/>
              <c:separator> </c:separator>
            </c:dLbl>
            <c:dLbl>
              <c:idx val="7"/>
              <c:layout>
                <c:manualLayout>
                  <c:x val="9.3784243394259989E-2"/>
                  <c:y val="1.1415525114155511E-3"/>
                </c:manualLayout>
              </c:layout>
              <c:tx>
                <c:rich>
                  <a:bodyPr/>
                  <a:lstStyle/>
                  <a:p>
                    <a:r>
                      <a:rPr lang="zh-CN" altLang="en-US"/>
                      <a:t>其他用品和服务 </a:t>
                    </a:r>
                    <a:r>
                      <a:rPr lang="en-US" altLang="zh-CN"/>
                      <a:t>3.4%</a:t>
                    </a:r>
                  </a:p>
                </c:rich>
              </c:tx>
              <c:showVal val="1"/>
              <c:showCatName val="1"/>
              <c:separator> </c:separator>
            </c:dLbl>
            <c:numFmt formatCode="#,##0.0_);[Red]\(#,##0.0\)" sourceLinked="0"/>
            <c:showVal val="1"/>
            <c:showCatName val="1"/>
            <c:separator> </c:separator>
          </c:dLbls>
          <c:cat>
            <c:strRef>
              <c:f>Sheet1!$I$187:$I$194</c:f>
              <c:strCache>
                <c:ptCount val="8"/>
                <c:pt idx="0">
                  <c:v>食品烟酒</c:v>
                </c:pt>
                <c:pt idx="1">
                  <c:v>衣着</c:v>
                </c:pt>
                <c:pt idx="2">
                  <c:v>居住</c:v>
                </c:pt>
                <c:pt idx="3">
                  <c:v>生活用品及服务</c:v>
                </c:pt>
                <c:pt idx="4">
                  <c:v>交通通信</c:v>
                </c:pt>
                <c:pt idx="5">
                  <c:v>教育文化娱乐</c:v>
                </c:pt>
                <c:pt idx="6">
                  <c:v>医疗保健</c:v>
                </c:pt>
                <c:pt idx="7">
                  <c:v>其他用品和服务</c:v>
                </c:pt>
              </c:strCache>
            </c:strRef>
          </c:cat>
          <c:val>
            <c:numRef>
              <c:f>Sheet1!$J$187:$J$194</c:f>
              <c:numCache>
                <c:formatCode>General</c:formatCode>
                <c:ptCount val="8"/>
                <c:pt idx="0">
                  <c:v>23.4</c:v>
                </c:pt>
                <c:pt idx="1">
                  <c:v>7.2</c:v>
                </c:pt>
                <c:pt idx="2">
                  <c:v>32.6</c:v>
                </c:pt>
                <c:pt idx="3">
                  <c:v>6.1</c:v>
                </c:pt>
                <c:pt idx="4">
                  <c:v>10.9</c:v>
                </c:pt>
                <c:pt idx="5">
                  <c:v>10.1</c:v>
                </c:pt>
                <c:pt idx="6">
                  <c:v>6.3</c:v>
                </c:pt>
                <c:pt idx="7">
                  <c:v>3.4</c:v>
                </c:pt>
              </c:numCache>
            </c:numRef>
          </c:val>
        </c:ser>
      </c:pie3DChart>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3916021366894352"/>
          <c:y val="0.12084499854184894"/>
          <c:w val="0.74967129108862618"/>
          <c:h val="0.61360527850686752"/>
        </c:manualLayout>
      </c:layout>
      <c:barChart>
        <c:barDir val="col"/>
        <c:grouping val="clustered"/>
        <c:ser>
          <c:idx val="0"/>
          <c:order val="0"/>
          <c:tx>
            <c:strRef>
              <c:f>Sheet1!$H$18</c:f>
              <c:strCache>
                <c:ptCount val="1"/>
                <c:pt idx="0">
                  <c:v>地区生产总值</c:v>
                </c:pt>
              </c:strCache>
            </c:strRef>
          </c:tx>
          <c:spPr>
            <a:solidFill>
              <a:srgbClr val="1F497D">
                <a:lumMod val="40000"/>
                <a:lumOff val="60000"/>
              </a:srgbClr>
            </a:solidFill>
          </c:spPr>
          <c:dLbls>
            <c:dLbl>
              <c:idx val="0"/>
              <c:tx>
                <c:rich>
                  <a:bodyPr/>
                  <a:lstStyle/>
                  <a:p>
                    <a:pPr algn="ctr">
                      <a:defRPr lang="zh-CN" altLang="en-US" sz="1100" b="1" i="0" u="none" strike="noStrike" kern="1200" baseline="0">
                        <a:solidFill>
                          <a:sysClr val="windowText" lastClr="000000"/>
                        </a:solidFill>
                        <a:latin typeface="+mn-lt"/>
                        <a:ea typeface="+mn-ea"/>
                        <a:cs typeface="+mn-cs"/>
                      </a:defRPr>
                    </a:pPr>
                    <a:r>
                      <a:rPr altLang="en-US" sz="1100"/>
                      <a:t>1339.7 </a:t>
                    </a:r>
                  </a:p>
                </c:rich>
              </c:tx>
              <c:spPr/>
              <c:showVal val="1"/>
            </c:dLbl>
            <c:dLbl>
              <c:idx val="1"/>
              <c:layout>
                <c:manualLayout>
                  <c:x val="0"/>
                  <c:y val="3.7825059101654811E-2"/>
                </c:manualLayout>
              </c:layout>
              <c:spPr/>
              <c:txPr>
                <a:bodyPr/>
                <a:lstStyle/>
                <a:p>
                  <a:pPr>
                    <a:defRPr lang="zh-CN" altLang="en-US" sz="1100" b="1" i="0" u="none" strike="noStrike" kern="1200" baseline="0">
                      <a:solidFill>
                        <a:sysClr val="windowText" lastClr="000000"/>
                      </a:solidFill>
                      <a:latin typeface="+mn-lt"/>
                      <a:ea typeface="+mn-ea"/>
                      <a:cs typeface="+mn-cs"/>
                    </a:defRPr>
                  </a:pPr>
                  <a:endParaRPr lang="zh-CN"/>
                </a:p>
              </c:txPr>
              <c:showVal val="1"/>
            </c:dLbl>
            <c:dLbl>
              <c:idx val="2"/>
              <c:tx>
                <c:rich>
                  <a:bodyPr/>
                  <a:lstStyle/>
                  <a:p>
                    <a:pPr algn="ctr">
                      <a:defRPr lang="en-US" altLang="en-US" sz="1100" b="1" i="0" u="none" strike="noStrike" kern="1200" baseline="0">
                        <a:solidFill>
                          <a:sysClr val="windowText" lastClr="000000"/>
                        </a:solidFill>
                        <a:latin typeface="+mn-lt"/>
                        <a:ea typeface="+mn-ea"/>
                        <a:cs typeface="+mn-cs"/>
                      </a:defRPr>
                    </a:pPr>
                    <a:r>
                      <a:rPr lang="en-US" altLang="en-US" sz="1100" b="1" i="0" u="none" strike="noStrike" kern="1200" baseline="0">
                        <a:solidFill>
                          <a:sysClr val="windowText" lastClr="000000"/>
                        </a:solidFill>
                        <a:latin typeface="+mn-lt"/>
                        <a:ea typeface="+mn-ea"/>
                        <a:cs typeface="+mn-cs"/>
                      </a:rPr>
                      <a:t>1611.7 </a:t>
                    </a:r>
                  </a:p>
                </c:rich>
              </c:tx>
              <c:spPr/>
              <c:showVal val="1"/>
            </c:dLbl>
            <c:dLbl>
              <c:idx val="3"/>
              <c:spPr/>
              <c:txPr>
                <a:bodyPr/>
                <a:lstStyle/>
                <a:p>
                  <a:pPr algn="ctr" rtl="0">
                    <a:defRPr lang="zh-CN" altLang="en-US" sz="1100" b="1" i="0" u="none" strike="noStrike" kern="1200" baseline="0">
                      <a:solidFill>
                        <a:sysClr val="windowText" lastClr="000000"/>
                      </a:solidFill>
                      <a:latin typeface="+mn-lt"/>
                      <a:ea typeface="+mn-ea"/>
                      <a:cs typeface="+mn-cs"/>
                    </a:defRPr>
                  </a:pPr>
                  <a:endParaRPr lang="zh-CN"/>
                </a:p>
              </c:txPr>
            </c:dLbl>
            <c:dLbl>
              <c:idx val="4"/>
              <c:spPr/>
              <c:txPr>
                <a:bodyPr/>
                <a:lstStyle/>
                <a:p>
                  <a:pPr algn="ctr" rtl="0">
                    <a:defRPr lang="zh-CN" altLang="en-US" sz="1100" b="1" i="0" u="none" strike="noStrike" kern="1200" baseline="0">
                      <a:solidFill>
                        <a:sysClr val="windowText" lastClr="000000"/>
                      </a:solidFill>
                      <a:latin typeface="+mn-lt"/>
                      <a:ea typeface="+mn-ea"/>
                      <a:cs typeface="+mn-cs"/>
                    </a:defRPr>
                  </a:pPr>
                  <a:endParaRPr lang="zh-CN"/>
                </a:p>
              </c:txPr>
            </c:dLbl>
            <c:dLbl>
              <c:idx val="5"/>
              <c:spPr/>
              <c:txPr>
                <a:bodyPr/>
                <a:lstStyle/>
                <a:p>
                  <a:pPr>
                    <a:defRPr sz="1100" b="1"/>
                  </a:pPr>
                  <a:endParaRPr lang="zh-CN"/>
                </a:p>
              </c:txPr>
            </c:dLbl>
            <c:showVal val="1"/>
          </c:dLbls>
          <c:cat>
            <c:strRef>
              <c:f>Sheet1!$I$17:$N$17</c:f>
              <c:strCache>
                <c:ptCount val="6"/>
                <c:pt idx="0">
                  <c:v>2011年</c:v>
                </c:pt>
                <c:pt idx="1">
                  <c:v>2012年</c:v>
                </c:pt>
                <c:pt idx="2">
                  <c:v>2013年</c:v>
                </c:pt>
                <c:pt idx="3">
                  <c:v>2014年</c:v>
                </c:pt>
                <c:pt idx="4">
                  <c:v>2015年</c:v>
                </c:pt>
                <c:pt idx="5">
                  <c:v>2016年</c:v>
                </c:pt>
              </c:strCache>
            </c:strRef>
          </c:cat>
          <c:val>
            <c:numRef>
              <c:f>Sheet1!$I$18:$N$18</c:f>
              <c:numCache>
                <c:formatCode>0.0_ </c:formatCode>
                <c:ptCount val="6"/>
                <c:pt idx="0">
                  <c:v>1339.7</c:v>
                </c:pt>
                <c:pt idx="1">
                  <c:v>1450.1</c:v>
                </c:pt>
                <c:pt idx="2">
                  <c:v>1611.7</c:v>
                </c:pt>
                <c:pt idx="3">
                  <c:v>1733</c:v>
                </c:pt>
                <c:pt idx="4">
                  <c:v>1857.8</c:v>
                </c:pt>
                <c:pt idx="5">
                  <c:v>2009.8</c:v>
                </c:pt>
              </c:numCache>
            </c:numRef>
          </c:val>
        </c:ser>
        <c:axId val="92920448"/>
        <c:axId val="92930432"/>
      </c:barChart>
      <c:lineChart>
        <c:grouping val="standard"/>
        <c:ser>
          <c:idx val="1"/>
          <c:order val="1"/>
          <c:tx>
            <c:strRef>
              <c:f>Sheet1!$H$19</c:f>
              <c:strCache>
                <c:ptCount val="1"/>
                <c:pt idx="0">
                  <c:v>增速</c:v>
                </c:pt>
              </c:strCache>
            </c:strRef>
          </c:tx>
          <c:dLbls>
            <c:dLbl>
              <c:idx val="0"/>
              <c:layout>
                <c:manualLayout>
                  <c:x val="5.5210489993099124E-3"/>
                  <c:y val="-0.1276595744680836"/>
                </c:manualLayout>
              </c:layout>
              <c:dLblPos val="b"/>
              <c:showVal val="1"/>
            </c:dLbl>
            <c:dLbl>
              <c:idx val="1"/>
              <c:layout>
                <c:manualLayout>
                  <c:x val="-5.5210489993099124E-3"/>
                  <c:y val="-0.14184397163120571"/>
                </c:manualLayout>
              </c:layout>
              <c:dLblPos val="b"/>
              <c:showVal val="1"/>
            </c:dLbl>
            <c:dLbl>
              <c:idx val="2"/>
              <c:layout>
                <c:manualLayout>
                  <c:x val="0"/>
                  <c:y val="-0.12293144208037823"/>
                </c:manualLayout>
              </c:layout>
              <c:dLblPos val="b"/>
              <c:showVal val="1"/>
            </c:dLbl>
            <c:txPr>
              <a:bodyPr/>
              <a:lstStyle/>
              <a:p>
                <a:pPr algn="ctr" rtl="0">
                  <a:defRPr lang="zh-CN" altLang="en-US" sz="1100" b="1" i="0" u="none" strike="noStrike" kern="1200" baseline="0">
                    <a:solidFill>
                      <a:sysClr val="windowText" lastClr="000000"/>
                    </a:solidFill>
                    <a:latin typeface="+mn-lt"/>
                    <a:ea typeface="+mn-ea"/>
                    <a:cs typeface="+mn-cs"/>
                  </a:defRPr>
                </a:pPr>
                <a:endParaRPr lang="zh-CN"/>
              </a:p>
            </c:txPr>
            <c:dLblPos val="b"/>
            <c:showVal val="1"/>
          </c:dLbls>
          <c:cat>
            <c:strRef>
              <c:f>Sheet1!$I$17:$N$17</c:f>
              <c:strCache>
                <c:ptCount val="6"/>
                <c:pt idx="0">
                  <c:v>2011年</c:v>
                </c:pt>
                <c:pt idx="1">
                  <c:v>2012年</c:v>
                </c:pt>
                <c:pt idx="2">
                  <c:v>2013年</c:v>
                </c:pt>
                <c:pt idx="3">
                  <c:v>2014年</c:v>
                </c:pt>
                <c:pt idx="4">
                  <c:v>2015年</c:v>
                </c:pt>
                <c:pt idx="5">
                  <c:v>2016年</c:v>
                </c:pt>
              </c:strCache>
            </c:strRef>
          </c:cat>
          <c:val>
            <c:numRef>
              <c:f>Sheet1!$I$19:$N$19</c:f>
              <c:numCache>
                <c:formatCode>0.0_ </c:formatCode>
                <c:ptCount val="6"/>
                <c:pt idx="0">
                  <c:v>9.5</c:v>
                </c:pt>
                <c:pt idx="1">
                  <c:v>8.2000000000000011</c:v>
                </c:pt>
                <c:pt idx="2">
                  <c:v>11.1</c:v>
                </c:pt>
                <c:pt idx="3">
                  <c:v>7.5</c:v>
                </c:pt>
                <c:pt idx="4">
                  <c:v>7.2</c:v>
                </c:pt>
                <c:pt idx="5">
                  <c:v>6.7</c:v>
                </c:pt>
              </c:numCache>
            </c:numRef>
          </c:val>
        </c:ser>
        <c:marker val="1"/>
        <c:axId val="92988544"/>
        <c:axId val="92932736"/>
      </c:lineChart>
      <c:catAx>
        <c:axId val="92920448"/>
        <c:scaling>
          <c:orientation val="minMax"/>
        </c:scaling>
        <c:axPos val="b"/>
        <c:tickLblPos val="nextTo"/>
        <c:crossAx val="92930432"/>
        <c:crosses val="autoZero"/>
        <c:auto val="1"/>
        <c:lblAlgn val="ctr"/>
        <c:lblOffset val="100"/>
      </c:catAx>
      <c:valAx>
        <c:axId val="92930432"/>
        <c:scaling>
          <c:orientation val="minMax"/>
        </c:scaling>
        <c:axPos val="l"/>
        <c:numFmt formatCode="0.0_ " sourceLinked="1"/>
        <c:tickLblPos val="nextTo"/>
        <c:crossAx val="92920448"/>
        <c:crosses val="autoZero"/>
        <c:crossBetween val="between"/>
        <c:majorUnit val="400"/>
        <c:minorUnit val="4"/>
      </c:valAx>
      <c:valAx>
        <c:axId val="92932736"/>
        <c:scaling>
          <c:orientation val="minMax"/>
        </c:scaling>
        <c:axPos val="r"/>
        <c:numFmt formatCode="0.0_ " sourceLinked="1"/>
        <c:tickLblPos val="nextTo"/>
        <c:crossAx val="92988544"/>
        <c:crosses val="max"/>
        <c:crossBetween val="between"/>
        <c:majorUnit val="3"/>
      </c:valAx>
      <c:catAx>
        <c:axId val="92988544"/>
        <c:scaling>
          <c:orientation val="minMax"/>
        </c:scaling>
        <c:delete val="1"/>
        <c:axPos val="b"/>
        <c:tickLblPos val="nextTo"/>
        <c:crossAx val="92932736"/>
        <c:crosses val="autoZero"/>
        <c:auto val="1"/>
        <c:lblAlgn val="ctr"/>
        <c:lblOffset val="100"/>
      </c:catAx>
      <c:spPr>
        <a:noFill/>
        <a:ln w="25400">
          <a:noFill/>
        </a:ln>
      </c:spPr>
    </c:plotArea>
    <c:legend>
      <c:legendPos val="b"/>
    </c:legend>
    <c:plotVisOnly val="1"/>
    <c:dispBlanksAs val="gap"/>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explosion val="25"/>
          <c:dLbls>
            <c:dLbl>
              <c:idx val="0"/>
              <c:layout>
                <c:manualLayout>
                  <c:x val="-9.8765432098767675E-2"/>
                  <c:y val="-5.0925925925925923E-2"/>
                </c:manualLayout>
              </c:layout>
              <c:tx>
                <c:rich>
                  <a:bodyPr/>
                  <a:lstStyle/>
                  <a:p>
                    <a:r>
                      <a:rPr lang="zh-CN" altLang="en-US"/>
                      <a:t>增值税 </a:t>
                    </a:r>
                    <a:r>
                      <a:rPr lang="en-US" altLang="zh-CN"/>
                      <a:t>25.8%</a:t>
                    </a:r>
                  </a:p>
                </c:rich>
              </c:tx>
              <c:dLblPos val="outEnd"/>
              <c:showVal val="1"/>
              <c:showCatName val="1"/>
              <c:separator> </c:separator>
            </c:dLbl>
            <c:dLbl>
              <c:idx val="1"/>
              <c:layout>
                <c:manualLayout>
                  <c:x val="0"/>
                  <c:y val="-5.0925925925925923E-2"/>
                </c:manualLayout>
              </c:layout>
              <c:tx>
                <c:rich>
                  <a:bodyPr/>
                  <a:lstStyle/>
                  <a:p>
                    <a:r>
                      <a:rPr lang="zh-CN" altLang="en-US"/>
                      <a:t>营业税 </a:t>
                    </a:r>
                    <a:r>
                      <a:rPr lang="en-US" altLang="zh-CN"/>
                      <a:t>13.1%</a:t>
                    </a:r>
                  </a:p>
                </c:rich>
              </c:tx>
              <c:dLblPos val="outEnd"/>
              <c:showVal val="1"/>
              <c:showCatName val="1"/>
              <c:separator> </c:separator>
            </c:dLbl>
            <c:dLbl>
              <c:idx val="2"/>
              <c:layout>
                <c:manualLayout>
                  <c:x val="3.6111013901040191E-2"/>
                  <c:y val="-9.2592592592594825E-3"/>
                </c:manualLayout>
              </c:layout>
              <c:tx>
                <c:rich>
                  <a:bodyPr/>
                  <a:lstStyle/>
                  <a:p>
                    <a:r>
                      <a:rPr lang="zh-CN" altLang="en-US"/>
                      <a:t>企业所得税 </a:t>
                    </a:r>
                    <a:r>
                      <a:rPr lang="en-US" altLang="zh-CN"/>
                      <a:t>19.7%</a:t>
                    </a:r>
                    <a:endParaRPr lang="zh-CN" altLang="en-US"/>
                  </a:p>
                </c:rich>
              </c:tx>
              <c:dLblPos val="outEnd"/>
              <c:showVal val="1"/>
              <c:showCatName val="1"/>
              <c:separator> </c:separator>
            </c:dLbl>
            <c:dLbl>
              <c:idx val="3"/>
              <c:layout>
                <c:manualLayout>
                  <c:x val="2.3456790123456792E-2"/>
                  <c:y val="3.6157013706620278E-2"/>
                </c:manualLayout>
              </c:layout>
              <c:tx>
                <c:rich>
                  <a:bodyPr/>
                  <a:lstStyle/>
                  <a:p>
                    <a:r>
                      <a:rPr lang="zh-CN" altLang="en-US"/>
                      <a:t>城市维护建设税 </a:t>
                    </a:r>
                    <a:r>
                      <a:rPr lang="en-US" altLang="zh-CN"/>
                      <a:t>7.9%</a:t>
                    </a:r>
                    <a:endParaRPr lang="zh-CN" altLang="en-US"/>
                  </a:p>
                </c:rich>
              </c:tx>
              <c:dLblPos val="outEnd"/>
              <c:showVal val="1"/>
              <c:showCatName val="1"/>
              <c:separator> </c:separator>
            </c:dLbl>
            <c:dLbl>
              <c:idx val="4"/>
              <c:layout>
                <c:manualLayout>
                  <c:x val="0"/>
                  <c:y val="-0.22685185185185186"/>
                </c:manualLayout>
              </c:layout>
              <c:tx>
                <c:rich>
                  <a:bodyPr/>
                  <a:lstStyle/>
                  <a:p>
                    <a:r>
                      <a:rPr lang="zh-CN" altLang="en-US"/>
                      <a:t>房产税 </a:t>
                    </a:r>
                    <a:r>
                      <a:rPr lang="en-US" altLang="zh-CN"/>
                      <a:t>12.2%</a:t>
                    </a:r>
                    <a:endParaRPr lang="zh-CN" altLang="en-US"/>
                  </a:p>
                </c:rich>
              </c:tx>
              <c:dLblPos val="outEnd"/>
              <c:showVal val="1"/>
              <c:showCatName val="1"/>
              <c:separator> </c:separator>
            </c:dLbl>
            <c:dLbl>
              <c:idx val="5"/>
              <c:layout>
                <c:manualLayout>
                  <c:x val="7.160493827160494E-2"/>
                  <c:y val="-1.3888888888889126E-2"/>
                </c:manualLayout>
              </c:layout>
              <c:tx>
                <c:rich>
                  <a:bodyPr/>
                  <a:lstStyle/>
                  <a:p>
                    <a:r>
                      <a:rPr lang="zh-CN" altLang="en-US"/>
                      <a:t>其他科目合计</a:t>
                    </a:r>
                    <a:r>
                      <a:rPr lang="en-US" altLang="zh-CN" baseline="0"/>
                      <a:t> </a:t>
                    </a:r>
                    <a:r>
                      <a:rPr lang="en-US" altLang="zh-CN"/>
                      <a:t> 21.3%</a:t>
                    </a:r>
                  </a:p>
                </c:rich>
              </c:tx>
              <c:dLblPos val="outEnd"/>
              <c:showVal val="1"/>
              <c:showCatName val="1"/>
              <c:separator> </c:separator>
            </c:dLbl>
            <c:dLblPos val="outEnd"/>
            <c:showVal val="1"/>
            <c:showCatName val="1"/>
            <c:separator> </c:separator>
            <c:showLeaderLines val="1"/>
          </c:dLbls>
          <c:cat>
            <c:strRef>
              <c:f>Sheet1!$I$170:$I$175</c:f>
              <c:strCache>
                <c:ptCount val="6"/>
                <c:pt idx="0">
                  <c:v>增值税</c:v>
                </c:pt>
                <c:pt idx="1">
                  <c:v>营业税</c:v>
                </c:pt>
                <c:pt idx="2">
                  <c:v>企业所得税</c:v>
                </c:pt>
                <c:pt idx="3">
                  <c:v>城市维护建设税</c:v>
                </c:pt>
                <c:pt idx="4">
                  <c:v>房产税</c:v>
                </c:pt>
                <c:pt idx="5">
                  <c:v>其他科目合计</c:v>
                </c:pt>
              </c:strCache>
            </c:strRef>
          </c:cat>
          <c:val>
            <c:numRef>
              <c:f>Sheet1!$J$170:$J$175</c:f>
              <c:numCache>
                <c:formatCode>General</c:formatCode>
                <c:ptCount val="6"/>
                <c:pt idx="0">
                  <c:v>25.8</c:v>
                </c:pt>
                <c:pt idx="1">
                  <c:v>13.1</c:v>
                </c:pt>
                <c:pt idx="2">
                  <c:v>19.7</c:v>
                </c:pt>
                <c:pt idx="3">
                  <c:v>7.9</c:v>
                </c:pt>
                <c:pt idx="4">
                  <c:v>12.2</c:v>
                </c:pt>
                <c:pt idx="5">
                  <c:v>21.3</c:v>
                </c:pt>
              </c:numCache>
            </c:numRef>
          </c:val>
        </c:ser>
      </c:pie3DChart>
    </c:plotArea>
    <c:legend>
      <c:legendPos val="b"/>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594663167104306"/>
          <c:y val="0.13748997094426743"/>
          <c:w val="0.76496762904636906"/>
          <c:h val="0.61329844741194184"/>
        </c:manualLayout>
      </c:layout>
      <c:barChart>
        <c:barDir val="col"/>
        <c:grouping val="clustered"/>
        <c:ser>
          <c:idx val="0"/>
          <c:order val="0"/>
          <c:tx>
            <c:strRef>
              <c:f>Sheet1!$H$37</c:f>
              <c:strCache>
                <c:ptCount val="1"/>
                <c:pt idx="0">
                  <c:v>一般公共预算收入</c:v>
                </c:pt>
              </c:strCache>
            </c:strRef>
          </c:tx>
          <c:spPr>
            <a:solidFill>
              <a:srgbClr val="1F497D">
                <a:lumMod val="40000"/>
                <a:lumOff val="60000"/>
              </a:srgbClr>
            </a:solidFill>
          </c:spPr>
          <c:dLbls>
            <c:txPr>
              <a:bodyPr/>
              <a:lstStyle/>
              <a:p>
                <a:pPr>
                  <a:defRPr sz="1100" b="1"/>
                </a:pPr>
                <a:endParaRPr lang="zh-CN"/>
              </a:p>
            </c:txPr>
            <c:showVal val="1"/>
          </c:dLbls>
          <c:cat>
            <c:strRef>
              <c:f>Sheet1!$I$36:$N$36</c:f>
              <c:strCache>
                <c:ptCount val="6"/>
                <c:pt idx="0">
                  <c:v>2011年</c:v>
                </c:pt>
                <c:pt idx="1">
                  <c:v>2012年</c:v>
                </c:pt>
                <c:pt idx="2">
                  <c:v>2013年</c:v>
                </c:pt>
                <c:pt idx="3">
                  <c:v>2014年</c:v>
                </c:pt>
                <c:pt idx="4">
                  <c:v>2015年</c:v>
                </c:pt>
                <c:pt idx="5">
                  <c:v>2016年</c:v>
                </c:pt>
              </c:strCache>
            </c:strRef>
          </c:cat>
          <c:val>
            <c:numRef>
              <c:f>Sheet1!$I$37:$N$37</c:f>
              <c:numCache>
                <c:formatCode>0.0_ </c:formatCode>
                <c:ptCount val="6"/>
                <c:pt idx="0">
                  <c:v>122.3</c:v>
                </c:pt>
                <c:pt idx="1">
                  <c:v>134.80000000000001</c:v>
                </c:pt>
                <c:pt idx="2">
                  <c:v>147.1</c:v>
                </c:pt>
                <c:pt idx="3">
                  <c:v>156</c:v>
                </c:pt>
                <c:pt idx="4">
                  <c:v>164.6</c:v>
                </c:pt>
                <c:pt idx="5">
                  <c:v>166.3</c:v>
                </c:pt>
              </c:numCache>
            </c:numRef>
          </c:val>
        </c:ser>
        <c:axId val="102754560"/>
        <c:axId val="102806272"/>
      </c:barChart>
      <c:lineChart>
        <c:grouping val="standard"/>
        <c:ser>
          <c:idx val="1"/>
          <c:order val="1"/>
          <c:tx>
            <c:strRef>
              <c:f>Sheet1!$H$38</c:f>
              <c:strCache>
                <c:ptCount val="1"/>
                <c:pt idx="0">
                  <c:v>增速</c:v>
                </c:pt>
              </c:strCache>
            </c:strRef>
          </c:tx>
          <c:dLbls>
            <c:dLbl>
              <c:idx val="1"/>
              <c:tx>
                <c:rich>
                  <a:bodyPr/>
                  <a:lstStyle/>
                  <a:p>
                    <a:r>
                      <a:rPr lang="en-US" altLang="en-US"/>
                      <a:t>10.3 </a:t>
                    </a:r>
                  </a:p>
                </c:rich>
              </c:tx>
              <c:dLblPos val="t"/>
              <c:showVal val="1"/>
            </c:dLbl>
            <c:dLbl>
              <c:idx val="3"/>
              <c:tx>
                <c:rich>
                  <a:bodyPr/>
                  <a:lstStyle/>
                  <a:p>
                    <a:r>
                      <a:rPr lang="en-US" altLang="en-US"/>
                      <a:t>6.0 </a:t>
                    </a:r>
                  </a:p>
                </c:rich>
              </c:tx>
              <c:dLblPos val="t"/>
              <c:showVal val="1"/>
            </c:dLbl>
            <c:txPr>
              <a:bodyPr/>
              <a:lstStyle/>
              <a:p>
                <a:pPr>
                  <a:defRPr sz="1100" b="1"/>
                </a:pPr>
                <a:endParaRPr lang="zh-CN"/>
              </a:p>
            </c:txPr>
            <c:dLblPos val="t"/>
            <c:showVal val="1"/>
          </c:dLbls>
          <c:cat>
            <c:strRef>
              <c:f>Sheet1!$I$36:$N$36</c:f>
              <c:strCache>
                <c:ptCount val="6"/>
                <c:pt idx="0">
                  <c:v>2011年</c:v>
                </c:pt>
                <c:pt idx="1">
                  <c:v>2012年</c:v>
                </c:pt>
                <c:pt idx="2">
                  <c:v>2013年</c:v>
                </c:pt>
                <c:pt idx="3">
                  <c:v>2014年</c:v>
                </c:pt>
                <c:pt idx="4">
                  <c:v>2015年</c:v>
                </c:pt>
                <c:pt idx="5">
                  <c:v>2016年</c:v>
                </c:pt>
              </c:strCache>
            </c:strRef>
          </c:cat>
          <c:val>
            <c:numRef>
              <c:f>Sheet1!$I$38:$N$38</c:f>
              <c:numCache>
                <c:formatCode>0.0_ </c:formatCode>
                <c:ptCount val="6"/>
                <c:pt idx="0">
                  <c:v>18.968871595330729</c:v>
                </c:pt>
                <c:pt idx="1">
                  <c:v>10.220768601798808</c:v>
                </c:pt>
                <c:pt idx="2">
                  <c:v>9.1246290801186589</c:v>
                </c:pt>
                <c:pt idx="3">
                  <c:v>6.0503059143439941</c:v>
                </c:pt>
                <c:pt idx="4">
                  <c:v>5.5128205128205066</c:v>
                </c:pt>
                <c:pt idx="5" formatCode="General">
                  <c:v>1.1000000000000001</c:v>
                </c:pt>
              </c:numCache>
            </c:numRef>
          </c:val>
        </c:ser>
        <c:marker val="1"/>
        <c:axId val="107873408"/>
        <c:axId val="102808576"/>
      </c:lineChart>
      <c:catAx>
        <c:axId val="102754560"/>
        <c:scaling>
          <c:orientation val="minMax"/>
        </c:scaling>
        <c:axPos val="b"/>
        <c:tickLblPos val="nextTo"/>
        <c:crossAx val="102806272"/>
        <c:crosses val="autoZero"/>
        <c:auto val="1"/>
        <c:lblAlgn val="ctr"/>
        <c:lblOffset val="100"/>
      </c:catAx>
      <c:valAx>
        <c:axId val="102806272"/>
        <c:scaling>
          <c:orientation val="minMax"/>
          <c:max val="180"/>
          <c:min val="0"/>
        </c:scaling>
        <c:axPos val="l"/>
        <c:numFmt formatCode="0.0_ " sourceLinked="1"/>
        <c:tickLblPos val="nextTo"/>
        <c:crossAx val="102754560"/>
        <c:crosses val="autoZero"/>
        <c:crossBetween val="between"/>
        <c:majorUnit val="40"/>
      </c:valAx>
      <c:valAx>
        <c:axId val="102808576"/>
        <c:scaling>
          <c:orientation val="minMax"/>
          <c:max val="20"/>
          <c:min val="0"/>
        </c:scaling>
        <c:axPos val="r"/>
        <c:numFmt formatCode="0.0_ " sourceLinked="1"/>
        <c:tickLblPos val="nextTo"/>
        <c:crossAx val="107873408"/>
        <c:crosses val="max"/>
        <c:crossBetween val="between"/>
        <c:majorUnit val="4"/>
      </c:valAx>
      <c:catAx>
        <c:axId val="107873408"/>
        <c:scaling>
          <c:orientation val="minMax"/>
        </c:scaling>
        <c:delete val="1"/>
        <c:axPos val="b"/>
        <c:tickLblPos val="nextTo"/>
        <c:crossAx val="102808576"/>
        <c:crosses val="autoZero"/>
        <c:auto val="1"/>
        <c:lblAlgn val="ctr"/>
        <c:lblOffset val="100"/>
      </c:catAx>
      <c:spPr>
        <a:noFill/>
        <a:ln w="25400">
          <a:noFill/>
        </a:ln>
      </c:spPr>
    </c:plotArea>
    <c:legend>
      <c:legendPos val="b"/>
    </c:legend>
    <c:plotVisOnly val="1"/>
    <c:dispBlanksAs val="gap"/>
  </c:chart>
  <c:spPr>
    <a:noFill/>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594663167104309"/>
          <c:y val="0.15788203557888641"/>
          <c:w val="0.76218985126860606"/>
          <c:h val="0.63212379702538046"/>
        </c:manualLayout>
      </c:layout>
      <c:barChart>
        <c:barDir val="col"/>
        <c:grouping val="clustered"/>
        <c:ser>
          <c:idx val="0"/>
          <c:order val="0"/>
          <c:tx>
            <c:strRef>
              <c:f>Sheet1!$H$55</c:f>
              <c:strCache>
                <c:ptCount val="1"/>
                <c:pt idx="0">
                  <c:v>全社会固定资产投资</c:v>
                </c:pt>
              </c:strCache>
            </c:strRef>
          </c:tx>
          <c:spPr>
            <a:solidFill>
              <a:schemeClr val="tx2">
                <a:lumMod val="40000"/>
                <a:lumOff val="60000"/>
              </a:schemeClr>
            </a:solidFill>
          </c:spPr>
          <c:dLbls>
            <c:numFmt formatCode="General" sourceLinked="0"/>
            <c:txPr>
              <a:bodyPr/>
              <a:lstStyle/>
              <a:p>
                <a:pPr>
                  <a:defRPr sz="1100" b="1"/>
                </a:pPr>
                <a:endParaRPr lang="zh-CN"/>
              </a:p>
            </c:txPr>
            <c:dLblPos val="outEnd"/>
            <c:showVal val="1"/>
          </c:dLbls>
          <c:cat>
            <c:strRef>
              <c:f>Sheet1!$I$54:$N$54</c:f>
              <c:strCache>
                <c:ptCount val="6"/>
                <c:pt idx="0">
                  <c:v>2011年</c:v>
                </c:pt>
                <c:pt idx="1">
                  <c:v>2012年</c:v>
                </c:pt>
                <c:pt idx="2">
                  <c:v>2013年</c:v>
                </c:pt>
                <c:pt idx="3">
                  <c:v>2014年</c:v>
                </c:pt>
                <c:pt idx="4">
                  <c:v>2015年</c:v>
                </c:pt>
                <c:pt idx="5">
                  <c:v>2016年</c:v>
                </c:pt>
              </c:strCache>
            </c:strRef>
          </c:cat>
          <c:val>
            <c:numRef>
              <c:f>Sheet1!$I$55:$N$55</c:f>
              <c:numCache>
                <c:formatCode>0.0_ </c:formatCode>
                <c:ptCount val="6"/>
                <c:pt idx="0">
                  <c:v>175.2</c:v>
                </c:pt>
                <c:pt idx="1">
                  <c:v>182.5</c:v>
                </c:pt>
                <c:pt idx="2">
                  <c:v>195.1</c:v>
                </c:pt>
                <c:pt idx="3">
                  <c:v>214.7</c:v>
                </c:pt>
                <c:pt idx="4">
                  <c:v>235.2</c:v>
                </c:pt>
                <c:pt idx="5">
                  <c:v>264.60000000000002</c:v>
                </c:pt>
              </c:numCache>
            </c:numRef>
          </c:val>
        </c:ser>
        <c:axId val="107963520"/>
        <c:axId val="107965440"/>
      </c:barChart>
      <c:lineChart>
        <c:grouping val="standard"/>
        <c:ser>
          <c:idx val="1"/>
          <c:order val="1"/>
          <c:tx>
            <c:strRef>
              <c:f>Sheet1!$H$56</c:f>
              <c:strCache>
                <c:ptCount val="1"/>
                <c:pt idx="0">
                  <c:v>增速</c:v>
                </c:pt>
              </c:strCache>
            </c:strRef>
          </c:tx>
          <c:dLbls>
            <c:dLbl>
              <c:idx val="0"/>
              <c:layout>
                <c:manualLayout>
                  <c:x val="0"/>
                  <c:y val="-2.56410256410259E-2"/>
                </c:manualLayout>
              </c:layout>
              <c:spPr/>
              <c:txPr>
                <a:bodyPr/>
                <a:lstStyle/>
                <a:p>
                  <a:pPr>
                    <a:defRPr lang="zh-CN" altLang="en-US" sz="1100" b="1" i="0" u="none" strike="noStrike" kern="1200" baseline="0">
                      <a:solidFill>
                        <a:sysClr val="windowText" lastClr="000000"/>
                      </a:solidFill>
                      <a:latin typeface="+mn-lt"/>
                      <a:ea typeface="+mn-ea"/>
                      <a:cs typeface="+mn-cs"/>
                    </a:defRPr>
                  </a:pPr>
                  <a:endParaRPr lang="zh-CN"/>
                </a:p>
              </c:txPr>
              <c:dLblPos val="b"/>
              <c:showVal val="1"/>
            </c:dLbl>
            <c:dLbl>
              <c:idx val="1"/>
              <c:spPr/>
              <c:txPr>
                <a:bodyPr/>
                <a:lstStyle/>
                <a:p>
                  <a:pPr>
                    <a:defRPr lang="zh-CN" altLang="en-US" sz="1100" b="1" i="0" u="none" strike="noStrike" kern="1200" baseline="0">
                      <a:solidFill>
                        <a:sysClr val="windowText" lastClr="000000"/>
                      </a:solidFill>
                      <a:latin typeface="+mn-lt"/>
                      <a:ea typeface="+mn-ea"/>
                      <a:cs typeface="+mn-cs"/>
                    </a:defRPr>
                  </a:pPr>
                  <a:endParaRPr lang="zh-CN"/>
                </a:p>
              </c:txPr>
            </c:dLbl>
            <c:dLbl>
              <c:idx val="2"/>
              <c:spPr/>
              <c:txPr>
                <a:bodyPr/>
                <a:lstStyle/>
                <a:p>
                  <a:pPr>
                    <a:defRPr lang="zh-CN" altLang="en-US" sz="1100" b="1" i="0" u="none" strike="noStrike" kern="1200" baseline="0">
                      <a:solidFill>
                        <a:sysClr val="windowText" lastClr="000000"/>
                      </a:solidFill>
                      <a:latin typeface="+mn-lt"/>
                      <a:ea typeface="+mn-ea"/>
                      <a:cs typeface="+mn-cs"/>
                    </a:defRPr>
                  </a:pPr>
                  <a:endParaRPr lang="zh-CN"/>
                </a:p>
              </c:txPr>
            </c:dLbl>
            <c:dLbl>
              <c:idx val="3"/>
              <c:tx>
                <c:rich>
                  <a:bodyPr/>
                  <a:lstStyle/>
                  <a:p>
                    <a:r>
                      <a:rPr lang="en-US" altLang="en-US" sz="1100" b="1"/>
                      <a:t>10.0 </a:t>
                    </a:r>
                  </a:p>
                </c:rich>
              </c:tx>
              <c:dLblPos val="b"/>
              <c:showVal val="1"/>
            </c:dLbl>
            <c:dLbl>
              <c:idx val="4"/>
              <c:spPr/>
              <c:txPr>
                <a:bodyPr/>
                <a:lstStyle/>
                <a:p>
                  <a:pPr>
                    <a:defRPr lang="zh-CN" altLang="en-US" sz="1100" b="1" i="0" u="none" strike="noStrike" kern="1200" baseline="0">
                      <a:solidFill>
                        <a:sysClr val="windowText" lastClr="000000"/>
                      </a:solidFill>
                      <a:latin typeface="+mn-lt"/>
                      <a:ea typeface="+mn-ea"/>
                      <a:cs typeface="+mn-cs"/>
                    </a:defRPr>
                  </a:pPr>
                  <a:endParaRPr lang="zh-CN"/>
                </a:p>
              </c:txPr>
            </c:dLbl>
            <c:txPr>
              <a:bodyPr/>
              <a:lstStyle/>
              <a:p>
                <a:pPr>
                  <a:defRPr sz="1100" b="1"/>
                </a:pPr>
                <a:endParaRPr lang="zh-CN"/>
              </a:p>
            </c:txPr>
            <c:dLblPos val="b"/>
            <c:showVal val="1"/>
          </c:dLbls>
          <c:cat>
            <c:strRef>
              <c:f>Sheet1!$I$54:$N$54</c:f>
              <c:strCache>
                <c:ptCount val="6"/>
                <c:pt idx="0">
                  <c:v>2011年</c:v>
                </c:pt>
                <c:pt idx="1">
                  <c:v>2012年</c:v>
                </c:pt>
                <c:pt idx="2">
                  <c:v>2013年</c:v>
                </c:pt>
                <c:pt idx="3">
                  <c:v>2014年</c:v>
                </c:pt>
                <c:pt idx="4">
                  <c:v>2015年</c:v>
                </c:pt>
                <c:pt idx="5">
                  <c:v>2016年</c:v>
                </c:pt>
              </c:strCache>
            </c:strRef>
          </c:cat>
          <c:val>
            <c:numRef>
              <c:f>Sheet1!$I$56:$N$56</c:f>
              <c:numCache>
                <c:formatCode>0.0_ </c:formatCode>
                <c:ptCount val="6"/>
                <c:pt idx="0">
                  <c:v>-3.0437188710570289</c:v>
                </c:pt>
                <c:pt idx="1">
                  <c:v>4.1666666666666705</c:v>
                </c:pt>
                <c:pt idx="2">
                  <c:v>6.9041095890410844</c:v>
                </c:pt>
                <c:pt idx="3">
                  <c:v>10.046130189646334</c:v>
                </c:pt>
                <c:pt idx="4">
                  <c:v>9.5</c:v>
                </c:pt>
                <c:pt idx="5">
                  <c:v>12.5</c:v>
                </c:pt>
              </c:numCache>
            </c:numRef>
          </c:val>
        </c:ser>
        <c:marker val="1"/>
        <c:axId val="107976960"/>
        <c:axId val="107975424"/>
      </c:lineChart>
      <c:catAx>
        <c:axId val="107963520"/>
        <c:scaling>
          <c:orientation val="minMax"/>
        </c:scaling>
        <c:axPos val="b"/>
        <c:tickLblPos val="nextTo"/>
        <c:crossAx val="107965440"/>
        <c:crosses val="autoZero"/>
        <c:auto val="1"/>
        <c:lblAlgn val="ctr"/>
        <c:lblOffset val="100"/>
      </c:catAx>
      <c:valAx>
        <c:axId val="107965440"/>
        <c:scaling>
          <c:orientation val="minMax"/>
        </c:scaling>
        <c:axPos val="l"/>
        <c:numFmt formatCode="0.0_ " sourceLinked="1"/>
        <c:tickLblPos val="nextTo"/>
        <c:crossAx val="107963520"/>
        <c:crosses val="autoZero"/>
        <c:crossBetween val="between"/>
      </c:valAx>
      <c:valAx>
        <c:axId val="107975424"/>
        <c:scaling>
          <c:orientation val="minMax"/>
          <c:max val="16"/>
          <c:min val="-6"/>
        </c:scaling>
        <c:axPos val="r"/>
        <c:numFmt formatCode="0.0_ " sourceLinked="1"/>
        <c:tickLblPos val="nextTo"/>
        <c:crossAx val="107976960"/>
        <c:crosses val="max"/>
        <c:crossBetween val="between"/>
        <c:majorUnit val="4"/>
      </c:valAx>
      <c:catAx>
        <c:axId val="107976960"/>
        <c:scaling>
          <c:orientation val="minMax"/>
        </c:scaling>
        <c:delete val="1"/>
        <c:axPos val="b"/>
        <c:tickLblPos val="nextTo"/>
        <c:crossAx val="107975424"/>
        <c:crosses val="autoZero"/>
        <c:auto val="1"/>
        <c:lblAlgn val="ctr"/>
        <c:lblOffset val="100"/>
      </c:catAx>
    </c:plotArea>
    <c:legend>
      <c:legendPos val="b"/>
      <c:layout>
        <c:manualLayout>
          <c:xMode val="edge"/>
          <c:yMode val="edge"/>
          <c:x val="0.23666666666666666"/>
          <c:y val="0.90726711084190759"/>
          <c:w val="0.52666666666666651"/>
          <c:h val="9.2732889158086765E-2"/>
        </c:manualLayout>
      </c:layout>
    </c:legend>
    <c:plotVisOnly val="1"/>
    <c:dispBlanksAs val="gap"/>
  </c:chart>
  <c:spPr>
    <a:noFill/>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4003018372703718"/>
          <c:y val="0.13010425780110821"/>
          <c:w val="0.74810629921259864"/>
          <c:h val="0.6552719451735296"/>
        </c:manualLayout>
      </c:layout>
      <c:barChart>
        <c:barDir val="col"/>
        <c:grouping val="clustered"/>
        <c:ser>
          <c:idx val="0"/>
          <c:order val="0"/>
          <c:tx>
            <c:strRef>
              <c:f>Sheet1!$H$74</c:f>
              <c:strCache>
                <c:ptCount val="1"/>
                <c:pt idx="0">
                  <c:v>社会消费品零售总额</c:v>
                </c:pt>
              </c:strCache>
            </c:strRef>
          </c:tx>
          <c:spPr>
            <a:solidFill>
              <a:schemeClr val="tx2">
                <a:lumMod val="40000"/>
                <a:lumOff val="60000"/>
              </a:schemeClr>
            </a:solidFill>
          </c:spPr>
          <c:dLbls>
            <c:dLbl>
              <c:idx val="1"/>
              <c:layout>
                <c:manualLayout>
                  <c:x val="2.7777777777778612E-3"/>
                  <c:y val="-2.7777777777778508E-2"/>
                </c:manualLayout>
              </c:layout>
              <c:showVal val="1"/>
            </c:dLbl>
            <c:txPr>
              <a:bodyPr/>
              <a:lstStyle/>
              <a:p>
                <a:pPr>
                  <a:defRPr sz="1100" b="1"/>
                </a:pPr>
                <a:endParaRPr lang="zh-CN"/>
              </a:p>
            </c:txPr>
            <c:showVal val="1"/>
          </c:dLbls>
          <c:cat>
            <c:strRef>
              <c:f>Sheet1!$I$73:$N$73</c:f>
              <c:strCache>
                <c:ptCount val="6"/>
                <c:pt idx="0">
                  <c:v>2011年</c:v>
                </c:pt>
                <c:pt idx="1">
                  <c:v>2012年</c:v>
                </c:pt>
                <c:pt idx="2">
                  <c:v>2013年</c:v>
                </c:pt>
                <c:pt idx="3">
                  <c:v>2014年</c:v>
                </c:pt>
                <c:pt idx="4">
                  <c:v>2015年</c:v>
                </c:pt>
                <c:pt idx="5">
                  <c:v>2016年</c:v>
                </c:pt>
              </c:strCache>
            </c:strRef>
          </c:cat>
          <c:val>
            <c:numRef>
              <c:f>Sheet1!$I$74:$N$74</c:f>
              <c:numCache>
                <c:formatCode>0.0_ </c:formatCode>
                <c:ptCount val="6"/>
                <c:pt idx="0">
                  <c:v>700.3</c:v>
                </c:pt>
                <c:pt idx="1">
                  <c:v>784.6</c:v>
                </c:pt>
                <c:pt idx="2">
                  <c:v>839.2</c:v>
                </c:pt>
                <c:pt idx="3">
                  <c:v>913.3</c:v>
                </c:pt>
                <c:pt idx="4">
                  <c:v>985.9</c:v>
                </c:pt>
                <c:pt idx="5">
                  <c:v>1046.5999999999999</c:v>
                </c:pt>
              </c:numCache>
            </c:numRef>
          </c:val>
        </c:ser>
        <c:axId val="110285568"/>
        <c:axId val="110287488"/>
      </c:barChart>
      <c:lineChart>
        <c:grouping val="standard"/>
        <c:ser>
          <c:idx val="1"/>
          <c:order val="1"/>
          <c:tx>
            <c:strRef>
              <c:f>Sheet1!$H$75</c:f>
              <c:strCache>
                <c:ptCount val="1"/>
                <c:pt idx="0">
                  <c:v>增速</c:v>
                </c:pt>
              </c:strCache>
            </c:strRef>
          </c:tx>
          <c:dLbls>
            <c:dLbl>
              <c:idx val="0"/>
              <c:layout>
                <c:manualLayout>
                  <c:x val="0"/>
                  <c:y val="-2.7777777777778585E-2"/>
                </c:manualLayout>
              </c:layout>
              <c:dLblPos val="b"/>
              <c:showVal val="1"/>
            </c:dLbl>
            <c:txPr>
              <a:bodyPr/>
              <a:lstStyle/>
              <a:p>
                <a:pPr>
                  <a:defRPr sz="1100" b="1"/>
                </a:pPr>
                <a:endParaRPr lang="zh-CN"/>
              </a:p>
            </c:txPr>
            <c:dLblPos val="b"/>
            <c:showVal val="1"/>
          </c:dLbls>
          <c:cat>
            <c:strRef>
              <c:f>Sheet1!$I$73:$N$73</c:f>
              <c:strCache>
                <c:ptCount val="6"/>
                <c:pt idx="0">
                  <c:v>2011年</c:v>
                </c:pt>
                <c:pt idx="1">
                  <c:v>2012年</c:v>
                </c:pt>
                <c:pt idx="2">
                  <c:v>2013年</c:v>
                </c:pt>
                <c:pt idx="3">
                  <c:v>2014年</c:v>
                </c:pt>
                <c:pt idx="4">
                  <c:v>2015年</c:v>
                </c:pt>
                <c:pt idx="5">
                  <c:v>2016年</c:v>
                </c:pt>
              </c:strCache>
            </c:strRef>
          </c:cat>
          <c:val>
            <c:numRef>
              <c:f>Sheet1!$I$75:$N$75</c:f>
              <c:numCache>
                <c:formatCode>0.0_ </c:formatCode>
                <c:ptCount val="6"/>
                <c:pt idx="0">
                  <c:v>16.058999005634746</c:v>
                </c:pt>
                <c:pt idx="1">
                  <c:v>12.037698129373098</c:v>
                </c:pt>
                <c:pt idx="2">
                  <c:v>6.9589599796074255</c:v>
                </c:pt>
                <c:pt idx="3">
                  <c:v>8.8298379408960841</c:v>
                </c:pt>
                <c:pt idx="4">
                  <c:v>7.9</c:v>
                </c:pt>
                <c:pt idx="5">
                  <c:v>6.2</c:v>
                </c:pt>
              </c:numCache>
            </c:numRef>
          </c:val>
        </c:ser>
        <c:marker val="1"/>
        <c:axId val="110692608"/>
        <c:axId val="110691072"/>
      </c:lineChart>
      <c:catAx>
        <c:axId val="110285568"/>
        <c:scaling>
          <c:orientation val="minMax"/>
        </c:scaling>
        <c:axPos val="b"/>
        <c:tickLblPos val="nextTo"/>
        <c:crossAx val="110287488"/>
        <c:crosses val="autoZero"/>
        <c:auto val="1"/>
        <c:lblAlgn val="ctr"/>
        <c:lblOffset val="100"/>
      </c:catAx>
      <c:valAx>
        <c:axId val="110287488"/>
        <c:scaling>
          <c:orientation val="minMax"/>
        </c:scaling>
        <c:axPos val="l"/>
        <c:numFmt formatCode="0.0_ " sourceLinked="1"/>
        <c:tickLblPos val="nextTo"/>
        <c:crossAx val="110285568"/>
        <c:crosses val="autoZero"/>
        <c:crossBetween val="between"/>
        <c:majorUnit val="200"/>
      </c:valAx>
      <c:valAx>
        <c:axId val="110691072"/>
        <c:scaling>
          <c:orientation val="minMax"/>
          <c:max val="18"/>
        </c:scaling>
        <c:axPos val="r"/>
        <c:numFmt formatCode="0.0_ " sourceLinked="1"/>
        <c:tickLblPos val="nextTo"/>
        <c:crossAx val="110692608"/>
        <c:crosses val="max"/>
        <c:crossBetween val="between"/>
        <c:majorUnit val="4"/>
      </c:valAx>
      <c:catAx>
        <c:axId val="110692608"/>
        <c:scaling>
          <c:orientation val="minMax"/>
        </c:scaling>
        <c:delete val="1"/>
        <c:axPos val="b"/>
        <c:tickLblPos val="nextTo"/>
        <c:crossAx val="110691072"/>
        <c:crosses val="autoZero"/>
        <c:auto val="1"/>
        <c:lblAlgn val="ctr"/>
        <c:lblOffset val="100"/>
      </c:catAx>
    </c:plotArea>
    <c:legend>
      <c:legendPos val="b"/>
    </c:legend>
    <c:plotVisOnly val="1"/>
    <c:dispBlanksAs val="gap"/>
  </c:chart>
  <c:spPr>
    <a:noFill/>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7779965004374525E-2"/>
          <c:y val="0.11950191340586241"/>
          <c:w val="0.87166447944008119"/>
          <c:h val="0.72644306866221853"/>
        </c:manualLayout>
      </c:layout>
      <c:barChart>
        <c:barDir val="col"/>
        <c:grouping val="clustered"/>
        <c:ser>
          <c:idx val="0"/>
          <c:order val="0"/>
          <c:tx>
            <c:strRef>
              <c:f>Sheet1!$H$93</c:f>
              <c:strCache>
                <c:ptCount val="1"/>
                <c:pt idx="0">
                  <c:v>实际利用外资额</c:v>
                </c:pt>
              </c:strCache>
            </c:strRef>
          </c:tx>
          <c:dLbls>
            <c:dLbl>
              <c:idx val="5"/>
              <c:tx>
                <c:rich>
                  <a:bodyPr/>
                  <a:lstStyle/>
                  <a:p>
                    <a:r>
                      <a:rPr lang="en-US" altLang="en-US"/>
                      <a:t>5.0 </a:t>
                    </a:r>
                  </a:p>
                </c:rich>
              </c:tx>
              <c:showVal val="1"/>
            </c:dLbl>
            <c:txPr>
              <a:bodyPr/>
              <a:lstStyle/>
              <a:p>
                <a:pPr>
                  <a:defRPr sz="1100" b="1"/>
                </a:pPr>
                <a:endParaRPr lang="zh-CN"/>
              </a:p>
            </c:txPr>
            <c:showVal val="1"/>
          </c:dLbls>
          <c:cat>
            <c:strRef>
              <c:f>Sheet1!$I$92:$N$92</c:f>
              <c:strCache>
                <c:ptCount val="6"/>
                <c:pt idx="0">
                  <c:v>2011年</c:v>
                </c:pt>
                <c:pt idx="1">
                  <c:v>2012年</c:v>
                </c:pt>
                <c:pt idx="2">
                  <c:v>2013年</c:v>
                </c:pt>
                <c:pt idx="3">
                  <c:v>2014年</c:v>
                </c:pt>
                <c:pt idx="4">
                  <c:v>2015年</c:v>
                </c:pt>
                <c:pt idx="5">
                  <c:v>2016年</c:v>
                </c:pt>
              </c:strCache>
            </c:strRef>
          </c:cat>
          <c:val>
            <c:numRef>
              <c:f>Sheet1!$I$93:$N$93</c:f>
              <c:numCache>
                <c:formatCode>0.0_ </c:formatCode>
                <c:ptCount val="6"/>
                <c:pt idx="0">
                  <c:v>5.53</c:v>
                </c:pt>
                <c:pt idx="1">
                  <c:v>6.3599999999999985</c:v>
                </c:pt>
                <c:pt idx="2">
                  <c:v>6.6099999999999985</c:v>
                </c:pt>
                <c:pt idx="3">
                  <c:v>5.0999999999999996</c:v>
                </c:pt>
                <c:pt idx="4">
                  <c:v>5.3</c:v>
                </c:pt>
                <c:pt idx="5">
                  <c:v>5.0999999999999996</c:v>
                </c:pt>
              </c:numCache>
            </c:numRef>
          </c:val>
        </c:ser>
        <c:axId val="121370880"/>
        <c:axId val="121485568"/>
      </c:barChart>
      <c:catAx>
        <c:axId val="121370880"/>
        <c:scaling>
          <c:orientation val="minMax"/>
        </c:scaling>
        <c:axPos val="b"/>
        <c:tickLblPos val="nextTo"/>
        <c:crossAx val="121485568"/>
        <c:crosses val="autoZero"/>
        <c:auto val="1"/>
        <c:lblAlgn val="ctr"/>
        <c:lblOffset val="100"/>
      </c:catAx>
      <c:valAx>
        <c:axId val="121485568"/>
        <c:scaling>
          <c:orientation val="minMax"/>
        </c:scaling>
        <c:axPos val="l"/>
        <c:numFmt formatCode="0.0_ " sourceLinked="1"/>
        <c:tickLblPos val="nextTo"/>
        <c:crossAx val="121370880"/>
        <c:crosses val="autoZero"/>
        <c:crossBetween val="between"/>
      </c:valAx>
    </c:plotArea>
    <c:plotVisOnly val="1"/>
  </c:chart>
  <c:spPr>
    <a:noFill/>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5946631671043"/>
          <c:y val="0.11757719623282384"/>
          <c:w val="0.76218985126860572"/>
          <c:h val="0.61687316658948299"/>
        </c:manualLayout>
      </c:layout>
      <c:barChart>
        <c:barDir val="col"/>
        <c:grouping val="clustered"/>
        <c:ser>
          <c:idx val="0"/>
          <c:order val="0"/>
          <c:tx>
            <c:strRef>
              <c:f>Sheet1!$H$111</c:f>
              <c:strCache>
                <c:ptCount val="1"/>
                <c:pt idx="0">
                  <c:v>规模以上工业总产值</c:v>
                </c:pt>
              </c:strCache>
            </c:strRef>
          </c:tx>
          <c:spPr>
            <a:solidFill>
              <a:schemeClr val="tx2">
                <a:lumMod val="40000"/>
                <a:lumOff val="60000"/>
              </a:schemeClr>
            </a:solidFill>
          </c:spPr>
          <c:dLbls>
            <c:txPr>
              <a:bodyPr/>
              <a:lstStyle/>
              <a:p>
                <a:pPr>
                  <a:defRPr sz="1100" b="1"/>
                </a:pPr>
                <a:endParaRPr lang="zh-CN"/>
              </a:p>
            </c:txPr>
            <c:showVal val="1"/>
          </c:dLbls>
          <c:cat>
            <c:strRef>
              <c:f>Sheet1!$I$110:$N$110</c:f>
              <c:strCache>
                <c:ptCount val="6"/>
                <c:pt idx="0">
                  <c:v>2011年</c:v>
                </c:pt>
                <c:pt idx="1">
                  <c:v>2012年</c:v>
                </c:pt>
                <c:pt idx="2">
                  <c:v>2013年</c:v>
                </c:pt>
                <c:pt idx="3">
                  <c:v>2014年</c:v>
                </c:pt>
                <c:pt idx="4">
                  <c:v>2015年</c:v>
                </c:pt>
                <c:pt idx="5">
                  <c:v>2016年</c:v>
                </c:pt>
              </c:strCache>
            </c:strRef>
          </c:cat>
          <c:val>
            <c:numRef>
              <c:f>Sheet1!$I$111:$N$111</c:f>
              <c:numCache>
                <c:formatCode>0.0_ </c:formatCode>
                <c:ptCount val="6"/>
                <c:pt idx="0">
                  <c:v>106.6</c:v>
                </c:pt>
                <c:pt idx="1">
                  <c:v>109.6</c:v>
                </c:pt>
                <c:pt idx="2">
                  <c:v>123.5</c:v>
                </c:pt>
                <c:pt idx="3">
                  <c:v>161.6</c:v>
                </c:pt>
                <c:pt idx="4">
                  <c:v>184.9</c:v>
                </c:pt>
                <c:pt idx="5">
                  <c:v>185.8</c:v>
                </c:pt>
              </c:numCache>
            </c:numRef>
          </c:val>
        </c:ser>
        <c:axId val="121854208"/>
        <c:axId val="125616512"/>
      </c:barChart>
      <c:lineChart>
        <c:grouping val="stacked"/>
        <c:ser>
          <c:idx val="1"/>
          <c:order val="1"/>
          <c:tx>
            <c:strRef>
              <c:f>Sheet1!$H$112</c:f>
              <c:strCache>
                <c:ptCount val="1"/>
                <c:pt idx="0">
                  <c:v>增速</c:v>
                </c:pt>
              </c:strCache>
            </c:strRef>
          </c:tx>
          <c:dLbls>
            <c:dLbl>
              <c:idx val="0"/>
              <c:layout>
                <c:manualLayout>
                  <c:x val="-8.3333333333333367E-3"/>
                  <c:y val="0.14814814814814894"/>
                </c:manualLayout>
              </c:layout>
              <c:dLblPos val="t"/>
              <c:showVal val="1"/>
            </c:dLbl>
            <c:dLbl>
              <c:idx val="1"/>
              <c:layout>
                <c:manualLayout>
                  <c:x val="0"/>
                  <c:y val="-3.7037037037037056E-2"/>
                </c:manualLayout>
              </c:layout>
              <c:dLblPos val="t"/>
              <c:showVal val="1"/>
            </c:dLbl>
            <c:txPr>
              <a:bodyPr/>
              <a:lstStyle/>
              <a:p>
                <a:pPr>
                  <a:defRPr sz="1100" b="1"/>
                </a:pPr>
                <a:endParaRPr lang="zh-CN"/>
              </a:p>
            </c:txPr>
            <c:dLblPos val="t"/>
            <c:showVal val="1"/>
          </c:dLbls>
          <c:cat>
            <c:strRef>
              <c:f>Sheet1!$I$110:$N$110</c:f>
              <c:strCache>
                <c:ptCount val="6"/>
                <c:pt idx="0">
                  <c:v>2011年</c:v>
                </c:pt>
                <c:pt idx="1">
                  <c:v>2012年</c:v>
                </c:pt>
                <c:pt idx="2">
                  <c:v>2013年</c:v>
                </c:pt>
                <c:pt idx="3">
                  <c:v>2014年</c:v>
                </c:pt>
                <c:pt idx="4">
                  <c:v>2015年</c:v>
                </c:pt>
                <c:pt idx="5">
                  <c:v>2016年</c:v>
                </c:pt>
              </c:strCache>
            </c:strRef>
          </c:cat>
          <c:val>
            <c:numRef>
              <c:f>Sheet1!$I$112:$N$112</c:f>
              <c:numCache>
                <c:formatCode>0.0_ </c:formatCode>
                <c:ptCount val="6"/>
                <c:pt idx="0">
                  <c:v>58.867362146050681</c:v>
                </c:pt>
                <c:pt idx="1">
                  <c:v>2.8142589118198238</c:v>
                </c:pt>
                <c:pt idx="2">
                  <c:v>12.682481751824824</c:v>
                </c:pt>
                <c:pt idx="3">
                  <c:v>30.850202429149792</c:v>
                </c:pt>
                <c:pt idx="4">
                  <c:v>14.4</c:v>
                </c:pt>
                <c:pt idx="5">
                  <c:v>0.70000000000000062</c:v>
                </c:pt>
              </c:numCache>
            </c:numRef>
          </c:val>
        </c:ser>
        <c:marker val="1"/>
        <c:axId val="125619584"/>
        <c:axId val="125618048"/>
      </c:lineChart>
      <c:catAx>
        <c:axId val="121854208"/>
        <c:scaling>
          <c:orientation val="minMax"/>
        </c:scaling>
        <c:axPos val="b"/>
        <c:tickLblPos val="nextTo"/>
        <c:crossAx val="125616512"/>
        <c:crosses val="autoZero"/>
        <c:auto val="1"/>
        <c:lblAlgn val="ctr"/>
        <c:lblOffset val="100"/>
      </c:catAx>
      <c:valAx>
        <c:axId val="125616512"/>
        <c:scaling>
          <c:orientation val="minMax"/>
        </c:scaling>
        <c:axPos val="l"/>
        <c:numFmt formatCode="0.0_ " sourceLinked="1"/>
        <c:tickLblPos val="nextTo"/>
        <c:crossAx val="121854208"/>
        <c:crosses val="autoZero"/>
        <c:crossBetween val="between"/>
        <c:majorUnit val="40"/>
      </c:valAx>
      <c:valAx>
        <c:axId val="125618048"/>
        <c:scaling>
          <c:orientation val="minMax"/>
          <c:max val="60"/>
          <c:min val="0"/>
        </c:scaling>
        <c:axPos val="r"/>
        <c:numFmt formatCode="0.0_ " sourceLinked="1"/>
        <c:tickLblPos val="nextTo"/>
        <c:crossAx val="125619584"/>
        <c:crosses val="max"/>
        <c:crossBetween val="between"/>
        <c:majorUnit val="10"/>
      </c:valAx>
      <c:catAx>
        <c:axId val="125619584"/>
        <c:scaling>
          <c:orientation val="minMax"/>
        </c:scaling>
        <c:delete val="1"/>
        <c:axPos val="b"/>
        <c:tickLblPos val="nextTo"/>
        <c:crossAx val="125618048"/>
        <c:crosses val="autoZero"/>
        <c:auto val="1"/>
        <c:lblAlgn val="ctr"/>
        <c:lblOffset val="100"/>
      </c:catAx>
    </c:plotArea>
    <c:legend>
      <c:legendPos val="b"/>
    </c:legend>
    <c:plotVisOnly val="1"/>
    <c:dispBlanksAs val="zero"/>
  </c:chart>
  <c:spPr>
    <a:noFill/>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5946631671043"/>
          <c:y val="0.14399314668999999"/>
          <c:w val="0.76218985126860572"/>
          <c:h val="0.59045713035870506"/>
        </c:manualLayout>
      </c:layout>
      <c:barChart>
        <c:barDir val="col"/>
        <c:grouping val="clustered"/>
        <c:ser>
          <c:idx val="0"/>
          <c:order val="0"/>
          <c:tx>
            <c:strRef>
              <c:f>Sheet1!$H$128</c:f>
              <c:strCache>
                <c:ptCount val="1"/>
                <c:pt idx="0">
                  <c:v>具有资质等级及以上的建筑业总产值</c:v>
                </c:pt>
              </c:strCache>
            </c:strRef>
          </c:tx>
          <c:spPr>
            <a:solidFill>
              <a:schemeClr val="tx2">
                <a:lumMod val="40000"/>
                <a:lumOff val="60000"/>
              </a:schemeClr>
            </a:solidFill>
          </c:spPr>
          <c:dLbls>
            <c:txPr>
              <a:bodyPr/>
              <a:lstStyle/>
              <a:p>
                <a:pPr>
                  <a:defRPr sz="1100" b="1"/>
                </a:pPr>
                <a:endParaRPr lang="zh-CN"/>
              </a:p>
            </c:txPr>
            <c:showVal val="1"/>
          </c:dLbls>
          <c:cat>
            <c:strRef>
              <c:f>Sheet1!$I$127:$N$127</c:f>
              <c:strCache>
                <c:ptCount val="6"/>
                <c:pt idx="0">
                  <c:v>2011年</c:v>
                </c:pt>
                <c:pt idx="1">
                  <c:v>2012年</c:v>
                </c:pt>
                <c:pt idx="2">
                  <c:v>2013年</c:v>
                </c:pt>
                <c:pt idx="3">
                  <c:v>2014年</c:v>
                </c:pt>
                <c:pt idx="4">
                  <c:v>2015年</c:v>
                </c:pt>
                <c:pt idx="5">
                  <c:v>2016年</c:v>
                </c:pt>
              </c:strCache>
            </c:strRef>
          </c:cat>
          <c:val>
            <c:numRef>
              <c:f>Sheet1!$I$128:$N$128</c:f>
              <c:numCache>
                <c:formatCode>0.0_ </c:formatCode>
                <c:ptCount val="6"/>
                <c:pt idx="0">
                  <c:v>431.7</c:v>
                </c:pt>
                <c:pt idx="1">
                  <c:v>445.9</c:v>
                </c:pt>
                <c:pt idx="2">
                  <c:v>503.1</c:v>
                </c:pt>
                <c:pt idx="3">
                  <c:v>513.29999999999995</c:v>
                </c:pt>
                <c:pt idx="4">
                  <c:v>552.79999999999995</c:v>
                </c:pt>
                <c:pt idx="5">
                  <c:v>628.4</c:v>
                </c:pt>
              </c:numCache>
            </c:numRef>
          </c:val>
        </c:ser>
        <c:axId val="110870912"/>
        <c:axId val="110872448"/>
      </c:barChart>
      <c:lineChart>
        <c:grouping val="standard"/>
        <c:ser>
          <c:idx val="1"/>
          <c:order val="1"/>
          <c:tx>
            <c:strRef>
              <c:f>Sheet1!$H$129</c:f>
              <c:strCache>
                <c:ptCount val="1"/>
                <c:pt idx="0">
                  <c:v>增速</c:v>
                </c:pt>
              </c:strCache>
            </c:strRef>
          </c:tx>
          <c:dLbls>
            <c:txPr>
              <a:bodyPr/>
              <a:lstStyle/>
              <a:p>
                <a:pPr>
                  <a:defRPr sz="1100" b="1"/>
                </a:pPr>
                <a:endParaRPr lang="zh-CN"/>
              </a:p>
            </c:txPr>
            <c:dLblPos val="t"/>
            <c:showVal val="1"/>
          </c:dLbls>
          <c:cat>
            <c:strRef>
              <c:f>Sheet1!$I$127:$N$127</c:f>
              <c:strCache>
                <c:ptCount val="6"/>
                <c:pt idx="0">
                  <c:v>2011年</c:v>
                </c:pt>
                <c:pt idx="1">
                  <c:v>2012年</c:v>
                </c:pt>
                <c:pt idx="2">
                  <c:v>2013年</c:v>
                </c:pt>
                <c:pt idx="3">
                  <c:v>2014年</c:v>
                </c:pt>
                <c:pt idx="4">
                  <c:v>2015年</c:v>
                </c:pt>
                <c:pt idx="5">
                  <c:v>2016年</c:v>
                </c:pt>
              </c:strCache>
            </c:strRef>
          </c:cat>
          <c:val>
            <c:numRef>
              <c:f>Sheet1!$I$129:$N$129</c:f>
              <c:numCache>
                <c:formatCode>0.0_ </c:formatCode>
                <c:ptCount val="6"/>
                <c:pt idx="0">
                  <c:v>23.237225235512415</c:v>
                </c:pt>
                <c:pt idx="1">
                  <c:v>3.2893212879314935</c:v>
                </c:pt>
                <c:pt idx="2">
                  <c:v>12.827988338192425</c:v>
                </c:pt>
                <c:pt idx="3">
                  <c:v>2.0274299344066549</c:v>
                </c:pt>
                <c:pt idx="4">
                  <c:v>7.7</c:v>
                </c:pt>
                <c:pt idx="5">
                  <c:v>13.7</c:v>
                </c:pt>
              </c:numCache>
            </c:numRef>
          </c:val>
        </c:ser>
        <c:marker val="1"/>
        <c:axId val="120517760"/>
        <c:axId val="110873984"/>
      </c:lineChart>
      <c:catAx>
        <c:axId val="110870912"/>
        <c:scaling>
          <c:orientation val="minMax"/>
        </c:scaling>
        <c:axPos val="b"/>
        <c:tickLblPos val="nextTo"/>
        <c:crossAx val="110872448"/>
        <c:crosses val="autoZero"/>
        <c:auto val="1"/>
        <c:lblAlgn val="ctr"/>
        <c:lblOffset val="100"/>
      </c:catAx>
      <c:valAx>
        <c:axId val="110872448"/>
        <c:scaling>
          <c:orientation val="minMax"/>
        </c:scaling>
        <c:axPos val="l"/>
        <c:numFmt formatCode="0.0_ " sourceLinked="1"/>
        <c:tickLblPos val="nextTo"/>
        <c:crossAx val="110870912"/>
        <c:crosses val="autoZero"/>
        <c:crossBetween val="between"/>
      </c:valAx>
      <c:valAx>
        <c:axId val="110873984"/>
        <c:scaling>
          <c:orientation val="minMax"/>
        </c:scaling>
        <c:axPos val="r"/>
        <c:numFmt formatCode="0.0_ " sourceLinked="1"/>
        <c:tickLblPos val="nextTo"/>
        <c:crossAx val="120517760"/>
        <c:crosses val="max"/>
        <c:crossBetween val="between"/>
      </c:valAx>
      <c:catAx>
        <c:axId val="120517760"/>
        <c:scaling>
          <c:orientation val="minMax"/>
        </c:scaling>
        <c:delete val="1"/>
        <c:axPos val="b"/>
        <c:tickLblPos val="nextTo"/>
        <c:crossAx val="110873984"/>
        <c:crosses val="autoZero"/>
        <c:auto val="1"/>
        <c:lblAlgn val="ctr"/>
        <c:lblOffset val="100"/>
      </c:catAx>
      <c:spPr>
        <a:noFill/>
        <a:ln w="25400">
          <a:noFill/>
        </a:ln>
      </c:spPr>
    </c:plotArea>
    <c:legend>
      <c:legendPos val="b"/>
    </c:legend>
    <c:plotVisOnly val="1"/>
    <c:dispBlanksAs val="gap"/>
  </c:chart>
  <c:spPr>
    <a:noFill/>
    <a:ln>
      <a:noFill/>
    </a:ln>
  </c:spPr>
  <c:externalData r:id="rId1"/>
  <c:userShapes r:id="rId2"/>
</c:chartSpace>
</file>

<file path=word/drawings/_rels/drawing8.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0.17917</cdr:x>
      <cdr:y>0.07986</cdr:y>
    </cdr:to>
    <cdr:sp macro="" textlink="">
      <cdr:nvSpPr>
        <cdr:cNvPr id="2" name="TextBox 1"/>
        <cdr:cNvSpPr txBox="1"/>
      </cdr:nvSpPr>
      <cdr:spPr>
        <a:xfrm xmlns:a="http://schemas.openxmlformats.org/drawingml/2006/main">
          <a:off x="0" y="-56485"/>
          <a:ext cx="819165" cy="2707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000"/>
            <a:t>万人</a:t>
          </a:r>
        </a:p>
      </cdr:txBody>
    </cdr:sp>
  </cdr:relSizeAnchor>
</c:userShapes>
</file>

<file path=word/drawings/drawing2.xml><?xml version="1.0" encoding="utf-8"?>
<c:userShapes xmlns:c="http://schemas.openxmlformats.org/drawingml/2006/chart">
  <cdr:relSizeAnchor xmlns:cdr="http://schemas.openxmlformats.org/drawingml/2006/chartDrawing">
    <cdr:from>
      <cdr:x>0.87164</cdr:x>
      <cdr:y>0.00347</cdr:y>
    </cdr:from>
    <cdr:to>
      <cdr:x>0.99793</cdr:x>
      <cdr:y>0.09375</cdr:y>
    </cdr:to>
    <cdr:sp macro="" textlink="">
      <cdr:nvSpPr>
        <cdr:cNvPr id="2" name="TextBox 1"/>
        <cdr:cNvSpPr txBox="1"/>
      </cdr:nvSpPr>
      <cdr:spPr>
        <a:xfrm xmlns:a="http://schemas.openxmlformats.org/drawingml/2006/main">
          <a:off x="4010026" y="9525"/>
          <a:ext cx="581025"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000"/>
            <a:t>增速</a:t>
          </a:r>
          <a:r>
            <a:rPr lang="en-US" altLang="zh-CN" sz="1000"/>
            <a:t>%</a:t>
          </a:r>
          <a:endParaRPr lang="zh-CN" altLang="en-US" sz="1000"/>
        </a:p>
      </cdr:txBody>
    </cdr:sp>
  </cdr:relSizeAnchor>
  <cdr:relSizeAnchor xmlns:cdr="http://schemas.openxmlformats.org/drawingml/2006/chartDrawing">
    <cdr:from>
      <cdr:x>0</cdr:x>
      <cdr:y>0</cdr:y>
    </cdr:from>
    <cdr:to>
      <cdr:x>0.21118</cdr:x>
      <cdr:y>0.09028</cdr:y>
    </cdr:to>
    <cdr:sp macro="" textlink="">
      <cdr:nvSpPr>
        <cdr:cNvPr id="3" name="TextBox 1"/>
        <cdr:cNvSpPr txBox="1"/>
      </cdr:nvSpPr>
      <cdr:spPr>
        <a:xfrm xmlns:a="http://schemas.openxmlformats.org/drawingml/2006/main">
          <a:off x="0" y="0"/>
          <a:ext cx="971551"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t>单位：亿元</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0.00334</cdr:y>
    </cdr:from>
    <cdr:to>
      <cdr:x>0.18333</cdr:x>
      <cdr:y>0.07692</cdr:y>
    </cdr:to>
    <cdr:sp macro="" textlink="">
      <cdr:nvSpPr>
        <cdr:cNvPr id="2" name="TextBox 1"/>
        <cdr:cNvSpPr txBox="1"/>
      </cdr:nvSpPr>
      <cdr:spPr>
        <a:xfrm xmlns:a="http://schemas.openxmlformats.org/drawingml/2006/main">
          <a:off x="0" y="9525"/>
          <a:ext cx="838200" cy="2095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000"/>
            <a:t>单位：亿元</a:t>
          </a:r>
        </a:p>
      </cdr:txBody>
    </cdr:sp>
  </cdr:relSizeAnchor>
  <cdr:relSizeAnchor xmlns:cdr="http://schemas.openxmlformats.org/drawingml/2006/chartDrawing">
    <cdr:from>
      <cdr:x>0.87292</cdr:x>
      <cdr:y>0</cdr:y>
    </cdr:from>
    <cdr:to>
      <cdr:x>1</cdr:x>
      <cdr:y>0.07692</cdr:y>
    </cdr:to>
    <cdr:sp macro="" textlink="">
      <cdr:nvSpPr>
        <cdr:cNvPr id="3" name="TextBox 1"/>
        <cdr:cNvSpPr txBox="1"/>
      </cdr:nvSpPr>
      <cdr:spPr>
        <a:xfrm xmlns:a="http://schemas.openxmlformats.org/drawingml/2006/main">
          <a:off x="3990975" y="0"/>
          <a:ext cx="581025" cy="2190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t>增速</a:t>
          </a:r>
          <a:r>
            <a:rPr lang="en-US" altLang="zh-CN" sz="1000"/>
            <a:t>%</a:t>
          </a:r>
          <a:endParaRPr lang="zh-CN" alt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0.8625</cdr:x>
      <cdr:y>0.03125</cdr:y>
    </cdr:from>
    <cdr:to>
      <cdr:x>1</cdr:x>
      <cdr:y>0.10417</cdr:y>
    </cdr:to>
    <cdr:sp macro="" textlink="">
      <cdr:nvSpPr>
        <cdr:cNvPr id="2" name="TextBox 6"/>
        <cdr:cNvSpPr txBox="1"/>
      </cdr:nvSpPr>
      <cdr:spPr>
        <a:xfrm xmlns:a="http://schemas.openxmlformats.org/drawingml/2006/main">
          <a:off x="3962400" y="85725"/>
          <a:ext cx="628650" cy="200025"/>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zh-CN" altLang="en-US" sz="1000" b="0"/>
            <a:t>增速</a:t>
          </a:r>
          <a:r>
            <a:rPr lang="en-US" altLang="zh-CN" sz="1000" b="0"/>
            <a:t>%</a:t>
          </a:r>
          <a:endParaRPr lang="zh-CN" altLang="en-US" sz="1000" b="0"/>
        </a:p>
      </cdr:txBody>
    </cdr:sp>
  </cdr:relSizeAnchor>
</c:userShapes>
</file>

<file path=word/drawings/drawing5.xml><?xml version="1.0" encoding="utf-8"?>
<c:userShapes xmlns:c="http://schemas.openxmlformats.org/drawingml/2006/chart">
  <cdr:relSizeAnchor xmlns:cdr="http://schemas.openxmlformats.org/drawingml/2006/chartDrawing">
    <cdr:from>
      <cdr:x>0.03125</cdr:x>
      <cdr:y>0.00694</cdr:y>
    </cdr:from>
    <cdr:to>
      <cdr:x>0.14375</cdr:x>
      <cdr:y>0.08681</cdr:y>
    </cdr:to>
    <cdr:sp macro="" textlink="">
      <cdr:nvSpPr>
        <cdr:cNvPr id="2" name="TextBox 6"/>
        <cdr:cNvSpPr txBox="1"/>
      </cdr:nvSpPr>
      <cdr:spPr>
        <a:xfrm xmlns:a="http://schemas.openxmlformats.org/drawingml/2006/main">
          <a:off x="142875" y="19050"/>
          <a:ext cx="514350" cy="219075"/>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zh-CN" altLang="en-US" sz="1000" b="0"/>
            <a:t>亿元</a:t>
          </a:r>
        </a:p>
      </cdr:txBody>
    </cdr:sp>
  </cdr:relSizeAnchor>
  <cdr:relSizeAnchor xmlns:cdr="http://schemas.openxmlformats.org/drawingml/2006/chartDrawing">
    <cdr:from>
      <cdr:x>0.90417</cdr:x>
      <cdr:y>0.01389</cdr:y>
    </cdr:from>
    <cdr:to>
      <cdr:x>0.975</cdr:x>
      <cdr:y>0.08681</cdr:y>
    </cdr:to>
    <cdr:sp macro="" textlink="">
      <cdr:nvSpPr>
        <cdr:cNvPr id="4" name="TextBox 6"/>
        <cdr:cNvSpPr txBox="1"/>
      </cdr:nvSpPr>
      <cdr:spPr>
        <a:xfrm xmlns:a="http://schemas.openxmlformats.org/drawingml/2006/main">
          <a:off x="4133850" y="38100"/>
          <a:ext cx="323850" cy="200025"/>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ltLang="zh-CN" sz="1000" b="0"/>
            <a:t>%</a:t>
          </a:r>
          <a:endParaRPr lang="zh-CN" altLang="en-US" sz="1000" b="0"/>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0.0625</cdr:y>
    </cdr:from>
    <cdr:to>
      <cdr:x>0.14375</cdr:x>
      <cdr:y>0.14583</cdr:y>
    </cdr:to>
    <cdr:sp macro="" textlink="">
      <cdr:nvSpPr>
        <cdr:cNvPr id="2" name="TextBox 6"/>
        <cdr:cNvSpPr txBox="1"/>
      </cdr:nvSpPr>
      <cdr:spPr>
        <a:xfrm xmlns:a="http://schemas.openxmlformats.org/drawingml/2006/main">
          <a:off x="0" y="171450"/>
          <a:ext cx="657224" cy="228600"/>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zh-CN" altLang="en-US" sz="1000" b="0"/>
            <a:t>亿美元</a:t>
          </a:r>
        </a:p>
      </cdr:txBody>
    </cdr:sp>
  </cdr:relSizeAnchor>
</c:userShapes>
</file>

<file path=word/drawings/drawing7.xml><?xml version="1.0" encoding="utf-8"?>
<c:userShapes xmlns:c="http://schemas.openxmlformats.org/drawingml/2006/chart">
  <cdr:relSizeAnchor xmlns:cdr="http://schemas.openxmlformats.org/drawingml/2006/chartDrawing">
    <cdr:from>
      <cdr:x>0.02083</cdr:x>
      <cdr:y>0</cdr:y>
    </cdr:from>
    <cdr:to>
      <cdr:x>0.13333</cdr:x>
      <cdr:y>0.08333</cdr:y>
    </cdr:to>
    <cdr:sp macro="" textlink="">
      <cdr:nvSpPr>
        <cdr:cNvPr id="2" name="TextBox 6"/>
        <cdr:cNvSpPr txBox="1"/>
      </cdr:nvSpPr>
      <cdr:spPr>
        <a:xfrm xmlns:a="http://schemas.openxmlformats.org/drawingml/2006/main">
          <a:off x="95251" y="0"/>
          <a:ext cx="514350" cy="228600"/>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zh-CN" altLang="en-US" sz="1000" b="0"/>
            <a:t>亿元</a:t>
          </a:r>
        </a:p>
      </cdr:txBody>
    </cdr:sp>
  </cdr:relSizeAnchor>
  <cdr:relSizeAnchor xmlns:cdr="http://schemas.openxmlformats.org/drawingml/2006/chartDrawing">
    <cdr:from>
      <cdr:x>0.90625</cdr:x>
      <cdr:y>0</cdr:y>
    </cdr:from>
    <cdr:to>
      <cdr:x>0.97708</cdr:x>
      <cdr:y>0.07292</cdr:y>
    </cdr:to>
    <cdr:sp macro="" textlink="">
      <cdr:nvSpPr>
        <cdr:cNvPr id="3" name="TextBox 6"/>
        <cdr:cNvSpPr txBox="1"/>
      </cdr:nvSpPr>
      <cdr:spPr>
        <a:xfrm xmlns:a="http://schemas.openxmlformats.org/drawingml/2006/main">
          <a:off x="4143390" y="-86795"/>
          <a:ext cx="323835" cy="188921"/>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ltLang="zh-CN" sz="1000" b="0"/>
            <a:t>%</a:t>
          </a:r>
          <a:endParaRPr lang="zh-CN" altLang="en-US" sz="1000" b="0"/>
        </a:p>
      </cdr:txBody>
    </cdr:sp>
  </cdr:relSizeAnchor>
</c:userShapes>
</file>

<file path=word/drawings/drawing8.xml><?xml version="1.0" encoding="utf-8"?>
<c:userShapes xmlns:c="http://schemas.openxmlformats.org/drawingml/2006/chart">
  <cdr:relSizeAnchor xmlns:cdr="http://schemas.openxmlformats.org/drawingml/2006/chartDrawing">
    <cdr:from>
      <cdr:x>0.01875</cdr:x>
      <cdr:y>0.01042</cdr:y>
    </cdr:from>
    <cdr:to>
      <cdr:x>0.13125</cdr:x>
      <cdr:y>0.09375</cdr:y>
    </cdr:to>
    <cdr:sp macro="" textlink="">
      <cdr:nvSpPr>
        <cdr:cNvPr id="2" name="TextBox 6"/>
        <cdr:cNvSpPr txBox="1"/>
      </cdr:nvSpPr>
      <cdr:spPr>
        <a:xfrm xmlns:a="http://schemas.openxmlformats.org/drawingml/2006/main">
          <a:off x="85725" y="28575"/>
          <a:ext cx="514350" cy="228600"/>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zh-CN" altLang="en-US" sz="1000" b="0"/>
            <a:t>亿元</a:t>
          </a:r>
        </a:p>
      </cdr:txBody>
    </cdr:sp>
  </cdr:relSizeAnchor>
  <cdr:relSizeAnchor xmlns:cdr="http://schemas.openxmlformats.org/drawingml/2006/chartDrawing">
    <cdr:from>
      <cdr:x>0</cdr:x>
      <cdr:y>0</cdr:y>
    </cdr:from>
    <cdr:to>
      <cdr:x>0.00533</cdr:x>
      <cdr:y>0.00889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0.90833</cdr:x>
      <cdr:y>0.00347</cdr:y>
    </cdr:from>
    <cdr:to>
      <cdr:x>0.97916</cdr:x>
      <cdr:y>0.07639</cdr:y>
    </cdr:to>
    <cdr:sp macro="" textlink="">
      <cdr:nvSpPr>
        <cdr:cNvPr id="4" name="TextBox 6"/>
        <cdr:cNvSpPr txBox="1"/>
      </cdr:nvSpPr>
      <cdr:spPr>
        <a:xfrm xmlns:a="http://schemas.openxmlformats.org/drawingml/2006/main">
          <a:off x="4152900" y="9525"/>
          <a:ext cx="323835" cy="200034"/>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ltLang="zh-CN" sz="1000" b="0"/>
            <a:t>%</a:t>
          </a:r>
          <a:endParaRPr lang="zh-CN" altLang="en-US" sz="1000" b="0"/>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0.00533</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0.03333</cdr:x>
      <cdr:y>0.04514</cdr:y>
    </cdr:from>
    <cdr:to>
      <cdr:x>0.10416</cdr:x>
      <cdr:y>0.11806</cdr:y>
    </cdr:to>
    <cdr:sp macro="" textlink="">
      <cdr:nvSpPr>
        <cdr:cNvPr id="3" name="TextBox 6"/>
        <cdr:cNvSpPr txBox="1"/>
      </cdr:nvSpPr>
      <cdr:spPr>
        <a:xfrm xmlns:a="http://schemas.openxmlformats.org/drawingml/2006/main">
          <a:off x="152400" y="123825"/>
          <a:ext cx="323835" cy="200034"/>
        </a:xfrm>
        <a:prstGeom xmlns:a="http://schemas.openxmlformats.org/drawingml/2006/main" prst="rect">
          <a:avLst/>
        </a:prstGeom>
        <a:solidFill xmlns:a="http://schemas.openxmlformats.org/drawingml/2006/main">
          <a:sysClr val="window" lastClr="C7EDCC"/>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ltLang="zh-CN" sz="1000" b="0"/>
            <a:t>%</a:t>
          </a:r>
          <a:endParaRPr lang="zh-CN" altLang="en-US" sz="1000" b="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935</Words>
  <Characters>5334</Characters>
  <Application>Microsoft Office Word</Application>
  <DocSecurity>0</DocSecurity>
  <Lines>44</Lines>
  <Paragraphs>12</Paragraphs>
  <ScaleCrop>false</ScaleCrop>
  <Company>Lenovo (Beijing) Limited</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北京市崇文区统计局</dc:title>
  <dc:creator>xiajiawei</dc:creator>
  <cp:lastModifiedBy>宫雨</cp:lastModifiedBy>
  <cp:revision>7</cp:revision>
  <cp:lastPrinted>2017-04-20T06:20:00Z</cp:lastPrinted>
  <dcterms:created xsi:type="dcterms:W3CDTF">2017-04-21T01:56:00Z</dcterms:created>
  <dcterms:modified xsi:type="dcterms:W3CDTF">2017-07-28T06:48:00Z</dcterms:modified>
</cp:coreProperties>
</file>