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exact"/>
        <w:jc w:val="center"/>
        <w:rPr>
          <w:rFonts w:hint="eastAsia" w:ascii="方正小标宋简体" w:eastAsia="方正小标宋简体"/>
          <w:bCs/>
          <w:kern w:val="0"/>
          <w:sz w:val="44"/>
          <w:szCs w:val="44"/>
        </w:rPr>
      </w:pPr>
      <w:r>
        <w:rPr>
          <w:rFonts w:hint="eastAsia" w:ascii="方正小标宋简体" w:hAnsi="宋体" w:eastAsia="方正小标宋简体" w:cs="宋体"/>
          <w:bCs/>
          <w:kern w:val="0"/>
          <w:sz w:val="44"/>
          <w:szCs w:val="44"/>
        </w:rPr>
        <w:t>制度公开主要内容</w:t>
      </w:r>
    </w:p>
    <w:p>
      <w:pPr>
        <w:widowControl/>
        <w:spacing w:line="520" w:lineRule="exact"/>
        <w:jc w:val="center"/>
        <w:rPr>
          <w:rFonts w:hint="eastAsia" w:ascii="楷体_GB2312" w:hAnsi="宋体" w:eastAsia="楷体_GB2312" w:cs="宋体"/>
          <w:sz w:val="30"/>
          <w:szCs w:val="30"/>
          <w:lang w:val="en" w:eastAsia="zh-CN"/>
        </w:rPr>
      </w:pPr>
      <w:r>
        <w:rPr>
          <w:rFonts w:hint="eastAsia" w:ascii="楷体_GB2312" w:hAnsi="宋体" w:eastAsia="楷体_GB2312" w:cs="宋体"/>
          <w:sz w:val="30"/>
          <w:szCs w:val="30"/>
        </w:rPr>
        <w:t>—</w:t>
      </w:r>
      <w:r>
        <w:rPr>
          <w:rFonts w:hint="eastAsia" w:ascii="楷体_GB2312" w:hAnsi="宋体" w:eastAsia="楷体_GB2312" w:cs="宋体"/>
          <w:sz w:val="30"/>
          <w:szCs w:val="30"/>
          <w:lang w:eastAsia="zh-CN"/>
        </w:rPr>
        <w:t>统计调查制度</w:t>
      </w:r>
      <w:r>
        <w:rPr>
          <w:rFonts w:hint="default" w:ascii="楷体_GB2312" w:hAnsi="宋体" w:eastAsia="楷体_GB2312" w:cs="宋体"/>
          <w:sz w:val="30"/>
          <w:szCs w:val="30"/>
          <w:lang w:val="en" w:eastAsia="zh-CN"/>
        </w:rPr>
        <w:t>/</w:t>
      </w:r>
      <w:r>
        <w:rPr>
          <w:rFonts w:hint="eastAsia" w:ascii="楷体_GB2312" w:hAnsi="宋体" w:eastAsia="楷体_GB2312" w:cs="宋体"/>
          <w:sz w:val="30"/>
          <w:szCs w:val="30"/>
          <w:lang w:val="en" w:eastAsia="zh-CN"/>
        </w:rPr>
        <w:t>方案名称</w:t>
      </w:r>
    </w:p>
    <w:p>
      <w:pPr>
        <w:widowControl/>
        <w:spacing w:line="520" w:lineRule="exact"/>
        <w:jc w:val="left"/>
        <w:rPr>
          <w:rFonts w:hint="default" w:ascii="楷体_GB2312" w:eastAsia="楷体_GB2312"/>
          <w:bCs/>
          <w:kern w:val="0"/>
          <w:sz w:val="24"/>
          <w:szCs w:val="24"/>
          <w:lang w:val="en" w:eastAsia="zh-CN"/>
        </w:rPr>
      </w:pPr>
      <w:r>
        <w:rPr>
          <w:rFonts w:hint="eastAsia" w:ascii="楷体_GB2312" w:hAnsi="宋体" w:eastAsia="楷体_GB2312" w:cs="宋体"/>
          <w:sz w:val="24"/>
          <w:szCs w:val="24"/>
          <w:lang w:val="en" w:eastAsia="zh-CN"/>
        </w:rPr>
        <w:t>（按统计调查项目制度</w:t>
      </w:r>
      <w:r>
        <w:rPr>
          <w:rFonts w:hint="default" w:ascii="楷体_GB2312" w:hAnsi="宋体" w:eastAsia="楷体_GB2312" w:cs="宋体"/>
          <w:sz w:val="24"/>
          <w:szCs w:val="24"/>
          <w:lang w:val="en" w:eastAsia="zh-CN"/>
        </w:rPr>
        <w:t>/</w:t>
      </w:r>
      <w:r>
        <w:rPr>
          <w:rFonts w:hint="eastAsia" w:ascii="楷体_GB2312" w:hAnsi="宋体" w:eastAsia="楷体_GB2312" w:cs="宋体"/>
          <w:sz w:val="24"/>
          <w:szCs w:val="24"/>
          <w:lang w:val="en" w:eastAsia="zh-CN"/>
        </w:rPr>
        <w:t>方案内容填写，所有项目均需填写，均对外公开此内容）</w:t>
      </w:r>
    </w:p>
    <w:p>
      <w:pPr>
        <w:widowControl/>
        <w:spacing w:line="560" w:lineRule="exact"/>
        <w:ind w:firstLine="640" w:firstLineChars="200"/>
        <w:rPr>
          <w:rFonts w:hint="eastAsia" w:ascii="黑体" w:hAnsi="宋体" w:eastAsia="黑体" w:cs="黑体"/>
          <w:kern w:val="0"/>
          <w:sz w:val="32"/>
          <w:szCs w:val="32"/>
        </w:rPr>
      </w:pPr>
    </w:p>
    <w:p>
      <w:pPr>
        <w:widowControl/>
        <w:spacing w:line="560" w:lineRule="exact"/>
        <w:ind w:firstLine="640" w:firstLineChars="200"/>
        <w:rPr>
          <w:rFonts w:hint="eastAsia" w:ascii="黑体" w:hAnsi="宋体" w:eastAsia="黑体" w:cs="黑体"/>
          <w:kern w:val="0"/>
          <w:sz w:val="32"/>
          <w:szCs w:val="32"/>
        </w:rPr>
      </w:pPr>
      <w:r>
        <w:rPr>
          <w:rFonts w:hint="eastAsia" w:ascii="黑体" w:hAnsi="宋体" w:eastAsia="黑体" w:cs="黑体"/>
          <w:kern w:val="0"/>
          <w:sz w:val="32"/>
          <w:szCs w:val="32"/>
        </w:rPr>
        <w:t>一、调查目的</w:t>
      </w:r>
    </w:p>
    <w:p>
      <w:pPr>
        <w:ind w:firstLine="480" w:firstLineChars="200"/>
        <w:rPr>
          <w:rFonts w:hint="eastAsia" w:ascii="仿宋_GB2312" w:eastAsia="仿宋_GB2312"/>
          <w:sz w:val="24"/>
          <w:szCs w:val="24"/>
        </w:rPr>
      </w:pPr>
      <w:r>
        <w:rPr>
          <w:rFonts w:hint="eastAsia" w:ascii="仿宋_GB2312" w:eastAsia="仿宋_GB2312"/>
          <w:sz w:val="24"/>
          <w:szCs w:val="24"/>
        </w:rPr>
        <w:t>一是了解企业对</w:t>
      </w:r>
      <w:r>
        <w:rPr>
          <w:rFonts w:hint="eastAsia" w:ascii="仿宋_GB2312" w:eastAsia="仿宋_GB2312"/>
          <w:sz w:val="24"/>
          <w:szCs w:val="24"/>
          <w:lang w:eastAsia="zh-CN"/>
        </w:rPr>
        <w:t>东城区</w:t>
      </w:r>
      <w:r>
        <w:rPr>
          <w:rFonts w:hint="eastAsia" w:ascii="仿宋_GB2312" w:eastAsia="仿宋_GB2312"/>
          <w:sz w:val="24"/>
          <w:szCs w:val="24"/>
        </w:rPr>
        <w:t>营商环境的满意度情况</w:t>
      </w:r>
      <w:r>
        <w:rPr>
          <w:rFonts w:hint="eastAsia" w:ascii="仿宋_GB2312" w:eastAsia="仿宋_GB2312"/>
          <w:sz w:val="24"/>
          <w:szCs w:val="24"/>
          <w:lang w:eastAsia="zh-CN"/>
        </w:rPr>
        <w:t>，</w:t>
      </w:r>
      <w:r>
        <w:rPr>
          <w:rFonts w:hint="eastAsia" w:ascii="仿宋_GB2312" w:eastAsia="仿宋_GB2312"/>
          <w:sz w:val="24"/>
          <w:szCs w:val="24"/>
        </w:rPr>
        <w:t>检验</w:t>
      </w:r>
      <w:r>
        <w:rPr>
          <w:rFonts w:hint="eastAsia" w:ascii="仿宋_GB2312" w:eastAsia="仿宋_GB2312"/>
          <w:sz w:val="24"/>
          <w:szCs w:val="24"/>
          <w:lang w:eastAsia="zh-CN"/>
        </w:rPr>
        <w:t>东城区</w:t>
      </w:r>
      <w:r>
        <w:rPr>
          <w:rFonts w:hint="eastAsia" w:ascii="仿宋_GB2312" w:eastAsia="仿宋_GB2312"/>
          <w:sz w:val="24"/>
          <w:szCs w:val="24"/>
        </w:rPr>
        <w:t>贯彻落实北京市优化营商环境</w:t>
      </w:r>
      <w:r>
        <w:rPr>
          <w:rFonts w:hint="eastAsia" w:ascii="仿宋_GB2312" w:eastAsia="仿宋_GB2312"/>
          <w:sz w:val="24"/>
          <w:szCs w:val="24"/>
          <w:lang w:val="en-US" w:eastAsia="zh-CN"/>
        </w:rPr>
        <w:t>6</w:t>
      </w:r>
      <w:r>
        <w:rPr>
          <w:rFonts w:hint="eastAsia" w:ascii="仿宋_GB2312" w:eastAsia="仿宋_GB2312"/>
          <w:sz w:val="24"/>
          <w:szCs w:val="24"/>
        </w:rPr>
        <w:t>.0系列政策落实情况、宣传解读情况等；二是了解</w:t>
      </w:r>
      <w:r>
        <w:rPr>
          <w:rFonts w:hint="eastAsia" w:ascii="仿宋_GB2312" w:eastAsia="仿宋_GB2312"/>
          <w:sz w:val="24"/>
          <w:szCs w:val="24"/>
          <w:lang w:eastAsia="zh-CN"/>
        </w:rPr>
        <w:t>东城区</w:t>
      </w:r>
      <w:r>
        <w:rPr>
          <w:rFonts w:hint="eastAsia" w:ascii="仿宋_GB2312" w:eastAsia="仿宋_GB2312"/>
          <w:sz w:val="24"/>
          <w:szCs w:val="24"/>
        </w:rPr>
        <w:t>在优化营商环境工作中存在的不足和短板</w:t>
      </w:r>
      <w:r>
        <w:rPr>
          <w:rFonts w:hint="eastAsia" w:ascii="仿宋_GB2312" w:eastAsia="仿宋_GB2312"/>
          <w:sz w:val="24"/>
          <w:szCs w:val="24"/>
          <w:lang w:eastAsia="zh-CN"/>
        </w:rPr>
        <w:t>，</w:t>
      </w:r>
      <w:r>
        <w:rPr>
          <w:rFonts w:hint="eastAsia" w:ascii="仿宋_GB2312" w:eastAsia="仿宋_GB2312"/>
          <w:sz w:val="24"/>
          <w:szCs w:val="24"/>
        </w:rPr>
        <w:t>进一步了解企业对营商环境某些方面不满意的原因；三是根据调查结果和企业反馈</w:t>
      </w:r>
      <w:r>
        <w:rPr>
          <w:rFonts w:hint="eastAsia" w:ascii="仿宋_GB2312" w:eastAsia="仿宋_GB2312"/>
          <w:sz w:val="24"/>
          <w:szCs w:val="24"/>
          <w:lang w:eastAsia="zh-CN"/>
        </w:rPr>
        <w:t>，</w:t>
      </w:r>
      <w:r>
        <w:rPr>
          <w:rFonts w:hint="eastAsia" w:ascii="仿宋_GB2312" w:eastAsia="仿宋_GB2312"/>
          <w:sz w:val="24"/>
          <w:szCs w:val="24"/>
        </w:rPr>
        <w:t>针对性提出</w:t>
      </w:r>
      <w:r>
        <w:rPr>
          <w:rFonts w:hint="eastAsia" w:ascii="仿宋_GB2312" w:eastAsia="仿宋_GB2312"/>
          <w:sz w:val="24"/>
          <w:szCs w:val="24"/>
          <w:lang w:eastAsia="zh-CN"/>
        </w:rPr>
        <w:t>东城区</w:t>
      </w:r>
      <w:r>
        <w:rPr>
          <w:rFonts w:hint="eastAsia" w:ascii="仿宋_GB2312" w:eastAsia="仿宋_GB2312"/>
          <w:sz w:val="24"/>
          <w:szCs w:val="24"/>
        </w:rPr>
        <w:t>优化营商环境的意见建议</w:t>
      </w:r>
      <w:r>
        <w:rPr>
          <w:rFonts w:hint="eastAsia" w:ascii="仿宋_GB2312" w:eastAsia="仿宋_GB2312"/>
          <w:sz w:val="24"/>
          <w:szCs w:val="24"/>
          <w:lang w:eastAsia="zh-CN"/>
        </w:rPr>
        <w:t>，</w:t>
      </w:r>
      <w:r>
        <w:rPr>
          <w:rFonts w:hint="eastAsia" w:ascii="仿宋_GB2312" w:eastAsia="仿宋_GB2312"/>
          <w:sz w:val="24"/>
          <w:szCs w:val="24"/>
        </w:rPr>
        <w:t>明确下一步的工作重点。</w:t>
      </w:r>
    </w:p>
    <w:p>
      <w:pPr>
        <w:widowControl/>
        <w:spacing w:line="560" w:lineRule="exact"/>
        <w:ind w:firstLine="640" w:firstLineChars="200"/>
        <w:rPr>
          <w:rFonts w:hint="eastAsia" w:ascii="黑体" w:hAnsi="宋体" w:eastAsia="黑体" w:cs="黑体"/>
          <w:kern w:val="0"/>
          <w:sz w:val="32"/>
          <w:szCs w:val="32"/>
        </w:rPr>
      </w:pPr>
      <w:r>
        <w:rPr>
          <w:rFonts w:hint="eastAsia" w:ascii="黑体" w:hAnsi="宋体" w:eastAsia="黑体" w:cs="黑体"/>
          <w:kern w:val="0"/>
          <w:sz w:val="32"/>
          <w:szCs w:val="32"/>
          <w:lang w:eastAsia="zh-CN"/>
        </w:rPr>
        <w:t>二</w:t>
      </w:r>
      <w:r>
        <w:rPr>
          <w:rFonts w:hint="eastAsia" w:ascii="黑体" w:hAnsi="宋体" w:eastAsia="黑体" w:cs="黑体"/>
          <w:kern w:val="0"/>
          <w:sz w:val="32"/>
          <w:szCs w:val="32"/>
        </w:rPr>
        <w:t>、调查内容</w:t>
      </w:r>
    </w:p>
    <w:p>
      <w:pPr>
        <w:pStyle w:val="4"/>
        <w:ind w:firstLine="480" w:firstLineChars="200"/>
        <w:rPr>
          <w:rFonts w:hint="eastAsia" w:ascii="仿宋_GB2312" w:hAnsi="Times New Roman" w:eastAsia="仿宋_GB2312" w:cs="Times New Roman"/>
          <w:kern w:val="2"/>
          <w:sz w:val="24"/>
          <w:szCs w:val="24"/>
          <w:lang w:val="en-US" w:eastAsia="zh-CN" w:bidi="ar-SA"/>
        </w:rPr>
      </w:pPr>
      <w:r>
        <w:rPr>
          <w:rFonts w:hint="eastAsia" w:ascii="仿宋_GB2312" w:hAnsi="Times New Roman" w:eastAsia="仿宋_GB2312" w:cs="Times New Roman"/>
          <w:kern w:val="2"/>
          <w:sz w:val="24"/>
          <w:szCs w:val="24"/>
          <w:lang w:val="en-US" w:eastAsia="zh-CN" w:bidi="ar-SA"/>
        </w:rPr>
        <w:t>企业对东城区营商环境的满意度评价及营商环境存在的主</w:t>
      </w:r>
      <w:bookmarkStart w:id="0" w:name="_GoBack"/>
      <w:bookmarkEnd w:id="0"/>
      <w:r>
        <w:rPr>
          <w:rFonts w:hint="eastAsia" w:ascii="仿宋_GB2312" w:hAnsi="Times New Roman" w:eastAsia="仿宋_GB2312" w:cs="Times New Roman"/>
          <w:kern w:val="2"/>
          <w:sz w:val="24"/>
          <w:szCs w:val="24"/>
          <w:lang w:val="en-US" w:eastAsia="zh-CN" w:bidi="ar-SA"/>
        </w:rPr>
        <w:t>要问题，主要包括政府对企业的干预、政务透明度、政府政策的满意度、公共服务平台与政策扶持的满意程度、企业用地及建设的便利性、通关便利度、产权登记便利、迁移和注销便利等方面。</w:t>
      </w:r>
    </w:p>
    <w:p>
      <w:pPr>
        <w:widowControl/>
        <w:spacing w:line="560" w:lineRule="exact"/>
        <w:ind w:firstLine="640" w:firstLineChars="200"/>
        <w:rPr>
          <w:rFonts w:hint="eastAsia" w:ascii="黑体" w:hAnsi="宋体" w:eastAsia="黑体" w:cs="黑体"/>
          <w:kern w:val="0"/>
          <w:sz w:val="32"/>
          <w:szCs w:val="32"/>
        </w:rPr>
      </w:pPr>
      <w:r>
        <w:rPr>
          <w:rFonts w:hint="eastAsia" w:ascii="黑体" w:hAnsi="宋体" w:eastAsia="黑体" w:cs="黑体"/>
          <w:kern w:val="0"/>
          <w:sz w:val="32"/>
          <w:szCs w:val="32"/>
          <w:lang w:eastAsia="zh-CN"/>
        </w:rPr>
        <w:t>三</w:t>
      </w:r>
      <w:r>
        <w:rPr>
          <w:rFonts w:hint="eastAsia" w:ascii="黑体" w:hAnsi="宋体" w:eastAsia="黑体" w:cs="黑体"/>
          <w:kern w:val="0"/>
          <w:sz w:val="32"/>
          <w:szCs w:val="32"/>
        </w:rPr>
        <w:t>、调查范围及对象</w:t>
      </w:r>
    </w:p>
    <w:p>
      <w:pPr>
        <w:pStyle w:val="4"/>
        <w:ind w:firstLine="480" w:firstLineChars="200"/>
        <w:rPr>
          <w:rFonts w:hint="eastAsia" w:ascii="仿宋_GB2312" w:hAnsi="Times New Roman" w:eastAsia="仿宋_GB2312" w:cs="Times New Roman"/>
          <w:kern w:val="2"/>
          <w:sz w:val="24"/>
          <w:szCs w:val="24"/>
          <w:lang w:val="en-US" w:eastAsia="zh-CN" w:bidi="ar-SA"/>
        </w:rPr>
      </w:pPr>
      <w:r>
        <w:rPr>
          <w:rFonts w:hint="eastAsia" w:ascii="仿宋_GB2312" w:hAnsi="Times New Roman" w:eastAsia="仿宋_GB2312" w:cs="Times New Roman"/>
          <w:kern w:val="2"/>
          <w:sz w:val="24"/>
          <w:szCs w:val="24"/>
          <w:lang w:val="en-US" w:eastAsia="zh-CN" w:bidi="ar-SA"/>
        </w:rPr>
        <w:t>东城区范围内500家抽中企业负责人及高层管理人员、办事人员。</w:t>
      </w:r>
    </w:p>
    <w:p>
      <w:pPr>
        <w:pStyle w:val="4"/>
        <w:numPr>
          <w:ilvl w:val="0"/>
          <w:numId w:val="1"/>
        </w:numPr>
        <w:ind w:firstLine="640" w:firstLineChars="200"/>
        <w:rPr>
          <w:rFonts w:hint="eastAsia" w:ascii="黑体" w:hAnsi="宋体" w:eastAsia="黑体" w:cs="黑体"/>
          <w:kern w:val="0"/>
          <w:sz w:val="32"/>
          <w:szCs w:val="32"/>
          <w:lang w:val="en-US" w:eastAsia="zh-CN" w:bidi="ar-SA"/>
        </w:rPr>
      </w:pPr>
      <w:r>
        <w:rPr>
          <w:rFonts w:hint="eastAsia" w:ascii="黑体" w:hAnsi="宋体" w:eastAsia="黑体" w:cs="黑体"/>
          <w:kern w:val="0"/>
          <w:sz w:val="32"/>
          <w:szCs w:val="32"/>
          <w:lang w:val="en-US" w:eastAsia="zh-CN" w:bidi="ar-SA"/>
        </w:rPr>
        <w:t>调查方法及方式</w:t>
      </w:r>
    </w:p>
    <w:p>
      <w:pPr>
        <w:ind w:firstLine="480" w:firstLineChars="200"/>
        <w:rPr>
          <w:rFonts w:hint="eastAsia" w:ascii="仿宋_GB2312" w:hAnsi="Times New Roman" w:eastAsia="仿宋_GB2312" w:cs="Times New Roman"/>
          <w:kern w:val="2"/>
          <w:sz w:val="24"/>
          <w:szCs w:val="24"/>
          <w:lang w:val="en-US" w:eastAsia="zh-CN" w:bidi="ar-SA"/>
        </w:rPr>
      </w:pPr>
      <w:r>
        <w:rPr>
          <w:rFonts w:hint="eastAsia" w:ascii="仿宋_GB2312" w:hAnsi="Times New Roman" w:eastAsia="仿宋_GB2312" w:cs="Times New Roman"/>
          <w:kern w:val="2"/>
          <w:sz w:val="24"/>
          <w:szCs w:val="24"/>
          <w:lang w:val="en-US" w:eastAsia="zh-CN" w:bidi="ar-SA"/>
        </w:rPr>
        <w:t>此次调查主要通过以下3种方式实施：</w:t>
      </w:r>
    </w:p>
    <w:p>
      <w:pPr>
        <w:ind w:firstLine="480" w:firstLineChars="200"/>
        <w:rPr>
          <w:rFonts w:hint="eastAsia" w:ascii="仿宋_GB2312" w:hAnsi="Times New Roman" w:eastAsia="仿宋_GB2312" w:cs="Times New Roman"/>
          <w:kern w:val="2"/>
          <w:sz w:val="24"/>
          <w:szCs w:val="24"/>
          <w:lang w:val="en-US" w:eastAsia="zh-CN" w:bidi="ar-SA"/>
        </w:rPr>
      </w:pPr>
      <w:r>
        <w:rPr>
          <w:rFonts w:hint="eastAsia" w:ascii="仿宋_GB2312" w:hAnsi="Times New Roman" w:eastAsia="仿宋_GB2312" w:cs="Times New Roman"/>
          <w:kern w:val="2"/>
          <w:sz w:val="24"/>
          <w:szCs w:val="24"/>
          <w:lang w:val="en-US" w:eastAsia="zh-CN" w:bidi="ar-SA"/>
        </w:rPr>
        <w:t>1.网络问卷填报。即被抽中的企业负责人及高层管理人员通过网络数据采集平台在线填写问卷（可通过问卷链接/二维码填写）。样本量为450家企业。</w:t>
      </w:r>
    </w:p>
    <w:p>
      <w:pPr>
        <w:ind w:firstLine="480" w:firstLineChars="200"/>
        <w:rPr>
          <w:rFonts w:hint="eastAsia" w:ascii="仿宋_GB2312" w:hAnsi="Times New Roman" w:eastAsia="仿宋_GB2312" w:cs="Times New Roman"/>
          <w:kern w:val="2"/>
          <w:sz w:val="24"/>
          <w:szCs w:val="24"/>
          <w:lang w:val="en-US" w:eastAsia="zh-CN" w:bidi="ar-SA"/>
        </w:rPr>
      </w:pPr>
      <w:r>
        <w:rPr>
          <w:rFonts w:hint="eastAsia" w:ascii="仿宋_GB2312" w:hAnsi="Times New Roman" w:eastAsia="仿宋_GB2312" w:cs="Times New Roman"/>
          <w:kern w:val="2"/>
          <w:sz w:val="24"/>
          <w:szCs w:val="24"/>
          <w:lang w:val="en-US" w:eastAsia="zh-CN" w:bidi="ar-SA"/>
        </w:rPr>
        <w:t>2.政务服务大厅拦访。即随机拦访到相关政务服务大厅办事的企业工作人员，邀请其填答问卷。样本量为25家企业。</w:t>
      </w:r>
    </w:p>
    <w:p>
      <w:pPr>
        <w:ind w:firstLine="480" w:firstLineChars="200"/>
        <w:rPr>
          <w:rFonts w:hint="eastAsia" w:ascii="黑体" w:hAnsi="宋体" w:eastAsia="黑体" w:cs="黑体"/>
          <w:kern w:val="0"/>
          <w:sz w:val="32"/>
          <w:szCs w:val="32"/>
          <w:lang w:val="en-US" w:eastAsia="zh-CN" w:bidi="ar-SA"/>
        </w:rPr>
      </w:pPr>
      <w:r>
        <w:rPr>
          <w:rFonts w:hint="eastAsia" w:ascii="仿宋_GB2312" w:hAnsi="Times New Roman" w:eastAsia="仿宋_GB2312" w:cs="Times New Roman"/>
          <w:kern w:val="2"/>
          <w:sz w:val="24"/>
          <w:szCs w:val="24"/>
          <w:lang w:val="en-US" w:eastAsia="zh-CN" w:bidi="ar-SA"/>
        </w:rPr>
        <w:t>3.企业电话深访。即对被抽中企业反映的问题进行深入梳理和研究，选取部分典型问题对企业进行深度回访。样本量为25家企业。</w:t>
      </w:r>
    </w:p>
    <w:p>
      <w:pPr>
        <w:pStyle w:val="4"/>
        <w:ind w:firstLine="480" w:firstLineChars="200"/>
        <w:rPr>
          <w:rFonts w:hint="eastAsia" w:ascii="仿宋_GB2312" w:hAnsi="Times New Roman" w:eastAsia="仿宋_GB2312" w:cs="Times New Roman"/>
          <w:kern w:val="2"/>
          <w:sz w:val="24"/>
          <w:szCs w:val="24"/>
          <w:lang w:val="en-US" w:eastAsia="zh-CN" w:bidi="ar-SA"/>
        </w:rPr>
      </w:pPr>
      <w:r>
        <w:rPr>
          <w:rFonts w:hint="eastAsia" w:ascii="仿宋_GB2312" w:eastAsia="仿宋_GB2312"/>
          <w:sz w:val="24"/>
          <w:szCs w:val="24"/>
        </w:rPr>
        <w:t>综合采取</w:t>
      </w:r>
      <w:r>
        <w:rPr>
          <w:rFonts w:hint="eastAsia" w:ascii="仿宋_GB2312" w:hAnsi="Times New Roman" w:eastAsia="仿宋_GB2312" w:cs="Times New Roman"/>
          <w:kern w:val="2"/>
          <w:sz w:val="24"/>
          <w:szCs w:val="24"/>
          <w:lang w:val="en-US" w:eastAsia="zh-CN" w:bidi="ar-SA"/>
        </w:rPr>
        <w:t>采用抽样调查和重点调查方法。其中抽样调查475家，重点调查25家。抽样调查中，按照随机抽样的样本量计算方法，为保证调查的抽样精度，设定调查置信度为95%(t=1.96)，允许误差控制在5%以内(△=0.05)，假定总体变异程度为50%(p=0.5)，所需最少调查样本量为385家企业。根据东城区营商环境满意度调查目标要求及实际需要，进行了相应的样本扩充，以便于后期数据挖掘和结构分析，最终确定全区样本量为500家企业，其中，网络调查450家，随机拦访25家、电话深访25家。具体调查方法如下：</w:t>
      </w:r>
    </w:p>
    <w:p>
      <w:pPr>
        <w:pStyle w:val="4"/>
        <w:ind w:firstLine="480" w:firstLineChars="200"/>
        <w:rPr>
          <w:rFonts w:hint="eastAsia" w:ascii="仿宋_GB2312" w:hAnsi="Times New Roman" w:eastAsia="仿宋_GB2312" w:cs="Times New Roman"/>
          <w:kern w:val="2"/>
          <w:sz w:val="24"/>
          <w:szCs w:val="24"/>
          <w:lang w:val="en-US" w:eastAsia="zh-CN" w:bidi="ar-SA"/>
        </w:rPr>
      </w:pPr>
      <w:r>
        <w:rPr>
          <w:rFonts w:hint="eastAsia" w:ascii="仿宋_GB2312" w:hAnsi="Times New Roman" w:eastAsia="仿宋_GB2312" w:cs="Times New Roman"/>
          <w:kern w:val="2"/>
          <w:sz w:val="24"/>
          <w:szCs w:val="24"/>
          <w:lang w:val="en-US" w:eastAsia="zh-CN" w:bidi="ar-SA"/>
        </w:rPr>
        <w:t>1.抽取450家网络调查企业样本。首先，编制企业样本框。由东城区相关部门提供2023年１月1日以来办理过与指标相关业务的企业信息库，涉及企业的统一社会信用代码、企业名称、企业地址、企业负责人、企业联系人、企业联系人电话和邮箱、办理业务名称、办结时间等信息。其次，由第三方机构在东城区发改委的协调下，按照办理不同业务类型的企业总量及其他参考指标进行独立抽取企业样本。</w:t>
      </w:r>
    </w:p>
    <w:p>
      <w:pPr>
        <w:pStyle w:val="4"/>
        <w:ind w:firstLine="480" w:firstLineChars="200"/>
        <w:rPr>
          <w:rFonts w:hint="eastAsia" w:ascii="仿宋_GB2312" w:hAnsi="Times New Roman" w:eastAsia="仿宋_GB2312" w:cs="Times New Roman"/>
          <w:kern w:val="2"/>
          <w:sz w:val="24"/>
          <w:szCs w:val="24"/>
          <w:lang w:val="en-US" w:eastAsia="zh-CN" w:bidi="ar-SA"/>
        </w:rPr>
      </w:pPr>
      <w:r>
        <w:rPr>
          <w:rFonts w:hint="eastAsia" w:ascii="仿宋_GB2312" w:hAnsi="Times New Roman" w:eastAsia="仿宋_GB2312" w:cs="Times New Roman"/>
          <w:kern w:val="2"/>
          <w:sz w:val="24"/>
          <w:szCs w:val="24"/>
          <w:lang w:val="en-US" w:eastAsia="zh-CN" w:bidi="ar-SA"/>
        </w:rPr>
        <w:t>2.服务大厅随机拦访25家企业样本。由第三方机构在相关政务服务大厅随机拦访25家企业办事人员填答问卷。</w:t>
      </w:r>
    </w:p>
    <w:p>
      <w:pPr>
        <w:pStyle w:val="4"/>
        <w:ind w:firstLine="480" w:firstLineChars="200"/>
        <w:rPr>
          <w:rFonts w:hint="eastAsia" w:ascii="仿宋_GB2312" w:hAnsi="Times New Roman" w:eastAsia="仿宋_GB2312" w:cs="Times New Roman"/>
          <w:kern w:val="2"/>
          <w:sz w:val="24"/>
          <w:szCs w:val="24"/>
          <w:lang w:val="en-US" w:eastAsia="zh-CN" w:bidi="ar-SA"/>
        </w:rPr>
      </w:pPr>
      <w:r>
        <w:rPr>
          <w:rFonts w:hint="eastAsia" w:ascii="仿宋_GB2312" w:hAnsi="Times New Roman" w:eastAsia="仿宋_GB2312" w:cs="Times New Roman"/>
          <w:kern w:val="2"/>
          <w:sz w:val="24"/>
          <w:szCs w:val="24"/>
          <w:lang w:val="en-US" w:eastAsia="zh-CN" w:bidi="ar-SA"/>
        </w:rPr>
        <w:t>3.电话深访25家企业样本。按照东城区重点发展行业和重点区域，在调查阶段和问卷汇总整理阶段选择25家代表性强的重点企业样本进行深度访谈。</w:t>
      </w:r>
    </w:p>
    <w:p>
      <w:pPr>
        <w:widowControl/>
        <w:spacing w:line="560" w:lineRule="exact"/>
        <w:ind w:firstLine="640" w:firstLineChars="200"/>
        <w:rPr>
          <w:rFonts w:hint="eastAsia" w:ascii="黑体" w:hAnsi="宋体" w:eastAsia="黑体" w:cs="黑体"/>
          <w:kern w:val="0"/>
          <w:sz w:val="32"/>
          <w:szCs w:val="32"/>
          <w:lang w:eastAsia="zh-CN"/>
        </w:rPr>
      </w:pPr>
      <w:r>
        <w:rPr>
          <w:rFonts w:hint="eastAsia" w:ascii="黑体" w:hAnsi="宋体" w:eastAsia="黑体" w:cs="黑体"/>
          <w:kern w:val="0"/>
          <w:sz w:val="32"/>
          <w:szCs w:val="32"/>
        </w:rPr>
        <w:t>五、</w:t>
      </w:r>
      <w:r>
        <w:rPr>
          <w:rFonts w:hint="eastAsia" w:ascii="黑体" w:hAnsi="宋体" w:eastAsia="黑体" w:cs="黑体"/>
          <w:kern w:val="0"/>
          <w:sz w:val="32"/>
          <w:szCs w:val="32"/>
          <w:lang w:eastAsia="zh-CN"/>
        </w:rPr>
        <w:t>组织方式</w:t>
      </w:r>
    </w:p>
    <w:p>
      <w:pPr>
        <w:ind w:firstLine="480" w:firstLineChars="200"/>
        <w:rPr>
          <w:rFonts w:hint="eastAsia" w:ascii="仿宋_GB2312" w:eastAsia="仿宋_GB2312"/>
          <w:sz w:val="24"/>
          <w:szCs w:val="24"/>
          <w:lang w:eastAsia="zh-CN"/>
        </w:rPr>
      </w:pPr>
      <w:r>
        <w:rPr>
          <w:rFonts w:hint="eastAsia" w:ascii="仿宋_GB2312" w:eastAsia="仿宋_GB2312"/>
          <w:sz w:val="24"/>
          <w:szCs w:val="24"/>
          <w:lang w:eastAsia="zh-CN"/>
        </w:rPr>
        <w:t>本调查由东城区发展改革委营商环境科负责牵头组织，对调查质量进行全过程监督，第三方调查机构负责具体组织实施、调查质量控制、数据整理汇总、调查报告撰写等工作。</w:t>
      </w:r>
    </w:p>
    <w:p>
      <w:pPr>
        <w:widowControl/>
        <w:spacing w:line="560" w:lineRule="exact"/>
        <w:ind w:firstLine="640" w:firstLineChars="200"/>
        <w:rPr>
          <w:rFonts w:hint="eastAsia" w:ascii="黑体" w:hAnsi="宋体" w:eastAsia="黑体" w:cs="黑体"/>
          <w:kern w:val="0"/>
          <w:sz w:val="32"/>
          <w:szCs w:val="32"/>
          <w:lang w:eastAsia="zh-CN"/>
        </w:rPr>
      </w:pPr>
      <w:r>
        <w:rPr>
          <w:rFonts w:hint="eastAsia" w:ascii="黑体" w:hAnsi="宋体" w:eastAsia="黑体" w:cs="黑体"/>
          <w:kern w:val="0"/>
          <w:sz w:val="32"/>
          <w:szCs w:val="32"/>
          <w:lang w:eastAsia="zh-CN"/>
        </w:rPr>
        <w:t>六、数据发布</w:t>
      </w:r>
    </w:p>
    <w:p>
      <w:pPr>
        <w:numPr>
          <w:ilvl w:val="0"/>
          <w:numId w:val="0"/>
        </w:numPr>
        <w:ind w:firstLine="480" w:firstLineChars="200"/>
        <w:rPr>
          <w:rFonts w:hint="eastAsia" w:ascii="仿宋_GB2312" w:eastAsia="仿宋_GB2312"/>
          <w:sz w:val="24"/>
          <w:szCs w:val="24"/>
          <w:lang w:eastAsia="zh-CN"/>
        </w:rPr>
      </w:pPr>
      <w:r>
        <w:rPr>
          <w:rFonts w:hint="eastAsia" w:ascii="仿宋_GB2312" w:eastAsia="仿宋_GB2312"/>
          <w:sz w:val="24"/>
          <w:szCs w:val="24"/>
          <w:lang w:eastAsia="zh-CN"/>
        </w:rPr>
        <w:t>本调查数据仅供内部使用，不对外发布。</w:t>
      </w:r>
    </w:p>
    <w:p>
      <w:pPr>
        <w:numPr>
          <w:ilvl w:val="0"/>
          <w:numId w:val="0"/>
        </w:numPr>
        <w:rPr>
          <w:rFonts w:hint="eastAsia" w:ascii="仿宋_GB2312" w:eastAsia="仿宋_GB2312"/>
          <w:sz w:val="24"/>
          <w:szCs w:val="24"/>
          <w:lang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ejaVu Sans">
    <w:altName w:val="Segoe Print"/>
    <w:panose1 w:val="020B0603030804020204"/>
    <w:charset w:val="00"/>
    <w:family w:val="auto"/>
    <w:pitch w:val="default"/>
    <w:sig w:usb0="00000000" w:usb1="00000000" w:usb2="0A246029" w:usb3="0400200C" w:csb0="600001FF" w:csb1="DFFF0000"/>
  </w:font>
  <w:font w:name="Droid Sans Fallback">
    <w:altName w:val="宋体"/>
    <w:panose1 w:val="020B0502000000000001"/>
    <w:charset w:val="86"/>
    <w:family w:val="auto"/>
    <w:pitch w:val="default"/>
    <w:sig w:usb0="00000000" w:usb1="00000000" w:usb2="00000036" w:usb3="00000000" w:csb0="203F01FF" w:csb1="D7FF0000"/>
  </w:font>
  <w:font w:name="仿宋_GB2312">
    <w:panose1 w:val="02010609030101010101"/>
    <w:charset w:val="86"/>
    <w:family w:val="modern"/>
    <w:pitch w:val="default"/>
    <w:sig w:usb0="00000001" w:usb1="080E0000" w:usb2="00000000" w:usb3="00000000" w:csb0="00040000" w:csb1="00000000"/>
  </w:font>
  <w:font w:name="CESI仿宋-GB13000">
    <w:altName w:val="仿宋"/>
    <w:panose1 w:val="02000500000000000000"/>
    <w:charset w:val="86"/>
    <w:family w:val="auto"/>
    <w:pitch w:val="default"/>
    <w:sig w:usb0="00000000" w:usb1="00000000" w:usb2="00000016" w:usb3="00000000" w:csb0="0004000F" w:csb1="00000000"/>
  </w:font>
  <w:font w:name="Bitstream Vera Sans">
    <w:altName w:val="Segoe Print"/>
    <w:panose1 w:val="020B0603030804020204"/>
    <w:charset w:val="00"/>
    <w:family w:val="auto"/>
    <w:pitch w:val="default"/>
    <w:sig w:usb0="00000000" w:usb1="00000000" w:usb2="00000000" w:usb3="00000000" w:csb0="00000001"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Noto Serif CJK JP">
    <w:altName w:val="宋体"/>
    <w:panose1 w:val="02020400000000000000"/>
    <w:charset w:val="86"/>
    <w:family w:val="auto"/>
    <w:pitch w:val="default"/>
    <w:sig w:usb0="00000000" w:usb1="00000000" w:usb2="00000016" w:usb3="00000000" w:csb0="602E0107" w:csb1="00000000"/>
  </w:font>
  <w:font w:name="Liberation Serif">
    <w:altName w:val="Traditional Arabic"/>
    <w:panose1 w:val="02020603050405020304"/>
    <w:charset w:val="00"/>
    <w:family w:val="auto"/>
    <w:pitch w:val="default"/>
    <w:sig w:usb0="00000000" w:usb1="00000000" w:usb2="00000000" w:usb3="00000000" w:csb0="6000009F" w:csb1="DFD7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 w:name="Traditional Arabic">
    <w:panose1 w:val="02020603050405020304"/>
    <w:charset w:val="00"/>
    <w:family w:val="auto"/>
    <w:pitch w:val="default"/>
    <w:sig w:usb0="00006003" w:usb1="80000000" w:usb2="00000008" w:usb3="00000000" w:csb0="00000041" w:csb1="200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434CF7"/>
    <w:multiLevelType w:val="singleLevel"/>
    <w:tmpl w:val="65434CF7"/>
    <w:lvl w:ilvl="0" w:tentative="0">
      <w:start w:val="4"/>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F510C3"/>
    <w:rsid w:val="09140FA3"/>
    <w:rsid w:val="11426DC9"/>
    <w:rsid w:val="1E64197C"/>
    <w:rsid w:val="3F4B1DFB"/>
    <w:rsid w:val="3FF510C3"/>
    <w:rsid w:val="E79D2B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unhideWhenUsed/>
    <w:qFormat/>
    <w:uiPriority w:val="0"/>
    <w:pPr>
      <w:keepNext/>
      <w:keepLines/>
      <w:spacing w:beforeLines="50" w:afterLines="50"/>
      <w:ind w:firstLine="880"/>
      <w:outlineLvl w:val="1"/>
    </w:pPr>
    <w:rPr>
      <w:rFonts w:eastAsia="楷体_GB2312" w:asciiTheme="majorHAnsi" w:hAnsiTheme="majorHAnsi" w:cstheme="majorBidi"/>
      <w:b/>
      <w:bCs/>
      <w:szCs w:val="32"/>
    </w:rPr>
  </w:style>
  <w:style w:type="paragraph" w:styleId="2">
    <w:name w:val="heading 3"/>
    <w:basedOn w:val="1"/>
    <w:next w:val="1"/>
    <w:unhideWhenUsed/>
    <w:qFormat/>
    <w:uiPriority w:val="0"/>
    <w:pPr>
      <w:keepNext/>
      <w:keepLines/>
      <w:ind w:firstLine="880"/>
      <w:outlineLvl w:val="2"/>
    </w:pPr>
    <w:rPr>
      <w:rFonts w:ascii="Times New Roman" w:hAnsi="Times New Roman"/>
      <w:b/>
      <w:bCs/>
      <w:szCs w:val="32"/>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4">
    <w:name w:val="Body Text"/>
    <w:basedOn w:val="1"/>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2023-10-25T09:52:00Z</dcterms:created>
  <dc:creator>user</dc:creator>
  <cp:lastModifiedBy>李晓晗</cp:lastModifiedBy>
  <dcterms:modified xsi:type="dcterms:W3CDTF">2023-11-02T07:08:00Z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