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简体"/>
          <w:sz w:val="40"/>
          <w:szCs w:val="44"/>
        </w:rPr>
      </w:pPr>
      <w:bookmarkStart w:id="0" w:name="_Hlk173228232"/>
      <w:r>
        <w:rPr>
          <w:rFonts w:hint="eastAsia" w:eastAsia="方正小标宋简体"/>
          <w:sz w:val="40"/>
          <w:szCs w:val="44"/>
        </w:rPr>
        <w:t xml:space="preserve">推进美丽东城建设 </w:t>
      </w:r>
      <w:r>
        <w:rPr>
          <w:rFonts w:eastAsia="方正小标宋简体"/>
          <w:sz w:val="40"/>
          <w:szCs w:val="44"/>
        </w:rPr>
        <w:t>深入打好污染防治</w:t>
      </w:r>
    </w:p>
    <w:p>
      <w:pPr>
        <w:snapToGrid w:val="0"/>
        <w:spacing w:line="560" w:lineRule="exact"/>
        <w:jc w:val="center"/>
        <w:rPr>
          <w:rFonts w:eastAsia="方正小标宋简体"/>
          <w:sz w:val="40"/>
          <w:szCs w:val="44"/>
        </w:rPr>
      </w:pPr>
      <w:r>
        <w:rPr>
          <w:rFonts w:eastAsia="方正小标宋简体"/>
          <w:sz w:val="40"/>
          <w:szCs w:val="44"/>
        </w:rPr>
        <w:t>攻坚战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2024</w:t>
      </w:r>
      <w:r>
        <w:rPr>
          <w:rFonts w:eastAsia="方正小标宋简体"/>
          <w:sz w:val="40"/>
          <w:szCs w:val="44"/>
        </w:rPr>
        <w:t>年</w:t>
      </w:r>
      <w:r>
        <w:rPr>
          <w:rFonts w:hint="eastAsia" w:eastAsia="方正小标宋简体"/>
          <w:sz w:val="40"/>
          <w:szCs w:val="44"/>
        </w:rPr>
        <w:t>上半年</w:t>
      </w:r>
      <w:r>
        <w:rPr>
          <w:rFonts w:eastAsia="方正小标宋简体"/>
          <w:sz w:val="40"/>
          <w:szCs w:val="44"/>
        </w:rPr>
        <w:t>工作进展情况</w:t>
      </w:r>
      <w:bookmarkEnd w:id="0"/>
    </w:p>
    <w:p>
      <w:pPr>
        <w:spacing w:line="560" w:lineRule="exact"/>
        <w:ind w:firstLine="640" w:firstLineChars="200"/>
        <w:rPr>
          <w:rFonts w:hint="eastAsia" w:ascii="楷体_GB2312" w:eastAsia="楷体_GB2312"/>
          <w:color w:val="FF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2024年以来，东城区坚持以习近平新时代中国特色社会主义思想为指导，</w:t>
      </w:r>
      <w:r>
        <w:rPr>
          <w:rFonts w:hint="eastAsia" w:eastAsia="仿宋_GB2312"/>
          <w:sz w:val="32"/>
          <w:szCs w:val="32"/>
        </w:rPr>
        <w:t>全面贯彻落实党中央国务院、市委市政府关于生态环境保护工作的决策部署，</w:t>
      </w:r>
      <w:r>
        <w:rPr>
          <w:rFonts w:eastAsia="仿宋_GB2312"/>
          <w:sz w:val="32"/>
          <w:szCs w:val="32"/>
        </w:rPr>
        <w:t>立足首都功能核心区定位，</w:t>
      </w:r>
      <w:r>
        <w:rPr>
          <w:rFonts w:hint="eastAsia" w:eastAsia="仿宋_GB2312"/>
          <w:sz w:val="32"/>
          <w:szCs w:val="32"/>
        </w:rPr>
        <w:t>锚定目标、</w:t>
      </w:r>
      <w:r>
        <w:rPr>
          <w:rFonts w:hint="eastAsia" w:eastAsia="仿宋_GB2312" w:cs="仿宋_GB2312"/>
          <w:sz w:val="32"/>
          <w:szCs w:val="32"/>
        </w:rPr>
        <w:t>多元施治</w:t>
      </w:r>
      <w:r>
        <w:rPr>
          <w:rFonts w:hint="eastAsia" w:eastAsia="仿宋_GB2312"/>
          <w:sz w:val="32"/>
          <w:szCs w:val="32"/>
        </w:rPr>
        <w:t>，深入</w:t>
      </w:r>
      <w:r>
        <w:rPr>
          <w:rFonts w:eastAsia="仿宋_GB2312"/>
          <w:sz w:val="32"/>
          <w:szCs w:val="32"/>
        </w:rPr>
        <w:t>打好污染防治攻坚战，</w:t>
      </w:r>
      <w:r>
        <w:rPr>
          <w:rFonts w:hint="eastAsia" w:eastAsia="仿宋_GB2312"/>
          <w:sz w:val="32"/>
          <w:szCs w:val="32"/>
        </w:rPr>
        <w:t>全力以赴实现了时间任务“双过半”</w:t>
      </w:r>
      <w:r>
        <w:rPr>
          <w:rFonts w:eastAsia="仿宋_GB2312"/>
          <w:sz w:val="32"/>
          <w:szCs w:val="32"/>
        </w:rPr>
        <w:t>。现将具体情况汇报如下</w:t>
      </w:r>
      <w:r>
        <w:rPr>
          <w:rFonts w:hint="eastAsia" w:eastAsia="仿宋_GB2312"/>
          <w:color w:val="FF0000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一、生态环境状况</w:t>
      </w:r>
    </w:p>
    <w:p>
      <w:pPr>
        <w:snapToGrid w:val="0"/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（一）空气质量情况</w:t>
      </w:r>
    </w:p>
    <w:p>
      <w:pPr>
        <w:snapToGrid w:val="0"/>
        <w:spacing w:line="56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814705</wp:posOffset>
            </wp:positionH>
            <wp:positionV relativeFrom="paragraph">
              <wp:posOffset>1422400</wp:posOffset>
            </wp:positionV>
            <wp:extent cx="4088765" cy="2512695"/>
            <wp:effectExtent l="0" t="0" r="6985" b="1905"/>
            <wp:wrapTopAndBottom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876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仿宋_GB2312" w:cs="仿宋_GB2312"/>
          <w:sz w:val="32"/>
          <w:szCs w:val="32"/>
        </w:rPr>
        <w:t>上半年，东城区细颗粒物（PM</w:t>
      </w:r>
      <w:r>
        <w:rPr>
          <w:rFonts w:hint="eastAsia" w:eastAsia="仿宋_GB2312" w:cs="仿宋_GB2312"/>
          <w:sz w:val="32"/>
          <w:szCs w:val="32"/>
          <w:vertAlign w:val="subscript"/>
        </w:rPr>
        <w:t>2.5</w:t>
      </w:r>
      <w:r>
        <w:rPr>
          <w:rFonts w:hint="eastAsia" w:eastAsia="仿宋_GB2312" w:cs="仿宋_GB2312"/>
          <w:sz w:val="32"/>
          <w:szCs w:val="32"/>
        </w:rPr>
        <w:t>）浓度为38.0微克/立方米，和通州、经开区并列位于全市第14位，同比下降2.6%，与2019年上半年相比下降22.4%。浓度仅次于2022年同期，整体呈改善趋势。</w:t>
      </w:r>
    </w:p>
    <w:p>
      <w:pPr>
        <w:snapToGrid w:val="0"/>
        <w:spacing w:line="56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主要污染物可吸入颗粒物（PM</w:t>
      </w:r>
      <w:r>
        <w:rPr>
          <w:rFonts w:eastAsia="仿宋_GB2312"/>
          <w:sz w:val="32"/>
          <w:szCs w:val="32"/>
          <w:vertAlign w:val="subscript"/>
        </w:rPr>
        <w:t>10</w:t>
      </w:r>
      <w:r>
        <w:rPr>
          <w:rFonts w:hint="eastAsia" w:eastAsia="仿宋_GB2312" w:cs="仿宋_GB2312"/>
          <w:sz w:val="32"/>
          <w:szCs w:val="32"/>
        </w:rPr>
        <w:t>）、二氧化硫（SO</w:t>
      </w:r>
      <w:r>
        <w:rPr>
          <w:rFonts w:hint="eastAsia" w:eastAsia="仿宋_GB2312" w:cs="仿宋_GB2312"/>
          <w:sz w:val="32"/>
          <w:szCs w:val="32"/>
          <w:vertAlign w:val="subscript"/>
        </w:rPr>
        <w:t>2</w:t>
      </w:r>
      <w:r>
        <w:rPr>
          <w:rFonts w:hint="eastAsia" w:eastAsia="仿宋_GB2312" w:cs="仿宋_GB2312"/>
          <w:sz w:val="32"/>
          <w:szCs w:val="32"/>
        </w:rPr>
        <w:t>）、二氧化氮（NO</w:t>
      </w:r>
      <w:r>
        <w:rPr>
          <w:rFonts w:hint="eastAsia" w:eastAsia="仿宋_GB2312" w:cs="仿宋_GB2312"/>
          <w:sz w:val="32"/>
          <w:szCs w:val="32"/>
          <w:vertAlign w:val="subscript"/>
        </w:rPr>
        <w:t>2</w:t>
      </w:r>
      <w:r>
        <w:rPr>
          <w:rFonts w:hint="eastAsia" w:eastAsia="仿宋_GB2312" w:cs="仿宋_GB2312"/>
          <w:sz w:val="32"/>
          <w:szCs w:val="32"/>
        </w:rPr>
        <w:t>）和一氧化碳（CO）累计浓度分别为67.7、3.3、29.3微克/立方米和1.1毫克/立方米，均稳定达到国家二级标准。累计优良天数为122天，同比增加3天，优良天数比率为67.0%，重污染日1天（扣</w:t>
      </w:r>
      <w:r>
        <w:rPr>
          <w:rFonts w:hint="eastAsia" w:eastAsia="仿宋_GB2312" w:cs="仿宋_GB2312"/>
          <w:color w:val="auto"/>
          <w:sz w:val="32"/>
          <w:szCs w:val="32"/>
        </w:rPr>
        <w:t>除</w:t>
      </w:r>
      <w:r>
        <w:rPr>
          <w:rFonts w:hint="eastAsia" w:eastAsia="仿宋_GB2312" w:cs="仿宋_GB2312"/>
          <w:sz w:val="32"/>
          <w:szCs w:val="32"/>
        </w:rPr>
        <w:t>沙尘影响）。1—5月，累计降尘量为3.1吨/平方公里·月，城六区最优。</w:t>
      </w:r>
    </w:p>
    <w:p>
      <w:pPr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（二）各街道空气质量情况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PM</w:t>
      </w:r>
      <w:r>
        <w:rPr>
          <w:rFonts w:eastAsia="仿宋_GB2312"/>
          <w:sz w:val="32"/>
          <w:szCs w:val="32"/>
          <w:vertAlign w:val="subscript"/>
        </w:rPr>
        <w:t>2.5</w:t>
      </w:r>
      <w:r>
        <w:rPr>
          <w:rFonts w:eastAsia="仿宋_GB2312"/>
          <w:sz w:val="32"/>
          <w:szCs w:val="32"/>
        </w:rPr>
        <w:t>浓度情况。上半年，各街道PM</w:t>
      </w:r>
      <w:r>
        <w:rPr>
          <w:rFonts w:eastAsia="仿宋_GB2312"/>
          <w:sz w:val="32"/>
          <w:szCs w:val="32"/>
          <w:vertAlign w:val="subscript"/>
        </w:rPr>
        <w:t>2.5</w:t>
      </w:r>
      <w:r>
        <w:rPr>
          <w:rFonts w:eastAsia="仿宋_GB2312"/>
          <w:sz w:val="32"/>
          <w:szCs w:val="32"/>
        </w:rPr>
        <w:t>累计浓度范围在38—39微克/立方米之间，同比变化在下降9.5%</w:t>
      </w:r>
      <w:r>
        <w:rPr>
          <w:rFonts w:hint="eastAsia"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上升2.7%</w:t>
      </w:r>
      <w:r>
        <w:rPr>
          <w:rFonts w:hint="eastAsia" w:eastAsia="仿宋_GB2312"/>
          <w:sz w:val="32"/>
          <w:szCs w:val="32"/>
          <w:lang w:eastAsia="zh-CN"/>
        </w:rPr>
        <w:t>之间</w:t>
      </w:r>
      <w:r>
        <w:rPr>
          <w:rFonts w:eastAsia="仿宋_GB2312"/>
          <w:sz w:val="32"/>
          <w:szCs w:val="32"/>
        </w:rPr>
        <w:t>，9个街道并列</w:t>
      </w:r>
      <w:r>
        <w:rPr>
          <w:rFonts w:hint="eastAsia" w:eastAsia="仿宋_GB2312"/>
          <w:sz w:val="32"/>
          <w:szCs w:val="32"/>
        </w:rPr>
        <w:t>位于</w:t>
      </w:r>
      <w:r>
        <w:rPr>
          <w:rFonts w:eastAsia="仿宋_GB2312"/>
          <w:sz w:val="32"/>
          <w:szCs w:val="32"/>
        </w:rPr>
        <w:t>全市倒数第10位。从一位小数来看，北新桥、龙潭、东直门街道较为靠后。</w:t>
      </w: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22860</wp:posOffset>
            </wp:positionV>
            <wp:extent cx="4921885" cy="3117215"/>
            <wp:effectExtent l="0" t="0" r="12065" b="6985"/>
            <wp:wrapSquare wrapText="bothSides"/>
            <wp:docPr id="4" name="图片 4" descr="bb4c548add44dd3403a8cc23cd934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b4c548add44dd3403a8cc23cd934f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1885" cy="311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TSP浓度情况。上半年，各街道TSP累计浓度范围在96</w:t>
      </w:r>
      <w:r>
        <w:rPr>
          <w:rFonts w:hint="eastAsia"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120微克/立方米之间，均同比下降。无街道进入全市后30名。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cs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4281805</wp:posOffset>
            </wp:positionV>
            <wp:extent cx="4931410" cy="2856865"/>
            <wp:effectExtent l="0" t="0" r="2540" b="635"/>
            <wp:wrapTopAndBottom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410" cy="28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475615</wp:posOffset>
            </wp:positionH>
            <wp:positionV relativeFrom="paragraph">
              <wp:posOffset>251460</wp:posOffset>
            </wp:positionV>
            <wp:extent cx="4587875" cy="2763520"/>
            <wp:effectExtent l="0" t="0" r="3175" b="17780"/>
            <wp:wrapTopAndBottom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875" cy="27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降尘量情况。上半年，各街道（地区）降尘量在4.7</w:t>
      </w:r>
      <w:r>
        <w:rPr>
          <w:rFonts w:hint="eastAsia"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7.1吨/平方公里·月之间（未扣除沙尘影响），同比变化在下降24.2%</w:t>
      </w:r>
      <w:r>
        <w:rPr>
          <w:rFonts w:hint="eastAsia"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上升65.1%之间。</w:t>
      </w:r>
    </w:p>
    <w:p>
      <w:pPr>
        <w:snapToGrid w:val="0"/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</w:rPr>
        <w:t>三</w:t>
      </w:r>
      <w:r>
        <w:rPr>
          <w:rFonts w:eastAsia="楷体_GB2312"/>
          <w:sz w:val="32"/>
          <w:szCs w:val="32"/>
        </w:rPr>
        <w:t>）水环境质量情况</w:t>
      </w:r>
    </w:p>
    <w:p>
      <w:pPr>
        <w:snapToGrid w:val="0"/>
        <w:spacing w:line="56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—</w:t>
      </w:r>
      <w:r>
        <w:rPr>
          <w:rFonts w:hint="eastAsia" w:eastAsia="仿宋_GB2312" w:cs="仿宋_GB2312"/>
          <w:sz w:val="32"/>
          <w:szCs w:val="32"/>
        </w:rPr>
        <w:t>6月，地表水市级考核断面东便门、文化宫、东直门桥、龙潭东湖断面水质分别为Ⅲ类、Ⅱ类、Ⅱ类、Ⅳ类，均稳定达标，优良水体比例75%，无劣Ⅴ类水体。饮用水水质保持稳定达标。地下水水质保持稳定。</w:t>
      </w:r>
    </w:p>
    <w:p>
      <w:pPr>
        <w:snapToGrid w:val="0"/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</w:rPr>
        <w:t>四</w:t>
      </w:r>
      <w:r>
        <w:rPr>
          <w:rFonts w:eastAsia="楷体_GB2312"/>
          <w:sz w:val="32"/>
          <w:szCs w:val="32"/>
        </w:rPr>
        <w:t>）土壤环境质量</w:t>
      </w:r>
    </w:p>
    <w:p>
      <w:pPr>
        <w:snapToGrid w:val="0"/>
        <w:spacing w:line="560" w:lineRule="exact"/>
        <w:ind w:firstLine="640" w:firstLineChars="200"/>
        <w:rPr>
          <w:sz w:val="32"/>
          <w:szCs w:val="32"/>
        </w:rPr>
      </w:pPr>
      <w:r>
        <w:rPr>
          <w:rFonts w:eastAsia="仿宋_GB2312"/>
          <w:sz w:val="32"/>
          <w:szCs w:val="32"/>
        </w:rPr>
        <w:t>未发现污染地块和疑似污染地块，土壤污染风险得到有效管控，土壤环境质量保持稳定。</w:t>
      </w:r>
    </w:p>
    <w:p>
      <w:pPr>
        <w:pStyle w:val="3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二、重点任务进展情况</w:t>
      </w:r>
    </w:p>
    <w:p>
      <w:pPr>
        <w:snapToGrid w:val="0"/>
        <w:spacing w:line="560" w:lineRule="exact"/>
        <w:ind w:firstLine="640" w:firstLineChars="200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（一）</w:t>
      </w:r>
      <w:r>
        <w:rPr>
          <w:rFonts w:hint="eastAsia" w:eastAsia="楷体_GB2312"/>
          <w:kern w:val="0"/>
          <w:sz w:val="32"/>
          <w:szCs w:val="32"/>
        </w:rPr>
        <w:t>高位部署、高频调度</w:t>
      </w:r>
      <w:r>
        <w:rPr>
          <w:rFonts w:hint="eastAsia" w:eastAsia="楷体_GB2312"/>
          <w:color w:val="000000"/>
          <w:sz w:val="32"/>
          <w:szCs w:val="32"/>
        </w:rPr>
        <w:t>，全面落实党政主体责任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全区上下坚决扛起生态环境保护重大政治责任，</w:t>
      </w:r>
      <w:r>
        <w:rPr>
          <w:rFonts w:eastAsia="仿宋_GB2312"/>
          <w:sz w:val="32"/>
          <w:szCs w:val="32"/>
        </w:rPr>
        <w:t>区委区政府召开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次区委常委会</w:t>
      </w:r>
      <w:r>
        <w:rPr>
          <w:rFonts w:hint="eastAsia" w:eastAsia="仿宋_GB2312"/>
          <w:sz w:val="32"/>
          <w:szCs w:val="32"/>
        </w:rPr>
        <w:t>会议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次区政府常务会、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次专题会、1次区政府党组扩大会，</w:t>
      </w:r>
      <w:r>
        <w:rPr>
          <w:rFonts w:hint="eastAsia" w:eastAsia="仿宋_GB2312"/>
          <w:sz w:val="32"/>
          <w:szCs w:val="32"/>
        </w:rPr>
        <w:t>统筹调度</w:t>
      </w:r>
      <w:r>
        <w:rPr>
          <w:rFonts w:eastAsia="仿宋_GB2312"/>
          <w:sz w:val="32"/>
          <w:szCs w:val="32"/>
        </w:rPr>
        <w:t>生态环境保护</w:t>
      </w:r>
      <w:r>
        <w:rPr>
          <w:rFonts w:hint="eastAsia" w:eastAsia="仿宋_GB2312"/>
          <w:sz w:val="32"/>
          <w:szCs w:val="32"/>
        </w:rPr>
        <w:t>重点</w:t>
      </w:r>
      <w:r>
        <w:rPr>
          <w:rFonts w:eastAsia="仿宋_GB2312"/>
          <w:sz w:val="32"/>
          <w:szCs w:val="32"/>
        </w:rPr>
        <w:t>工作</w:t>
      </w:r>
      <w:r>
        <w:rPr>
          <w:rFonts w:hint="eastAsia" w:eastAsia="仿宋_GB2312"/>
          <w:sz w:val="32"/>
          <w:szCs w:val="32"/>
        </w:rPr>
        <w:t>。区委生态文明委召开2024年全体会议，制定印发工作计划和措施等文件16个，稳步推进生态文明建设各领域工作。区领导多次带队检查施工工地、餐饮企业大气污染防治措施落实情况，约谈落后街道和单位。完善“周通报”机制，每周汇总全区大气污染治理重点问题，形成一周通报汇报区领导，推动问题立行立改，压实治理责任。</w:t>
      </w:r>
    </w:p>
    <w:p>
      <w:pPr>
        <w:pStyle w:val="3"/>
        <w:spacing w:line="560" w:lineRule="exact"/>
        <w:ind w:firstLine="640" w:firstLineChars="200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sz w:val="32"/>
          <w:szCs w:val="32"/>
        </w:rPr>
        <w:t>（二）</w:t>
      </w:r>
      <w:r>
        <w:rPr>
          <w:rFonts w:hint="eastAsia" w:eastAsia="楷体_GB2312"/>
          <w:sz w:val="32"/>
          <w:szCs w:val="32"/>
        </w:rPr>
        <w:t>聚焦重点、攻克难点，全速推进蓝天保卫战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一是坚持自我加压，超常规措施提升治理效能。</w:t>
      </w:r>
      <w:r>
        <w:rPr>
          <w:rFonts w:hint="eastAsia" w:eastAsia="仿宋_GB2312"/>
          <w:sz w:val="32"/>
          <w:szCs w:val="32"/>
        </w:rPr>
        <w:t>拉高标杆，印发《东城区大气污染防治强化措施计划》，根据辖区污染特征，提出针对性攻坚举措，以最大力度确保完成今年空气质量目标。强化责任，修订《东城区大气污染防治问题约谈办法》，对标“接诉即办”工作，加大约谈频次、加严问责力度。提高标准，研究制定《东城区施工场地污染控制规范》，全面提升施工扬尘管控标准，促进建筑行业绿色高质量发展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二是持续帮扶指导，提升高效精准治污能力。</w:t>
      </w:r>
      <w:r>
        <w:rPr>
          <w:rFonts w:hint="eastAsia" w:eastAsia="仿宋_GB2312"/>
          <w:sz w:val="32"/>
          <w:szCs w:val="32"/>
        </w:rPr>
        <w:t>依托专家团队，开展大气污染精细化管控及持续达标改善项目，对高值点位和不利气象条件，累计发布各类空气质量总结、高值提醒、预报信息、达标跟踪等内容550余条。对全区2个国控子站和34个市控子站开展“一站一策”，梳理站点周边污染源，明确影响站点的因素，推动精准治污。对北新桥、崇外、东四、龙潭等高值街道开展专项帮扶工作，编写专项帮扶材料6份，空气质量分析材料10份，帮助街道改善排名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三是加强移动源管控力度，在结构减排上削减存量。</w:t>
      </w:r>
      <w:r>
        <w:rPr>
          <w:rFonts w:hint="eastAsia" w:eastAsia="仿宋_GB2312"/>
          <w:sz w:val="32"/>
          <w:szCs w:val="32"/>
        </w:rPr>
        <w:t>积极推动车辆电动化，坚持“公务车带头、行业车优先”，印发《东城区公务用车新能源化工作方案》，环卫车和出租车电动化比例分别达到60.4%、94.4%，提前完成市级要求。建设完善充电基础设施体系，公共充电设施平均服务半径达到0.9公里，“公共+单位内部”充电设施平均服务半径达到0.5公里。强化移动源监管，充分发挥“车脸识别”系统作用，路检夜查柴油车16269辆次，处罚944辆次，完成全年检查任务量的56.1%；检查非道路移动机械425台次，处罚15台次，完成全年检查任务量的65.3%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四是狠抓面源污染管控，在管理减排上提升效能。</w:t>
      </w:r>
      <w:r>
        <w:rPr>
          <w:rFonts w:hint="eastAsia" w:eastAsia="仿宋_GB2312"/>
          <w:sz w:val="32"/>
          <w:szCs w:val="32"/>
        </w:rPr>
        <w:t>强化面源治理，各街道累计清扫屋顶554万平方米，小微工地全封闭进行施工，治理裸露地面2万平方米，保持裸地“动态清零”。揭网见绿1.23万平方米，提前超额完成全年任务的103.36%。开展24小时不间断巡查和TSP走航监测，处置扬尘问题3.2万余件。成立“绿牌”工地评选工作领导小组，“以点带面”带动辖区施工单位提升污染治理水平，绿牌工地比率达到89.2%，全市最优。加强部门联动，开展建筑垃圾运输车辆夜间联合执法检查25次，发现违规建筑垃圾运输车辆14辆，处罚尾气超标车辆78辆。今年以来，全区城管执法系统共计立案处罚环保扬尘类案件400余件，罚款27.8万元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五是推进VOCs综合整治，在工程减排上深挖潜力。</w:t>
      </w:r>
      <w:r>
        <w:rPr>
          <w:rFonts w:hint="eastAsia" w:eastAsia="仿宋_GB2312"/>
          <w:sz w:val="32"/>
          <w:szCs w:val="32"/>
        </w:rPr>
        <w:t>深化餐饮油烟精细化管理，2400余家企业安装油烟在线监控，10家重点企业试点安装油烟在线监测设备。试点开展餐饮业选址引导指南编制工作，完成《餐饮源精细化排放清单》编制。实施簋街餐饮油烟整治提升试点项目，探索形成“行业—属地—商户”协同精细化管理模式。“每月一题”完成75家餐饮企业治理提升，投诉量同比降低28.9%。充分发挥餐饮油烟“四查”小程序作用，检查餐饮企业2750家次，处罚违法环境违法行为34起，罚款39.72万元。加大挥发性有机物（VOCs）治理力度，组织区内2家企业自主开展“一厂一策”深度治理工作。发挥行业主管部门作用，加快企业绿色创建速度，涉VOCs“绿色”企业比率达到83.3%，全市最优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（三）综合施策、统筹治理，稳步推进碧水保卫战</w:t>
      </w:r>
    </w:p>
    <w:p>
      <w:pPr>
        <w:snapToGrid w:val="0"/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一是</w:t>
      </w:r>
      <w:r>
        <w:rPr>
          <w:rFonts w:hint="eastAsia" w:eastAsia="仿宋_GB2312"/>
          <w:b/>
          <w:bCs/>
          <w:sz w:val="32"/>
          <w:szCs w:val="32"/>
        </w:rPr>
        <w:t>持续</w:t>
      </w:r>
      <w:r>
        <w:rPr>
          <w:rFonts w:eastAsia="仿宋_GB2312"/>
          <w:b/>
          <w:bCs/>
          <w:sz w:val="32"/>
          <w:szCs w:val="32"/>
        </w:rPr>
        <w:t>深化水环境治理。</w:t>
      </w:r>
      <w:r>
        <w:rPr>
          <w:rFonts w:eastAsia="仿宋_GB2312"/>
          <w:sz w:val="32"/>
          <w:szCs w:val="32"/>
        </w:rPr>
        <w:t>强化入河排口监管，更新完善118个流域排口信息，</w:t>
      </w:r>
      <w:r>
        <w:rPr>
          <w:rFonts w:hint="eastAsia" w:eastAsia="仿宋_GB2312"/>
          <w:sz w:val="32"/>
          <w:szCs w:val="32"/>
        </w:rPr>
        <w:t>启动</w:t>
      </w:r>
      <w:r>
        <w:rPr>
          <w:rFonts w:eastAsia="仿宋_GB2312"/>
          <w:sz w:val="32"/>
          <w:szCs w:val="32"/>
        </w:rPr>
        <w:t>南护城河排查检测溯源工作。</w:t>
      </w:r>
      <w:r>
        <w:rPr>
          <w:rFonts w:hint="eastAsia" w:eastAsia="仿宋_GB2312"/>
          <w:sz w:val="32"/>
          <w:szCs w:val="32"/>
        </w:rPr>
        <w:t>严格落实河（湖）长制</w:t>
      </w:r>
      <w:r>
        <w:rPr>
          <w:rFonts w:eastAsia="仿宋_GB2312"/>
          <w:sz w:val="32"/>
          <w:szCs w:val="32"/>
        </w:rPr>
        <w:t>，区</w:t>
      </w:r>
      <w:r>
        <w:rPr>
          <w:rFonts w:hint="eastAsia" w:eastAsia="仿宋_GB2312"/>
          <w:sz w:val="32"/>
          <w:szCs w:val="32"/>
        </w:rPr>
        <w:t>、街</w:t>
      </w:r>
      <w:r>
        <w:rPr>
          <w:rFonts w:eastAsia="仿宋_GB2312"/>
          <w:sz w:val="32"/>
          <w:szCs w:val="32"/>
        </w:rPr>
        <w:t>河长</w:t>
      </w:r>
      <w:r>
        <w:rPr>
          <w:rFonts w:hint="eastAsia" w:eastAsia="仿宋_GB2312"/>
          <w:sz w:val="32"/>
          <w:szCs w:val="32"/>
        </w:rPr>
        <w:t>共</w:t>
      </w:r>
      <w:r>
        <w:rPr>
          <w:rFonts w:eastAsia="仿宋_GB2312"/>
          <w:sz w:val="32"/>
          <w:szCs w:val="32"/>
        </w:rPr>
        <w:t>巡河7156.66公里。开展汛期前清管行动，清理专用管涵</w:t>
      </w:r>
      <w:r>
        <w:rPr>
          <w:rFonts w:hint="eastAsia" w:eastAsia="仿宋_GB2312"/>
          <w:sz w:val="32"/>
          <w:szCs w:val="32"/>
        </w:rPr>
        <w:t>103</w:t>
      </w:r>
      <w:r>
        <w:rPr>
          <w:rFonts w:eastAsia="仿宋_GB2312"/>
          <w:sz w:val="32"/>
          <w:szCs w:val="32"/>
        </w:rPr>
        <w:t>公里、雨水箅子</w:t>
      </w:r>
      <w:r>
        <w:rPr>
          <w:rFonts w:hint="eastAsia" w:eastAsia="仿宋_GB2312"/>
          <w:sz w:val="32"/>
          <w:szCs w:val="32"/>
        </w:rPr>
        <w:t>8328</w:t>
      </w:r>
      <w:r>
        <w:rPr>
          <w:rFonts w:eastAsia="仿宋_GB2312"/>
          <w:sz w:val="32"/>
          <w:szCs w:val="32"/>
        </w:rPr>
        <w:t>个，清掏300余立方</w:t>
      </w:r>
      <w:r>
        <w:rPr>
          <w:rFonts w:hint="eastAsia" w:eastAsia="仿宋_GB2312"/>
          <w:sz w:val="32"/>
          <w:szCs w:val="32"/>
        </w:rPr>
        <w:t>米</w:t>
      </w:r>
      <w:r>
        <w:rPr>
          <w:rFonts w:eastAsia="仿宋_GB2312"/>
          <w:sz w:val="32"/>
          <w:szCs w:val="32"/>
        </w:rPr>
        <w:t>污染物，完成率100%</w:t>
      </w:r>
      <w:r>
        <w:rPr>
          <w:rFonts w:hint="eastAsia" w:eastAsia="仿宋_GB2312"/>
          <w:sz w:val="32"/>
          <w:szCs w:val="32"/>
        </w:rPr>
        <w:t>，确保汛期排水通畅</w:t>
      </w:r>
      <w:r>
        <w:rPr>
          <w:rFonts w:eastAsia="仿宋_GB2312"/>
          <w:sz w:val="32"/>
          <w:szCs w:val="32"/>
        </w:rPr>
        <w:t>。</w:t>
      </w:r>
    </w:p>
    <w:p>
      <w:pPr>
        <w:snapToGrid w:val="0"/>
        <w:spacing w:line="560" w:lineRule="exact"/>
        <w:ind w:firstLine="643" w:firstLineChars="200"/>
        <w:rPr>
          <w:rFonts w:eastAsia="仿宋_GB2312"/>
          <w:color w:val="0000FF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二是</w:t>
      </w:r>
      <w:r>
        <w:rPr>
          <w:rFonts w:hint="eastAsia" w:eastAsia="仿宋_GB2312"/>
          <w:b/>
          <w:bCs/>
          <w:sz w:val="32"/>
          <w:szCs w:val="32"/>
        </w:rPr>
        <w:t>扎实</w:t>
      </w:r>
      <w:r>
        <w:rPr>
          <w:rFonts w:eastAsia="仿宋_GB2312"/>
          <w:b/>
          <w:bCs/>
          <w:sz w:val="32"/>
          <w:szCs w:val="32"/>
        </w:rPr>
        <w:t>推进水资源保护。</w:t>
      </w:r>
      <w:r>
        <w:rPr>
          <w:rFonts w:eastAsia="仿宋_GB2312"/>
          <w:sz w:val="32"/>
          <w:szCs w:val="32"/>
        </w:rPr>
        <w:t>开展水源保护区环境风险排查专项行动，绘制16处水源</w:t>
      </w:r>
      <w:r>
        <w:rPr>
          <w:rFonts w:hint="eastAsia" w:ascii="仿宋_GB2312" w:eastAsia="仿宋_GB2312"/>
          <w:sz w:val="32"/>
          <w:szCs w:val="32"/>
        </w:rPr>
        <w:t>井“一张图”</w:t>
      </w:r>
      <w:r>
        <w:rPr>
          <w:rFonts w:eastAsia="仿宋_GB2312"/>
          <w:sz w:val="32"/>
          <w:szCs w:val="32"/>
        </w:rPr>
        <w:t>，动态更新台账。推动节水型社会建设，</w:t>
      </w:r>
      <w:r>
        <w:rPr>
          <w:rFonts w:hint="eastAsia" w:eastAsia="仿宋_GB2312"/>
          <w:sz w:val="32"/>
          <w:szCs w:val="32"/>
        </w:rPr>
        <w:t>1—6月新水用量为3126.66万立方米，再生水用量为65.93万立方米，新水用量和再生水用量均在指标控制内。</w:t>
      </w:r>
      <w:r>
        <w:rPr>
          <w:rFonts w:eastAsia="仿宋_GB2312"/>
          <w:sz w:val="32"/>
          <w:szCs w:val="32"/>
        </w:rPr>
        <w:t>联合开展加油站地下水监测执法行动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有效防范地下水污染。</w:t>
      </w:r>
    </w:p>
    <w:p>
      <w:pPr>
        <w:snapToGrid w:val="0"/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三是</w:t>
      </w:r>
      <w:r>
        <w:rPr>
          <w:rFonts w:hint="eastAsia" w:eastAsia="仿宋_GB2312"/>
          <w:b/>
          <w:bCs/>
          <w:sz w:val="32"/>
          <w:szCs w:val="32"/>
        </w:rPr>
        <w:t>深入</w:t>
      </w:r>
      <w:r>
        <w:rPr>
          <w:rFonts w:eastAsia="仿宋_GB2312"/>
          <w:b/>
          <w:bCs/>
          <w:sz w:val="32"/>
          <w:szCs w:val="32"/>
        </w:rPr>
        <w:t>开展水生态评价。</w:t>
      </w:r>
      <w:r>
        <w:rPr>
          <w:rFonts w:eastAsia="仿宋_GB2312"/>
          <w:sz w:val="32"/>
          <w:szCs w:val="32"/>
        </w:rPr>
        <w:t>完成重点河湖水生态调查评价工作</w:t>
      </w:r>
      <w:r>
        <w:rPr>
          <w:rFonts w:hint="eastAsia" w:eastAsia="仿宋_GB2312"/>
          <w:sz w:val="32"/>
          <w:szCs w:val="32"/>
        </w:rPr>
        <w:t>，初步形成《</w:t>
      </w:r>
      <w:bookmarkStart w:id="1" w:name="_Toc4416"/>
      <w:r>
        <w:rPr>
          <w:rFonts w:hint="eastAsia" w:eastAsia="仿宋_GB2312"/>
          <w:sz w:val="32"/>
          <w:szCs w:val="32"/>
        </w:rPr>
        <w:t>东城区河湖水生态</w:t>
      </w:r>
      <w:bookmarkEnd w:id="1"/>
      <w:r>
        <w:rPr>
          <w:rFonts w:hint="eastAsia" w:eastAsia="仿宋_GB2312"/>
          <w:sz w:val="32"/>
          <w:szCs w:val="32"/>
        </w:rPr>
        <w:t>调查评估及提升对策研究报告》，对辖区重点河湖水生态状况进行监测评价，推进底栖生物等生态标识物在水生态补偿等领域的应用。</w:t>
      </w:r>
    </w:p>
    <w:p>
      <w:pPr>
        <w:pStyle w:val="14"/>
        <w:spacing w:line="560" w:lineRule="exact"/>
        <w:ind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（四）</w:t>
      </w:r>
      <w:r>
        <w:rPr>
          <w:rFonts w:hint="eastAsia" w:eastAsia="楷体_GB2312" w:cs="楷体_GB2312"/>
          <w:bCs/>
          <w:sz w:val="32"/>
          <w:szCs w:val="32"/>
        </w:rPr>
        <w:t>防治结合、守牢底线，</w:t>
      </w:r>
      <w:r>
        <w:rPr>
          <w:rFonts w:hint="eastAsia" w:eastAsia="楷体_GB2312"/>
          <w:sz w:val="32"/>
          <w:szCs w:val="32"/>
        </w:rPr>
        <w:t>扎实推进</w:t>
      </w:r>
      <w:r>
        <w:rPr>
          <w:rFonts w:eastAsia="楷体_GB2312"/>
          <w:sz w:val="32"/>
          <w:szCs w:val="32"/>
        </w:rPr>
        <w:t>净土保卫战</w:t>
      </w:r>
    </w:p>
    <w:p>
      <w:pPr>
        <w:pStyle w:val="14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依托污染地块土壤环境管理系统，</w:t>
      </w:r>
      <w:r>
        <w:rPr>
          <w:rFonts w:hint="eastAsia" w:eastAsia="仿宋_GB2312"/>
          <w:sz w:val="32"/>
          <w:szCs w:val="32"/>
        </w:rPr>
        <w:t>各相关</w:t>
      </w:r>
      <w:r>
        <w:rPr>
          <w:rFonts w:eastAsia="仿宋_GB2312"/>
          <w:sz w:val="32"/>
          <w:szCs w:val="32"/>
        </w:rPr>
        <w:t>部门信息共享、联动监管，召开联席会议6次。对关停企业地块进行梳理，全方位掌握已关停企业土壤环境现状。加强日常监管、专项检查与联合执法，上半年，</w:t>
      </w:r>
      <w:r>
        <w:rPr>
          <w:rFonts w:hint="eastAsia" w:eastAsia="仿宋_GB2312"/>
          <w:sz w:val="32"/>
          <w:szCs w:val="32"/>
        </w:rPr>
        <w:t>检查危废产生单位154家次，巡查加油站197座次</w:t>
      </w:r>
      <w:r>
        <w:rPr>
          <w:rFonts w:eastAsia="仿宋_GB2312"/>
          <w:sz w:val="32"/>
          <w:szCs w:val="32"/>
        </w:rPr>
        <w:t>，未发现土壤污染违法行为。</w:t>
      </w:r>
    </w:p>
    <w:p>
      <w:pPr>
        <w:pStyle w:val="14"/>
        <w:spacing w:line="560" w:lineRule="exact"/>
        <w:ind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（五）示范引领、</w:t>
      </w:r>
      <w:r>
        <w:rPr>
          <w:rFonts w:hint="eastAsia" w:eastAsia="楷体_GB2312"/>
          <w:sz w:val="32"/>
          <w:szCs w:val="32"/>
        </w:rPr>
        <w:t>减污降碳</w:t>
      </w:r>
      <w:r>
        <w:rPr>
          <w:rFonts w:eastAsia="楷体_GB2312"/>
          <w:sz w:val="32"/>
          <w:szCs w:val="32"/>
        </w:rPr>
        <w:t>，</w:t>
      </w:r>
      <w:r>
        <w:rPr>
          <w:rFonts w:hint="eastAsia" w:eastAsia="楷体_GB2312"/>
          <w:sz w:val="32"/>
          <w:szCs w:val="32"/>
        </w:rPr>
        <w:t>纵深推进应对气候变化</w:t>
      </w:r>
    </w:p>
    <w:p>
      <w:pPr>
        <w:spacing w:line="560" w:lineRule="exact"/>
        <w:ind w:firstLine="640" w:firstLineChars="200"/>
        <w:rPr>
          <w:rStyle w:val="17"/>
          <w:rFonts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Style w:val="17"/>
          <w:rFonts w:hint="eastAsia" w:ascii="Times New Roman" w:hAnsi="Times New Roman" w:eastAsia="仿宋_GB2312" w:cs="仿宋_GB2312"/>
          <w:sz w:val="32"/>
          <w:szCs w:val="32"/>
        </w:rPr>
        <w:t>印发《东城区2024年碳达峰工作要点》，</w:t>
      </w:r>
      <w:r>
        <w:rPr>
          <w:rStyle w:val="17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明确28项重点任务。</w:t>
      </w:r>
      <w:r>
        <w:rPr>
          <w:rStyle w:val="17"/>
          <w:rFonts w:hint="eastAsia" w:ascii="Times New Roman" w:hAnsi="Times New Roman" w:eastAsia="仿宋_GB2312" w:cs="仿宋_GB2312"/>
          <w:sz w:val="32"/>
          <w:szCs w:val="32"/>
          <w:lang w:eastAsia="zh-CN"/>
        </w:rPr>
        <w:t>深入推进</w:t>
      </w:r>
      <w:r>
        <w:rPr>
          <w:rStyle w:val="17"/>
          <w:rFonts w:hint="eastAsia" w:ascii="Times New Roman" w:hAnsi="Times New Roman" w:eastAsia="仿宋_GB2312" w:cs="仿宋_GB2312"/>
          <w:spacing w:val="-2"/>
          <w:sz w:val="32"/>
          <w:szCs w:val="32"/>
          <w:lang w:val="en-US" w:eastAsia="zh-CN"/>
        </w:rPr>
        <w:t>2024年碳市场工作，督促重点排放单位完成碳排放报告报送，加强重点排放单位系统月报数据审核</w:t>
      </w:r>
      <w:r>
        <w:rPr>
          <w:rStyle w:val="17"/>
          <w:rFonts w:hint="eastAsia" w:ascii="仿宋_GB2312" w:hAnsi="仿宋_GB2312" w:eastAsia="仿宋_GB2312" w:cs="仿宋_GB2312"/>
          <w:spacing w:val="-2"/>
          <w:sz w:val="32"/>
          <w:szCs w:val="32"/>
        </w:rPr>
        <w:t>，开展</w:t>
      </w:r>
      <w:r>
        <w:rPr>
          <w:rStyle w:val="17"/>
          <w:rFonts w:ascii="Times New Roman" w:hAnsi="Times New Roman" w:eastAsia="仿宋_GB2312" w:cs="Times New Roman"/>
          <w:spacing w:val="-2"/>
          <w:sz w:val="32"/>
          <w:szCs w:val="32"/>
        </w:rPr>
        <w:t>2024</w:t>
      </w:r>
      <w:r>
        <w:rPr>
          <w:rStyle w:val="17"/>
          <w:rFonts w:hint="eastAsia" w:ascii="仿宋_GB2312" w:hAnsi="仿宋_GB2312" w:eastAsia="仿宋_GB2312" w:cs="仿宋_GB2312"/>
          <w:spacing w:val="-2"/>
          <w:sz w:val="32"/>
          <w:szCs w:val="32"/>
        </w:rPr>
        <w:t>年碳市场培训会</w:t>
      </w:r>
      <w:r>
        <w:rPr>
          <w:rStyle w:val="17"/>
          <w:rFonts w:hint="eastAsia" w:ascii="Times New Roman" w:hAnsi="Times New Roman" w:eastAsia="仿宋_GB2312" w:cs="仿宋_GB2312"/>
          <w:spacing w:val="-2"/>
          <w:sz w:val="32"/>
          <w:szCs w:val="32"/>
          <w:lang w:val="en-US" w:eastAsia="zh-CN"/>
        </w:rPr>
        <w:t>。</w:t>
      </w:r>
      <w:r>
        <w:rPr>
          <w:rStyle w:val="17"/>
          <w:rFonts w:hint="eastAsia" w:ascii="仿宋_GB2312" w:hAnsi="仿宋_GB2312" w:eastAsia="仿宋_GB2312" w:cs="仿宋_GB2312"/>
          <w:spacing w:val="-2"/>
          <w:sz w:val="32"/>
          <w:szCs w:val="32"/>
        </w:rPr>
        <w:t>开展能备能报工作，组织绿色电力推广培训会，扩大绿色电力消纳</w:t>
      </w:r>
      <w:r>
        <w:rPr>
          <w:rStyle w:val="17"/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Style w:val="17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大力推广超低能耗建筑，完成16.2万平方米公共建筑节能绿色化改造。举办节能宣传周和低碳日宣传活动，营造节能降碳浓厚氛围。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（六）生态为先、挖潜拓绿</w:t>
      </w:r>
      <w:r>
        <w:rPr>
          <w:rFonts w:eastAsia="楷体_GB2312"/>
          <w:sz w:val="32"/>
          <w:szCs w:val="32"/>
        </w:rPr>
        <w:t>，</w:t>
      </w:r>
      <w:r>
        <w:rPr>
          <w:rFonts w:hint="eastAsia" w:eastAsia="楷体_GB2312" w:cs="楷体_GB2312"/>
          <w:sz w:val="32"/>
          <w:szCs w:val="32"/>
        </w:rPr>
        <w:t>着力提升生态环境品质</w:t>
      </w:r>
    </w:p>
    <w:p>
      <w:pPr>
        <w:spacing w:line="560" w:lineRule="exact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强化生物多样性保护，配合市级部门完成地坛牌楼、龙潭双兴桥等生物多样性调查。南馆公园、东便门—光明桥城市绿地、东直门沿北护城河公园综合改造提升工程完成财政预算评审。小微绿地、桥体绿化提升、花园街区示范等其他建设项目已完成点位梳理，确保按期施工。</w:t>
      </w:r>
    </w:p>
    <w:p>
      <w:pPr>
        <w:spacing w:line="560" w:lineRule="exact"/>
        <w:ind w:firstLine="640" w:firstLineChars="200"/>
        <w:outlineLvl w:val="0"/>
      </w:pPr>
      <w:r>
        <w:rPr>
          <w:rFonts w:eastAsia="黑体"/>
          <w:sz w:val="32"/>
          <w:szCs w:val="32"/>
        </w:rPr>
        <w:t>三、存在的问题</w:t>
      </w:r>
    </w:p>
    <w:p>
      <w:pPr>
        <w:pStyle w:val="14"/>
        <w:spacing w:line="560" w:lineRule="exact"/>
        <w:ind w:firstLine="643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一是完成空气质量改善目标挑战较大</w:t>
      </w:r>
      <w:r>
        <w:rPr>
          <w:rFonts w:hint="eastAsia" w:eastAsia="仿宋_GB2312"/>
          <w:sz w:val="32"/>
          <w:szCs w:val="32"/>
        </w:rPr>
        <w:t>。上半年，全区PM</w:t>
      </w:r>
      <w:r>
        <w:rPr>
          <w:rFonts w:hint="eastAsia" w:eastAsia="仿宋_GB2312"/>
          <w:sz w:val="32"/>
          <w:szCs w:val="32"/>
          <w:vertAlign w:val="subscript"/>
        </w:rPr>
        <w:t>2.5</w:t>
      </w:r>
      <w:r>
        <w:rPr>
          <w:rFonts w:hint="eastAsia" w:eastAsia="仿宋_GB2312"/>
          <w:sz w:val="32"/>
          <w:szCs w:val="32"/>
        </w:rPr>
        <w:t>累计浓度38.0微克/立方米，实现同比改善。完成全年目标，关键要抓住三季度巩固改善趋势，在秋冬季前最大程度争取空间。根据预测，三季度大气扩散条件预计同比偏不利，剩下6个月时间PM</w:t>
      </w:r>
      <w:r>
        <w:rPr>
          <w:rFonts w:hint="eastAsia" w:eastAsia="仿宋_GB2312"/>
          <w:sz w:val="32"/>
          <w:szCs w:val="32"/>
          <w:vertAlign w:val="subscript"/>
        </w:rPr>
        <w:t>2.5</w:t>
      </w:r>
      <w:r>
        <w:rPr>
          <w:rFonts w:hint="eastAsia" w:eastAsia="仿宋_GB2312"/>
          <w:sz w:val="32"/>
          <w:szCs w:val="32"/>
        </w:rPr>
        <w:t>平均浓度需控制在30微克/立方米以内，巩固改善成效形势依然严峻。</w:t>
      </w:r>
    </w:p>
    <w:p>
      <w:pPr>
        <w:pStyle w:val="14"/>
        <w:spacing w:line="560" w:lineRule="exact"/>
        <w:ind w:firstLine="643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color w:val="auto"/>
          <w:sz w:val="32"/>
          <w:szCs w:val="32"/>
        </w:rPr>
        <w:t>二是“最后一公里”</w:t>
      </w:r>
      <w:r>
        <w:rPr>
          <w:rFonts w:hint="eastAsia" w:eastAsia="仿宋_GB2312"/>
          <w:b/>
          <w:bCs/>
          <w:sz w:val="32"/>
          <w:szCs w:val="32"/>
        </w:rPr>
        <w:t>责任落实有待加强。</w:t>
      </w:r>
      <w:r>
        <w:rPr>
          <w:rFonts w:hint="eastAsia" w:eastAsia="仿宋_GB2312"/>
          <w:sz w:val="32"/>
          <w:szCs w:val="32"/>
        </w:rPr>
        <w:t>从整数位看，9个街道PM</w:t>
      </w:r>
      <w:r>
        <w:rPr>
          <w:rFonts w:hint="eastAsia" w:eastAsia="仿宋_GB2312"/>
          <w:sz w:val="32"/>
          <w:szCs w:val="32"/>
          <w:vertAlign w:val="subscript"/>
        </w:rPr>
        <w:t>2.5</w:t>
      </w:r>
      <w:r>
        <w:rPr>
          <w:rFonts w:hint="eastAsia" w:eastAsia="仿宋_GB2312"/>
          <w:sz w:val="32"/>
          <w:szCs w:val="32"/>
        </w:rPr>
        <w:t>累计浓度进入全市倒数后30名。北新桥、龙潭、东直门街道PM</w:t>
      </w:r>
      <w:r>
        <w:rPr>
          <w:rFonts w:hint="eastAsia" w:eastAsia="仿宋_GB2312"/>
          <w:sz w:val="32"/>
          <w:szCs w:val="32"/>
          <w:vertAlign w:val="subscript"/>
        </w:rPr>
        <w:t>2.5</w:t>
      </w:r>
      <w:r>
        <w:rPr>
          <w:rFonts w:hint="eastAsia" w:eastAsia="仿宋_GB2312"/>
          <w:sz w:val="32"/>
          <w:szCs w:val="32"/>
        </w:rPr>
        <w:t>累计浓度较高，其中北新桥、东四街道分别2次位于点评周期全区末位。多数街道空气质量改善成果还不够稳固，由量变到质变的拐点尚未出现，需进一步强化责任落实，以更大的减排量来冲抵气象条件的不确定性。</w:t>
      </w:r>
    </w:p>
    <w:p>
      <w:pPr>
        <w:pStyle w:val="14"/>
        <w:spacing w:line="560" w:lineRule="exact"/>
        <w:ind w:firstLine="643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三是精细化管理水平需要加强。</w:t>
      </w:r>
      <w:r>
        <w:rPr>
          <w:rFonts w:hint="eastAsia" w:eastAsia="仿宋_GB2312"/>
          <w:sz w:val="32"/>
          <w:szCs w:val="32"/>
        </w:rPr>
        <w:t>道路清扫保洁效果不稳固，全区上半年道路尘负荷排名波动较大。从街道看，前门街道2次、永外街道1次进入全市道路尘负荷后10名，长期位于全区后3名，拉高全区整体数值；从道路看，前门街道西兴隆街、鲜鱼口街，永外街道桃杨路、安乐林中街等道路进入过全市后30名，且没有明显改善，道路扬尘“久治不愈”。施工扬尘监管力度有待加强，施工工地扬尘管控主体责任落实不到位，“门前三包”“六个百分百”等措施落实不到位，存在出入口洗轮机空置不用、夜间施工无组织偷排、渣土车遗撒等问题。</w:t>
      </w:r>
    </w:p>
    <w:p>
      <w:pPr>
        <w:pStyle w:val="14"/>
        <w:spacing w:line="560" w:lineRule="exact"/>
        <w:ind w:firstLine="643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四是重点领域、重点时段问题仍比较突出。</w:t>
      </w:r>
      <w:r>
        <w:rPr>
          <w:rFonts w:hint="eastAsia" w:eastAsia="仿宋_GB2312"/>
          <w:sz w:val="32"/>
          <w:szCs w:val="32"/>
        </w:rPr>
        <w:t>从重点领域来看，进入夏季以来，</w:t>
      </w:r>
      <w:r>
        <w:rPr>
          <w:rFonts w:eastAsia="仿宋_GB2312"/>
          <w:sz w:val="32"/>
          <w:szCs w:val="32"/>
        </w:rPr>
        <w:t>VOCs</w:t>
      </w:r>
      <w:r>
        <w:rPr>
          <w:rFonts w:hint="eastAsia" w:eastAsia="仿宋_GB2312"/>
          <w:sz w:val="32"/>
          <w:szCs w:val="32"/>
        </w:rPr>
        <w:t>等污染特征突出，汽修、印刷企业、加油站VOCs治理设施、餐饮企业油烟净化设施未按规范运行使用，工地等违规违法使用冒黑烟非道路移动机械、渣土车问题时有发生，日常监管存在死角盲区。从重点时段来看，PM</w:t>
      </w:r>
      <w:r>
        <w:rPr>
          <w:rFonts w:hint="eastAsia" w:eastAsia="仿宋_GB2312"/>
          <w:sz w:val="32"/>
          <w:szCs w:val="32"/>
          <w:vertAlign w:val="subscript"/>
        </w:rPr>
        <w:t>2.5</w:t>
      </w:r>
      <w:r>
        <w:rPr>
          <w:rFonts w:hint="eastAsia" w:eastAsia="仿宋_GB2312"/>
          <w:sz w:val="32"/>
          <w:szCs w:val="32"/>
        </w:rPr>
        <w:t>夜间突高时有发生，硝酸盐组分占比较高，与夜间重型柴油货车活动强度密切相关，存在渣土车闯禁限行、道路遗撒、尾气超标等违法行为，需进一步加强夜间执法检查力度，补齐监管短板。</w:t>
      </w:r>
    </w:p>
    <w:p>
      <w:pPr>
        <w:pStyle w:val="14"/>
        <w:shd w:val="clear" w:color="040000" w:fill="auto"/>
        <w:snapToGrid w:val="0"/>
        <w:spacing w:line="560" w:lineRule="exact"/>
        <w:ind w:firstLine="643"/>
        <w:outlineLvl w:val="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五是水环境改善仍需持续推进。</w:t>
      </w:r>
      <w:r>
        <w:rPr>
          <w:rFonts w:hint="eastAsia" w:eastAsia="仿宋_GB2312" w:cs="仿宋_GB2312"/>
          <w:sz w:val="32"/>
          <w:szCs w:val="32"/>
        </w:rPr>
        <w:t>进入夏季，龙潭东湖断面</w:t>
      </w:r>
      <w:r>
        <w:rPr>
          <w:rFonts w:hint="eastAsia" w:eastAsia="仿宋_GB2312"/>
          <w:sz w:val="32"/>
          <w:szCs w:val="32"/>
        </w:rPr>
        <w:t>湖水蒸腾量明显增加。去年同期</w:t>
      </w:r>
      <w:r>
        <w:rPr>
          <w:rFonts w:hint="eastAsia" w:eastAsia="仿宋_GB2312" w:cs="仿宋_GB2312"/>
          <w:sz w:val="32"/>
          <w:szCs w:val="32"/>
        </w:rPr>
        <w:t>受高温、低压、日照等因素的影响，龙潭东湖水质曾出现同比下降的情况。要持续加强对重点河湖污水处理设施的运维保障力度，</w:t>
      </w:r>
      <w:r>
        <w:rPr>
          <w:rFonts w:hint="eastAsia" w:eastAsia="仿宋_GB2312"/>
          <w:sz w:val="32"/>
          <w:szCs w:val="32"/>
        </w:rPr>
        <w:t>确保优良水体比例稳中向好。</w:t>
      </w:r>
    </w:p>
    <w:p>
      <w:pPr>
        <w:spacing w:line="56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四、下一步工作</w:t>
      </w:r>
    </w:p>
    <w:p>
      <w:pPr>
        <w:spacing w:line="560" w:lineRule="exact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下一步，东城区将</w:t>
      </w:r>
      <w:r>
        <w:rPr>
          <w:rFonts w:hint="eastAsia" w:eastAsia="仿宋_GB2312"/>
          <w:sz w:val="32"/>
          <w:szCs w:val="32"/>
        </w:rPr>
        <w:t>继续</w:t>
      </w:r>
      <w:r>
        <w:rPr>
          <w:rFonts w:eastAsia="仿宋_GB2312"/>
          <w:sz w:val="32"/>
          <w:szCs w:val="32"/>
        </w:rPr>
        <w:t>深入学习贯彻习近平生态文明思想，</w:t>
      </w:r>
      <w:r>
        <w:rPr>
          <w:rFonts w:hint="eastAsia" w:eastAsia="仿宋_GB2312"/>
          <w:sz w:val="32"/>
          <w:szCs w:val="32"/>
        </w:rPr>
        <w:t>以最大力度、最实举措推动污染防治攻坚战各项目标任务落细、落实、落到位，推进生态环境质量持续向好，奋力谱写人与自然和谐共生的美丽东城篇章。</w:t>
      </w:r>
    </w:p>
    <w:p>
      <w:pPr>
        <w:pStyle w:val="14"/>
        <w:shd w:val="clear" w:color="040000" w:fill="auto"/>
        <w:snapToGrid w:val="0"/>
        <w:spacing w:line="560" w:lineRule="exact"/>
        <w:ind w:firstLine="640"/>
        <w:outlineLvl w:val="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</w:t>
      </w:r>
      <w:r>
        <w:rPr>
          <w:rFonts w:hint="eastAsia" w:eastAsia="楷体_GB2312"/>
          <w:sz w:val="32"/>
          <w:szCs w:val="32"/>
        </w:rPr>
        <w:t>全面落实攻坚举措</w:t>
      </w:r>
      <w:r>
        <w:rPr>
          <w:rFonts w:eastAsia="楷体_GB2312"/>
          <w:sz w:val="32"/>
          <w:szCs w:val="32"/>
        </w:rPr>
        <w:t>，</w:t>
      </w:r>
      <w:r>
        <w:rPr>
          <w:rFonts w:hint="eastAsia" w:eastAsia="楷体_GB2312"/>
          <w:sz w:val="32"/>
          <w:szCs w:val="32"/>
        </w:rPr>
        <w:t>坚持不懈打好蓝天保卫战</w:t>
      </w:r>
    </w:p>
    <w:p>
      <w:pPr>
        <w:pStyle w:val="14"/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Style w:val="17"/>
          <w:rFonts w:hint="eastAsia" w:ascii="Times New Roman" w:hAnsi="Times New Roman" w:eastAsia="仿宋_GB2312" w:cs="仿宋_GB2312"/>
          <w:sz w:val="32"/>
          <w:szCs w:val="32"/>
        </w:rPr>
        <w:t>以降低PM</w:t>
      </w:r>
      <w:r>
        <w:rPr>
          <w:rStyle w:val="17"/>
          <w:rFonts w:hint="eastAsia" w:ascii="Times New Roman" w:hAnsi="Times New Roman" w:eastAsia="仿宋_GB2312" w:cs="仿宋_GB2312"/>
          <w:sz w:val="32"/>
          <w:szCs w:val="32"/>
          <w:vertAlign w:val="subscript"/>
        </w:rPr>
        <w:t>2.5</w:t>
      </w:r>
      <w:r>
        <w:rPr>
          <w:rStyle w:val="17"/>
          <w:rFonts w:hint="eastAsia" w:ascii="Times New Roman" w:hAnsi="Times New Roman" w:eastAsia="仿宋_GB2312" w:cs="仿宋_GB2312"/>
          <w:sz w:val="32"/>
          <w:szCs w:val="32"/>
        </w:rPr>
        <w:t>浓度为主线，</w:t>
      </w:r>
      <w:r>
        <w:rPr>
          <w:rStyle w:val="17"/>
          <w:rFonts w:hint="eastAsia" w:ascii="Times New Roman" w:hAnsi="Times New Roman" w:eastAsia="仿宋_GB2312" w:cs="仿宋_GB2312"/>
          <w:sz w:val="32"/>
          <w:szCs w:val="32"/>
          <w:lang w:eastAsia="zh-CN"/>
        </w:rPr>
        <w:t>以推动</w:t>
      </w:r>
      <w:r>
        <w:rPr>
          <w:rStyle w:val="17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市月度</w:t>
      </w:r>
      <w:r>
        <w:rPr>
          <w:rStyle w:val="17"/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工作</w:t>
      </w:r>
      <w:r>
        <w:rPr>
          <w:rStyle w:val="17"/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点评</w:t>
      </w:r>
      <w:r>
        <w:rPr>
          <w:rStyle w:val="17"/>
          <w:rFonts w:hint="eastAsia" w:ascii="Times New Roman" w:hAnsi="Times New Roman" w:eastAsia="仿宋_GB2312" w:cs="仿宋_GB2312"/>
          <w:sz w:val="32"/>
          <w:szCs w:val="32"/>
          <w:lang w:eastAsia="zh-CN"/>
        </w:rPr>
        <w:t>会指标</w:t>
      </w:r>
      <w:r>
        <w:rPr>
          <w:rStyle w:val="17"/>
          <w:rFonts w:hint="eastAsia" w:ascii="Times New Roman" w:hAnsi="Times New Roman" w:eastAsia="仿宋_GB2312" w:cs="仿宋_GB2312"/>
          <w:sz w:val="32"/>
          <w:szCs w:val="32"/>
        </w:rPr>
        <w:t>提升为着力点，全方位、多角度、深层次实施大气污染防治</w:t>
      </w:r>
      <w:r>
        <w:rPr>
          <w:rStyle w:val="17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25条</w:t>
      </w:r>
      <w:r>
        <w:rPr>
          <w:rStyle w:val="17"/>
          <w:rFonts w:hint="eastAsia" w:ascii="Times New Roman" w:hAnsi="Times New Roman" w:eastAsia="仿宋_GB2312" w:cs="仿宋_GB2312"/>
          <w:sz w:val="32"/>
          <w:szCs w:val="32"/>
        </w:rPr>
        <w:t>攻坚措施</w:t>
      </w:r>
      <w:r>
        <w:rPr>
          <w:rStyle w:val="17"/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  <w:r>
        <w:rPr>
          <w:rStyle w:val="17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在降尘方面，</w:t>
      </w:r>
      <w:r>
        <w:rPr>
          <w:rStyle w:val="17"/>
          <w:rFonts w:hint="eastAsia" w:ascii="Times New Roman" w:hAnsi="Times New Roman" w:eastAsia="仿宋_GB2312" w:cs="仿宋_GB2312"/>
          <w:sz w:val="32"/>
          <w:szCs w:val="32"/>
          <w:lang w:eastAsia="zh-CN"/>
        </w:rPr>
        <w:t>巩固扬尘百日攻坚成效，</w:t>
      </w:r>
      <w:r>
        <w:rPr>
          <w:rStyle w:val="17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强化</w:t>
      </w:r>
      <w:r>
        <w:rPr>
          <w:rStyle w:val="17"/>
          <w:rFonts w:hint="eastAsia" w:ascii="Times New Roman" w:hAnsi="Times New Roman" w:eastAsia="仿宋_GB2312" w:cs="仿宋_GB2312"/>
          <w:sz w:val="32"/>
          <w:szCs w:val="32"/>
          <w:lang w:eastAsia="zh-CN"/>
        </w:rPr>
        <w:t>各类工地扬尘管控力度，加大全区道路和背街小巷清扫保洁力度，全力压减扬尘</w:t>
      </w:r>
      <w:r>
        <w:rPr>
          <w:rStyle w:val="17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污染</w:t>
      </w:r>
      <w:r>
        <w:rPr>
          <w:rStyle w:val="17"/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  <w:r>
        <w:rPr>
          <w:rStyle w:val="17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在控车方面，</w:t>
      </w:r>
      <w:r>
        <w:rPr>
          <w:rStyle w:val="17"/>
          <w:rFonts w:hint="eastAsia" w:ascii="Times New Roman" w:hAnsi="Times New Roman" w:eastAsia="仿宋_GB2312" w:cs="仿宋_GB2312"/>
          <w:sz w:val="32"/>
          <w:szCs w:val="32"/>
          <w:lang w:eastAsia="zh-CN"/>
        </w:rPr>
        <w:t>充分</w:t>
      </w:r>
      <w:r>
        <w:rPr>
          <w:rFonts w:eastAsia="仿宋_GB2312"/>
          <w:sz w:val="32"/>
          <w:szCs w:val="32"/>
        </w:rPr>
        <w:t>发挥行业主管作用，</w:t>
      </w:r>
      <w:r>
        <w:rPr>
          <w:rFonts w:hint="eastAsia" w:eastAsia="仿宋_GB2312"/>
          <w:sz w:val="32"/>
          <w:szCs w:val="32"/>
        </w:rPr>
        <w:t>推动行业存量机动车淘汰更新，将执法力量向夜间薄弱环节倾斜，</w:t>
      </w:r>
      <w:r>
        <w:rPr>
          <w:rStyle w:val="17"/>
          <w:rFonts w:hint="eastAsia" w:ascii="Times New Roman" w:hAnsi="Times New Roman" w:eastAsia="仿宋_GB2312" w:cs="仿宋_GB2312"/>
          <w:sz w:val="32"/>
          <w:szCs w:val="32"/>
        </w:rPr>
        <w:t>加大对重柴车超标排放的处罚力度</w:t>
      </w:r>
      <w:r>
        <w:rPr>
          <w:rStyle w:val="17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。在治烟方面，</w:t>
      </w:r>
      <w:r>
        <w:rPr>
          <w:rFonts w:hint="eastAsia" w:eastAsia="仿宋_GB2312"/>
          <w:sz w:val="32"/>
          <w:szCs w:val="32"/>
        </w:rPr>
        <w:t>加大餐饮油烟执法检查力度，</w:t>
      </w:r>
      <w:r>
        <w:rPr>
          <w:rStyle w:val="17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持续推动餐饮企业实施治理提升工程，</w:t>
      </w:r>
      <w:r>
        <w:rPr>
          <w:rFonts w:hint="eastAsia" w:eastAsia="仿宋_GB2312"/>
          <w:sz w:val="32"/>
          <w:szCs w:val="32"/>
        </w:rPr>
        <w:t>因地制宜解决人民群众反映集中的油烟扰民问题。</w:t>
      </w:r>
    </w:p>
    <w:p>
      <w:pPr>
        <w:pStyle w:val="14"/>
        <w:shd w:val="clear" w:color="040000" w:fill="auto"/>
        <w:snapToGrid w:val="0"/>
        <w:spacing w:line="560" w:lineRule="exact"/>
        <w:ind w:firstLine="640"/>
        <w:outlineLvl w:val="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</w:t>
      </w:r>
      <w:r>
        <w:rPr>
          <w:rFonts w:hint="eastAsia" w:eastAsia="楷体_GB2312"/>
          <w:sz w:val="32"/>
          <w:szCs w:val="32"/>
        </w:rPr>
        <w:t>持续聚焦重点领域</w:t>
      </w:r>
      <w:r>
        <w:rPr>
          <w:rFonts w:eastAsia="楷体_GB2312"/>
          <w:sz w:val="32"/>
          <w:szCs w:val="32"/>
        </w:rPr>
        <w:t>，</w:t>
      </w:r>
      <w:r>
        <w:rPr>
          <w:rFonts w:hint="eastAsia" w:eastAsia="楷体_GB2312"/>
          <w:sz w:val="32"/>
          <w:szCs w:val="32"/>
        </w:rPr>
        <w:t>坚定不移推动减污降碳</w:t>
      </w:r>
    </w:p>
    <w:p>
      <w:pPr>
        <w:snapToGrid w:val="0"/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仿宋_GB2312" w:cs="宋体"/>
          <w:sz w:val="32"/>
          <w:szCs w:val="32"/>
        </w:rPr>
        <w:t>聚力“双碳”目标，落实</w:t>
      </w:r>
      <w:r>
        <w:rPr>
          <w:rStyle w:val="17"/>
          <w:rFonts w:hint="eastAsia" w:ascii="Times New Roman" w:hAnsi="Times New Roman" w:eastAsia="仿宋_GB2312" w:cs="仿宋_GB2312"/>
          <w:sz w:val="32"/>
          <w:szCs w:val="32"/>
        </w:rPr>
        <w:t>《东城区2024年碳达峰工作要点》</w:t>
      </w:r>
      <w:r>
        <w:rPr>
          <w:rFonts w:hint="eastAsia" w:eastAsia="仿宋_GB2312" w:cs="宋体"/>
          <w:sz w:val="32"/>
          <w:szCs w:val="32"/>
        </w:rPr>
        <w:t>。</w:t>
      </w:r>
      <w:r>
        <w:rPr>
          <w:rFonts w:hint="eastAsia" w:eastAsia="仿宋_GB2312" w:cs="仿宋_GB2312"/>
          <w:sz w:val="32"/>
          <w:szCs w:val="32"/>
        </w:rPr>
        <w:t>深入推动产业、能源、建筑等重点领域低碳发展，提升能源资源利用效率，完成50万平米公共建筑节能绿色化改造工程。开展多领域、深层次的绿色低</w:t>
      </w:r>
      <w:r>
        <w:rPr>
          <w:rFonts w:hint="eastAsia" w:eastAsia="仿宋_GB2312" w:cs="仿宋_GB2312"/>
          <w:sz w:val="32"/>
          <w:szCs w:val="32"/>
          <w:highlight w:val="none"/>
        </w:rPr>
        <w:t>碳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示范项目</w:t>
      </w:r>
      <w:r>
        <w:rPr>
          <w:rFonts w:hint="eastAsia" w:eastAsia="仿宋_GB2312" w:cs="仿宋_GB2312"/>
          <w:sz w:val="32"/>
          <w:szCs w:val="32"/>
        </w:rPr>
        <w:t>，推动形成简约适度、绿色低碳、文明健康的生产生活方式。</w:t>
      </w:r>
    </w:p>
    <w:p>
      <w:pPr>
        <w:pStyle w:val="14"/>
        <w:shd w:val="clear" w:color="040000" w:fill="auto"/>
        <w:snapToGrid w:val="0"/>
        <w:spacing w:line="560" w:lineRule="exact"/>
        <w:ind w:firstLine="640"/>
        <w:outlineLvl w:val="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</w:t>
      </w:r>
      <w:r>
        <w:rPr>
          <w:rFonts w:hint="eastAsia" w:eastAsia="楷体_GB2312"/>
          <w:sz w:val="32"/>
          <w:szCs w:val="32"/>
        </w:rPr>
        <w:t>突出补短板强弱项</w:t>
      </w:r>
      <w:r>
        <w:rPr>
          <w:rFonts w:eastAsia="楷体_GB2312"/>
          <w:sz w:val="32"/>
          <w:szCs w:val="32"/>
        </w:rPr>
        <w:t>，</w:t>
      </w:r>
      <w:r>
        <w:rPr>
          <w:rFonts w:hint="eastAsia" w:eastAsia="楷体_GB2312"/>
          <w:sz w:val="32"/>
          <w:szCs w:val="32"/>
        </w:rPr>
        <w:t>坚决有力推动督察整改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印发、公开</w:t>
      </w:r>
      <w:r>
        <w:rPr>
          <w:rFonts w:eastAsia="仿宋_GB2312"/>
          <w:sz w:val="32"/>
          <w:szCs w:val="32"/>
        </w:rPr>
        <w:t>市</w:t>
      </w:r>
      <w:r>
        <w:rPr>
          <w:rFonts w:hint="eastAsia" w:eastAsia="仿宋_GB2312"/>
          <w:sz w:val="32"/>
          <w:szCs w:val="32"/>
        </w:rPr>
        <w:t>生态</w:t>
      </w:r>
      <w:r>
        <w:rPr>
          <w:rFonts w:eastAsia="仿宋_GB2312"/>
          <w:sz w:val="32"/>
          <w:szCs w:val="32"/>
        </w:rPr>
        <w:t>环保督察反馈问题</w:t>
      </w:r>
      <w:r>
        <w:rPr>
          <w:rFonts w:eastAsia="仿宋_GB2312"/>
          <w:color w:val="000000"/>
          <w:sz w:val="32"/>
          <w:szCs w:val="32"/>
        </w:rPr>
        <w:t>整改方案，</w:t>
      </w:r>
      <w:r>
        <w:rPr>
          <w:rFonts w:hint="eastAsia" w:eastAsia="仿宋_GB2312"/>
          <w:color w:val="000000"/>
          <w:sz w:val="32"/>
          <w:szCs w:val="32"/>
        </w:rPr>
        <w:t>强化统筹调度，</w:t>
      </w:r>
      <w:r>
        <w:rPr>
          <w:rFonts w:hint="eastAsia" w:eastAsia="仿宋_GB2312"/>
          <w:sz w:val="32"/>
          <w:szCs w:val="32"/>
        </w:rPr>
        <w:t>确保各项整改措施落到实处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 w:cs="仿宋_GB2312"/>
          <w:sz w:val="32"/>
          <w:szCs w:val="32"/>
        </w:rPr>
        <w:t>加强生态环境监测能力建设，提升监督执法检查效能</w:t>
      </w:r>
      <w:r>
        <w:rPr>
          <w:rFonts w:hint="eastAsia" w:eastAsia="仿宋_GB2312"/>
          <w:sz w:val="32"/>
          <w:szCs w:val="32"/>
        </w:rPr>
        <w:t>。</w:t>
      </w:r>
      <w:r>
        <w:rPr>
          <w:rFonts w:hint="eastAsia" w:eastAsia="仿宋_GB2312" w:cs="仿宋_GB2312"/>
          <w:sz w:val="32"/>
          <w:szCs w:val="32"/>
        </w:rPr>
        <w:t>强化科技手段运用，推进综合监管指挥调度平台建设，构建</w:t>
      </w:r>
      <w:r>
        <w:rPr>
          <w:rFonts w:hint="eastAsia" w:eastAsia="仿宋_GB2312"/>
          <w:sz w:val="32"/>
          <w:szCs w:val="32"/>
        </w:rPr>
        <w:t>监管、监测、监察执法“三监联动”机制，实现生态环境问题发现、查处、整治闭环管理时间更短、效果更优。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各街道2024年</w:t>
      </w:r>
      <w:r>
        <w:rPr>
          <w:rFonts w:hint="eastAsia" w:eastAsia="仿宋_GB2312" w:cs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—</w:t>
      </w:r>
      <w:r>
        <w:rPr>
          <w:rFonts w:hint="eastAsia" w:eastAsia="仿宋_GB2312" w:cs="仿宋_GB2312"/>
          <w:sz w:val="32"/>
          <w:szCs w:val="32"/>
        </w:rPr>
        <w:t>6月</w:t>
      </w:r>
      <w:r>
        <w:rPr>
          <w:rFonts w:hint="eastAsia" w:eastAsia="仿宋_GB2312"/>
          <w:sz w:val="32"/>
          <w:szCs w:val="32"/>
        </w:rPr>
        <w:t>PM</w:t>
      </w:r>
      <w:r>
        <w:rPr>
          <w:rFonts w:hint="eastAsia" w:eastAsia="仿宋_GB2312"/>
          <w:sz w:val="32"/>
          <w:szCs w:val="32"/>
          <w:vertAlign w:val="subscript"/>
        </w:rPr>
        <w:t>2.5</w:t>
      </w:r>
      <w:r>
        <w:rPr>
          <w:rFonts w:hint="eastAsia" w:eastAsia="仿宋_GB2312"/>
          <w:sz w:val="32"/>
          <w:szCs w:val="32"/>
        </w:rPr>
        <w:t>累计浓度情况</w:t>
      </w:r>
    </w:p>
    <w:p>
      <w:pPr>
        <w:spacing w:line="560" w:lineRule="exact"/>
        <w:ind w:firstLine="1600" w:firstLineChars="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各街道2024年</w:t>
      </w:r>
      <w:r>
        <w:rPr>
          <w:rFonts w:hint="eastAsia" w:eastAsia="仿宋_GB2312" w:cs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—</w:t>
      </w:r>
      <w:r>
        <w:rPr>
          <w:rFonts w:hint="eastAsia" w:eastAsia="仿宋_GB2312" w:cs="仿宋_GB2312"/>
          <w:sz w:val="32"/>
          <w:szCs w:val="32"/>
        </w:rPr>
        <w:t>6月</w:t>
      </w:r>
      <w:r>
        <w:rPr>
          <w:rFonts w:hint="eastAsia" w:eastAsia="仿宋_GB2312"/>
          <w:sz w:val="32"/>
          <w:szCs w:val="32"/>
        </w:rPr>
        <w:t>TSP累计浓度情况</w:t>
      </w:r>
    </w:p>
    <w:p>
      <w:pPr>
        <w:spacing w:line="560" w:lineRule="exact"/>
        <w:ind w:firstLine="1600" w:firstLineChars="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各街道（地区）2024年</w:t>
      </w:r>
      <w:r>
        <w:rPr>
          <w:rFonts w:hint="eastAsia" w:eastAsia="仿宋_GB2312" w:cs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—</w:t>
      </w:r>
      <w:r>
        <w:rPr>
          <w:rFonts w:hint="eastAsia" w:eastAsia="仿宋_GB2312" w:cs="仿宋_GB2312"/>
          <w:sz w:val="32"/>
          <w:szCs w:val="32"/>
        </w:rPr>
        <w:t>6月</w:t>
      </w:r>
      <w:r>
        <w:rPr>
          <w:rFonts w:hint="eastAsia" w:eastAsia="仿宋_GB2312"/>
          <w:sz w:val="32"/>
          <w:szCs w:val="32"/>
        </w:rPr>
        <w:t>累计降尘量情况</w:t>
      </w:r>
    </w:p>
    <w:p>
      <w:pPr>
        <w:spacing w:line="560" w:lineRule="exact"/>
        <w:ind w:firstLine="1600" w:firstLineChars="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各街道2024年上半年扬尘巡查情况</w:t>
      </w:r>
    </w:p>
    <w:p>
      <w:pPr>
        <w:spacing w:line="560" w:lineRule="exact"/>
        <w:ind w:firstLine="1600" w:firstLineChars="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2024年</w:t>
      </w:r>
      <w:r>
        <w:rPr>
          <w:rFonts w:hint="eastAsia" w:eastAsia="仿宋_GB2312" w:cs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—</w:t>
      </w:r>
      <w:r>
        <w:rPr>
          <w:rFonts w:hint="eastAsia" w:eastAsia="仿宋_GB2312" w:cs="仿宋_GB2312"/>
          <w:sz w:val="32"/>
          <w:szCs w:val="32"/>
        </w:rPr>
        <w:t>6月</w:t>
      </w:r>
      <w:r>
        <w:rPr>
          <w:rFonts w:hint="eastAsia" w:eastAsia="仿宋_GB2312"/>
          <w:sz w:val="32"/>
          <w:szCs w:val="32"/>
        </w:rPr>
        <w:t>地表水断面水质情况</w:t>
      </w:r>
    </w:p>
    <w:p>
      <w:pPr>
        <w:spacing w:line="560" w:lineRule="exact"/>
        <w:ind w:firstLine="1600" w:firstLineChars="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各街道2024年</w:t>
      </w:r>
      <w:r>
        <w:rPr>
          <w:rFonts w:hint="eastAsia" w:eastAsia="仿宋_GB2312" w:cs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—</w:t>
      </w:r>
      <w:r>
        <w:rPr>
          <w:rFonts w:hint="eastAsia" w:eastAsia="仿宋_GB2312" w:cs="仿宋_GB2312"/>
          <w:sz w:val="32"/>
          <w:szCs w:val="32"/>
        </w:rPr>
        <w:t>6月</w:t>
      </w:r>
      <w:r>
        <w:rPr>
          <w:rFonts w:hint="eastAsia" w:eastAsia="仿宋_GB2312"/>
          <w:sz w:val="32"/>
          <w:szCs w:val="32"/>
        </w:rPr>
        <w:t>地表水水质监测情况</w:t>
      </w:r>
    </w:p>
    <w:p>
      <w:pPr>
        <w:spacing w:line="560" w:lineRule="exact"/>
        <w:ind w:firstLine="1600" w:firstLineChars="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东城区2024年二季度污染防治攻坚战重点任务进</w:t>
      </w:r>
    </w:p>
    <w:p>
      <w:pPr>
        <w:spacing w:line="560" w:lineRule="exact"/>
        <w:ind w:firstLine="1929" w:firstLineChars="603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展表</w:t>
      </w:r>
      <w:bookmarkStart w:id="3" w:name="_GoBack"/>
      <w:bookmarkEnd w:id="3"/>
      <w:r>
        <w:rPr>
          <w:rFonts w:ascii="黑体" w:hAnsi="黑体" w:eastAsia="黑体" w:cs="黑体"/>
          <w:kern w:val="0"/>
          <w:sz w:val="32"/>
          <w:szCs w:val="32"/>
        </w:rPr>
        <w:br w:type="page"/>
      </w:r>
    </w:p>
    <w:p>
      <w:pPr>
        <w:widowControl/>
        <w:shd w:val="clear" w:color="040000" w:fill="auto"/>
        <w:spacing w:line="560" w:lineRule="exact"/>
        <w:outlineLvl w:val="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shd w:val="clear" w:color="040000" w:fill="auto"/>
        <w:spacing w:line="560" w:lineRule="exact"/>
        <w:outlineLvl w:val="0"/>
        <w:rPr>
          <w:rFonts w:ascii="方正小标宋简体" w:hAnsi="宋体" w:eastAsia="方正小标宋简体" w:cs="宋体"/>
          <w:kern w:val="0"/>
          <w:sz w:val="32"/>
          <w:szCs w:val="32"/>
        </w:rPr>
      </w:pPr>
    </w:p>
    <w:p>
      <w:pPr>
        <w:widowControl/>
        <w:shd w:val="clear" w:color="040000" w:fill="auto"/>
        <w:spacing w:line="560" w:lineRule="exact"/>
        <w:jc w:val="center"/>
        <w:outlineLvl w:val="0"/>
        <w:rPr>
          <w:rFonts w:ascii="方正小标宋简体" w:hAnsi="宋体" w:eastAsia="方正小标宋简体" w:cs="宋体"/>
          <w:kern w:val="0"/>
          <w:sz w:val="40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4"/>
        </w:rPr>
        <w:t>各街道2024年1—6月PM</w:t>
      </w:r>
      <w:r>
        <w:rPr>
          <w:rFonts w:hint="eastAsia" w:ascii="方正小标宋简体" w:hAnsi="宋体" w:eastAsia="方正小标宋简体" w:cs="宋体"/>
          <w:kern w:val="0"/>
          <w:sz w:val="40"/>
          <w:szCs w:val="44"/>
          <w:vertAlign w:val="subscript"/>
        </w:rPr>
        <w:t>2.5</w:t>
      </w:r>
      <w:r>
        <w:rPr>
          <w:rFonts w:hint="eastAsia" w:ascii="方正小标宋简体" w:hAnsi="宋体" w:eastAsia="方正小标宋简体" w:cs="宋体"/>
          <w:kern w:val="0"/>
          <w:sz w:val="40"/>
          <w:szCs w:val="44"/>
        </w:rPr>
        <w:t>累计浓度情况</w:t>
      </w:r>
    </w:p>
    <w:p>
      <w:pPr>
        <w:shd w:val="clear" w:color="000000" w:fill="auto"/>
        <w:snapToGrid w:val="0"/>
        <w:spacing w:line="520" w:lineRule="exact"/>
        <w:jc w:val="distribute"/>
        <w:rPr>
          <w:rFonts w:ascii="楷体_GB2312" w:hAnsi="仿宋" w:eastAsia="楷体_GB2312" w:cs="宋体"/>
          <w:kern w:val="0"/>
          <w:sz w:val="28"/>
          <w:szCs w:val="32"/>
        </w:rPr>
      </w:pPr>
    </w:p>
    <w:p>
      <w:pPr>
        <w:shd w:val="clear" w:color="000000" w:fill="auto"/>
        <w:snapToGrid w:val="0"/>
        <w:spacing w:line="520" w:lineRule="exact"/>
        <w:jc w:val="distribute"/>
        <w:rPr>
          <w:rFonts w:ascii="楷体_GB2312" w:hAnsi="仿宋" w:eastAsia="楷体_GB2312" w:cs="宋体"/>
          <w:kern w:val="0"/>
          <w:sz w:val="28"/>
          <w:szCs w:val="32"/>
        </w:rPr>
      </w:pPr>
      <w:r>
        <w:rPr>
          <w:rFonts w:hint="eastAsia" w:ascii="楷体_GB2312" w:hAnsi="仿宋" w:eastAsia="楷体_GB2312" w:cs="宋体"/>
          <w:kern w:val="0"/>
          <w:sz w:val="28"/>
          <w:szCs w:val="32"/>
        </w:rPr>
        <w:t>浓度由高到低排序                        单位：微克/立方米</w:t>
      </w:r>
    </w:p>
    <w:tbl>
      <w:tblPr>
        <w:tblStyle w:val="11"/>
        <w:tblW w:w="9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79"/>
        <w:gridCol w:w="2220"/>
        <w:gridCol w:w="1950"/>
        <w:gridCol w:w="159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区倒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排名</w:t>
            </w:r>
          </w:p>
        </w:tc>
        <w:tc>
          <w:tcPr>
            <w:tcW w:w="87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市倒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排名</w:t>
            </w:r>
          </w:p>
        </w:tc>
        <w:tc>
          <w:tcPr>
            <w:tcW w:w="222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街道</w:t>
            </w:r>
          </w:p>
        </w:tc>
        <w:tc>
          <w:tcPr>
            <w:tcW w:w="195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累计浓度</w:t>
            </w:r>
            <w:r>
              <w:rPr>
                <w:rFonts w:hint="eastAsia" w:ascii="黑体" w:hAnsi="黑体" w:eastAsia="黑体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/>
                <w:sz w:val="28"/>
                <w:szCs w:val="28"/>
              </w:rPr>
              <w:t>（一位小数）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累计浓度</w:t>
            </w:r>
            <w:r>
              <w:rPr>
                <w:rFonts w:hint="eastAsia" w:ascii="黑体" w:hAnsi="黑体" w:eastAsia="黑体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/>
                <w:sz w:val="28"/>
                <w:szCs w:val="28"/>
              </w:rPr>
              <w:t>（取整）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同比变化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北新桥街道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39.3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龙潭街道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39.0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-7.1%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东直门街道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38.8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景山街道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38.7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-4.9%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东四街道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38.7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安定门街道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38.7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-9.3%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交道口街道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38.7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-9.3%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和平里街道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38.6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-7.1%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崇文门外街道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38.5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-7.1%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东华门街道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38.4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-9.5%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东花市街道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38.4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-7.3%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体育馆路街道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38.2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-5.0%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建国门街道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38.1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-2.6%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朝阳门街道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38.0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天坛街道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37.6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-5.0%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前门街道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37.6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-9.5%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永定门外街道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37.6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-5.0%</w:t>
            </w:r>
          </w:p>
        </w:tc>
      </w:tr>
    </w:tbl>
    <w:p>
      <w:pPr>
        <w:pStyle w:val="14"/>
        <w:ind w:firstLine="0" w:firstLineChars="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eastAsia="仿宋_GB2312"/>
          <w:sz w:val="28"/>
          <w:szCs w:val="28"/>
        </w:rPr>
        <w:t>数据来源：北京市生态环境局</w:t>
      </w:r>
      <w:r>
        <w:br w:type="page"/>
      </w: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widowControl/>
        <w:shd w:val="clear" w:color="040000" w:fill="auto"/>
        <w:spacing w:line="560" w:lineRule="exact"/>
        <w:outlineLvl w:val="0"/>
        <w:rPr>
          <w:sz w:val="32"/>
          <w:szCs w:val="32"/>
        </w:rPr>
      </w:pPr>
    </w:p>
    <w:p>
      <w:pPr>
        <w:widowControl/>
        <w:shd w:val="clear" w:color="040000" w:fill="auto"/>
        <w:spacing w:line="560" w:lineRule="exact"/>
        <w:jc w:val="center"/>
        <w:outlineLvl w:val="0"/>
        <w:rPr>
          <w:rFonts w:ascii="方正小标宋简体" w:hAnsi="宋体" w:eastAsia="方正小标宋简体" w:cs="宋体"/>
          <w:kern w:val="0"/>
          <w:sz w:val="40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4"/>
        </w:rPr>
        <w:t>各街道2024年1—6月TSP累计浓度情况</w:t>
      </w:r>
    </w:p>
    <w:p>
      <w:pPr>
        <w:shd w:val="clear" w:color="000000" w:fill="auto"/>
        <w:snapToGrid w:val="0"/>
        <w:spacing w:line="520" w:lineRule="exact"/>
        <w:jc w:val="distribute"/>
        <w:rPr>
          <w:rFonts w:ascii="楷体_GB2312" w:hAnsi="仿宋" w:eastAsia="楷体_GB2312" w:cs="宋体"/>
          <w:kern w:val="0"/>
          <w:sz w:val="32"/>
          <w:szCs w:val="32"/>
        </w:rPr>
      </w:pPr>
    </w:p>
    <w:p>
      <w:pPr>
        <w:shd w:val="clear" w:color="000000" w:fill="auto"/>
        <w:snapToGrid w:val="0"/>
        <w:spacing w:line="520" w:lineRule="exact"/>
        <w:jc w:val="distribute"/>
        <w:rPr>
          <w:rFonts w:ascii="楷体_GB2312" w:hAnsi="仿宋" w:eastAsia="楷体_GB2312" w:cs="宋体"/>
          <w:kern w:val="0"/>
          <w:sz w:val="28"/>
          <w:szCs w:val="32"/>
        </w:rPr>
      </w:pPr>
      <w:r>
        <w:rPr>
          <w:rFonts w:hint="eastAsia" w:ascii="楷体_GB2312" w:hAnsi="仿宋" w:eastAsia="楷体_GB2312" w:cs="宋体"/>
          <w:kern w:val="0"/>
          <w:sz w:val="28"/>
          <w:szCs w:val="32"/>
        </w:rPr>
        <w:t>浓度由高到低排序                        单位：微克/立方米</w:t>
      </w:r>
    </w:p>
    <w:tbl>
      <w:tblPr>
        <w:tblStyle w:val="11"/>
        <w:tblW w:w="9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065"/>
        <w:gridCol w:w="2220"/>
        <w:gridCol w:w="1950"/>
        <w:gridCol w:w="159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96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区倒</w:t>
            </w:r>
          </w:p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排名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市倒</w:t>
            </w:r>
          </w:p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排名</w:t>
            </w:r>
          </w:p>
        </w:tc>
        <w:tc>
          <w:tcPr>
            <w:tcW w:w="222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街道</w:t>
            </w:r>
          </w:p>
        </w:tc>
        <w:tc>
          <w:tcPr>
            <w:tcW w:w="195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累计浓度</w:t>
            </w:r>
            <w:r>
              <w:rPr>
                <w:rFonts w:eastAsia="黑体"/>
                <w:sz w:val="28"/>
                <w:szCs w:val="28"/>
              </w:rPr>
              <w:br w:type="textWrapping"/>
            </w:r>
            <w:r>
              <w:rPr>
                <w:rFonts w:eastAsia="黑体"/>
                <w:sz w:val="28"/>
                <w:szCs w:val="28"/>
              </w:rPr>
              <w:t>（一位小数）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累计浓度</w:t>
            </w:r>
            <w:r>
              <w:rPr>
                <w:rFonts w:eastAsia="黑体"/>
                <w:sz w:val="28"/>
                <w:szCs w:val="28"/>
              </w:rPr>
              <w:br w:type="textWrapping"/>
            </w:r>
            <w:r>
              <w:rPr>
                <w:rFonts w:eastAsia="黑体"/>
                <w:sz w:val="28"/>
                <w:szCs w:val="28"/>
              </w:rPr>
              <w:t>（取整）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同比变化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东四街道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107.9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-4.4%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朝阳门街道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106.2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-5.4%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东华门街道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102.9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-6.4%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北新桥街道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102.2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-7.3%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东直门街道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102.2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-7.3%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建国门街道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101.0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-7.3%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永定门外街道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100.8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-3.8%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景山街道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100.2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-11.5%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东花市街道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98.8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-8.3%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交道口街道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98.6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-11.6%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前门街道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98.4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-6.7%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天坛街道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98.0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-6.7%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安定门街道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97.8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-14.0%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崇文门外街道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97.5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-10.1%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和平里街道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97.4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-11.8%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体育馆路街道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97.0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-11.0%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龙潭街道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96.1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-11.9%</w:t>
            </w:r>
          </w:p>
        </w:tc>
      </w:tr>
    </w:tbl>
    <w:p>
      <w:pPr>
        <w:pStyle w:val="14"/>
        <w:ind w:firstLine="0" w:firstLineChars="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数据来源：北京市生态环境局</w:t>
      </w:r>
    </w:p>
    <w:p>
      <w:pPr>
        <w:widowControl/>
        <w:shd w:val="clear" w:color="010000" w:fill="auto"/>
        <w:snapToGrid w:val="0"/>
        <w:spacing w:line="560" w:lineRule="exact"/>
        <w:outlineLvl w:val="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widowControl/>
        <w:shd w:val="clear" w:color="010000" w:fill="auto"/>
        <w:snapToGrid w:val="0"/>
        <w:spacing w:line="560" w:lineRule="exact"/>
        <w:outlineLvl w:val="0"/>
        <w:rPr>
          <w:rFonts w:ascii="黑体" w:hAnsi="黑体" w:eastAsia="黑体" w:cs="黑体"/>
          <w:kern w:val="0"/>
          <w:sz w:val="32"/>
          <w:szCs w:val="32"/>
        </w:rPr>
      </w:pPr>
    </w:p>
    <w:p>
      <w:pPr>
        <w:widowControl/>
        <w:shd w:val="clear" w:color="010000" w:fill="auto"/>
        <w:snapToGrid w:val="0"/>
        <w:spacing w:line="560" w:lineRule="exact"/>
        <w:jc w:val="center"/>
        <w:outlineLvl w:val="0"/>
        <w:rPr>
          <w:rFonts w:ascii="仿宋" w:hAnsi="仿宋" w:eastAsia="仿宋"/>
          <w:sz w:val="24"/>
          <w:szCs w:val="24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各街道（地区）2024年1—6月累计降尘量情况</w:t>
      </w:r>
    </w:p>
    <w:p>
      <w:pPr>
        <w:widowControl/>
        <w:shd w:val="clear" w:color="010000" w:fill="auto"/>
        <w:snapToGrid w:val="0"/>
        <w:spacing w:line="520" w:lineRule="exact"/>
        <w:jc w:val="center"/>
        <w:rPr>
          <w:rFonts w:ascii="楷体_GB2312" w:hAnsi="仿宋" w:eastAsia="楷体_GB2312" w:cs="宋体"/>
          <w:kern w:val="0"/>
          <w:sz w:val="28"/>
          <w:szCs w:val="32"/>
        </w:rPr>
      </w:pPr>
    </w:p>
    <w:p>
      <w:pPr>
        <w:widowControl/>
        <w:shd w:val="clear" w:color="010000" w:fill="auto"/>
        <w:snapToGrid w:val="0"/>
        <w:spacing w:line="520" w:lineRule="exact"/>
        <w:jc w:val="center"/>
        <w:rPr>
          <w:rFonts w:ascii="楷体_GB2312" w:hAnsi="仿宋" w:eastAsia="楷体_GB2312" w:cs="宋体"/>
          <w:kern w:val="0"/>
          <w:sz w:val="28"/>
          <w:szCs w:val="32"/>
        </w:rPr>
      </w:pPr>
      <w:r>
        <w:rPr>
          <w:rFonts w:hint="eastAsia" w:ascii="楷体_GB2312" w:hAnsi="仿宋" w:eastAsia="楷体_GB2312" w:cs="宋体"/>
          <w:kern w:val="0"/>
          <w:sz w:val="28"/>
          <w:szCs w:val="32"/>
        </w:rPr>
        <w:t>降尘量由高到低排序                       单位：吨/平方公里</w:t>
      </w:r>
      <w:r>
        <w:rPr>
          <w:rFonts w:hint="eastAsia" w:ascii="宋体" w:hAnsi="宋体" w:cs="宋体"/>
          <w:kern w:val="0"/>
          <w:sz w:val="28"/>
          <w:szCs w:val="32"/>
        </w:rPr>
        <w:t>•</w:t>
      </w:r>
      <w:r>
        <w:rPr>
          <w:rFonts w:hint="eastAsia" w:ascii="楷体_GB2312" w:hAnsi="仿宋" w:eastAsia="楷体_GB2312" w:cs="宋体"/>
          <w:kern w:val="0"/>
          <w:sz w:val="28"/>
          <w:szCs w:val="32"/>
        </w:rPr>
        <w:t>月</w:t>
      </w:r>
    </w:p>
    <w:tbl>
      <w:tblPr>
        <w:tblStyle w:val="11"/>
        <w:tblW w:w="9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2737"/>
        <w:gridCol w:w="2342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9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区倒排名</w:t>
            </w:r>
          </w:p>
        </w:tc>
        <w:tc>
          <w:tcPr>
            <w:tcW w:w="273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街道（地区）</w:t>
            </w:r>
          </w:p>
        </w:tc>
        <w:tc>
          <w:tcPr>
            <w:tcW w:w="234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累计降尘量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同比变化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37" w:type="dxa"/>
            <w:vAlign w:val="bottom"/>
          </w:tcPr>
          <w:p>
            <w:pPr>
              <w:widowControl/>
              <w:jc w:val="center"/>
              <w:textAlignment w:val="bottom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和平里街道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7.1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65.1%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37" w:type="dxa"/>
            <w:vAlign w:val="bottom"/>
          </w:tcPr>
          <w:p>
            <w:pPr>
              <w:widowControl/>
              <w:jc w:val="center"/>
              <w:textAlignment w:val="bottom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崇外街道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6.5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37" w:type="dxa"/>
            <w:vAlign w:val="bottom"/>
          </w:tcPr>
          <w:p>
            <w:pPr>
              <w:widowControl/>
              <w:jc w:val="center"/>
              <w:textAlignment w:val="bottom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东四街道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6.4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52.4%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37" w:type="dxa"/>
            <w:vAlign w:val="bottom"/>
          </w:tcPr>
          <w:p>
            <w:pPr>
              <w:widowControl/>
              <w:jc w:val="center"/>
              <w:textAlignment w:val="bottom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王府井管委会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6.3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53.7%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37" w:type="dxa"/>
            <w:vAlign w:val="bottom"/>
          </w:tcPr>
          <w:p>
            <w:pPr>
              <w:widowControl/>
              <w:jc w:val="center"/>
              <w:textAlignment w:val="bottom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朝阳门街道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6.2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37" w:type="dxa"/>
            <w:vAlign w:val="bottom"/>
          </w:tcPr>
          <w:p>
            <w:pPr>
              <w:widowControl/>
              <w:jc w:val="center"/>
              <w:textAlignment w:val="bottom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安定门街道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46.3%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37" w:type="dxa"/>
            <w:vAlign w:val="bottom"/>
          </w:tcPr>
          <w:p>
            <w:pPr>
              <w:widowControl/>
              <w:jc w:val="center"/>
              <w:textAlignment w:val="bottom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东直门街道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5.9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28.3%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737" w:type="dxa"/>
            <w:vAlign w:val="bottom"/>
          </w:tcPr>
          <w:p>
            <w:pPr>
              <w:widowControl/>
              <w:jc w:val="center"/>
              <w:textAlignment w:val="bottom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建国门街道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5.8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31.8%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737" w:type="dxa"/>
            <w:vAlign w:val="bottom"/>
          </w:tcPr>
          <w:p>
            <w:pPr>
              <w:widowControl/>
              <w:jc w:val="center"/>
              <w:textAlignment w:val="bottom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前门街道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5.7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737" w:type="dxa"/>
            <w:vAlign w:val="bottom"/>
          </w:tcPr>
          <w:p>
            <w:pPr>
              <w:widowControl/>
              <w:jc w:val="center"/>
              <w:textAlignment w:val="bottom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天坛街道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5.7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23.9%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737" w:type="dxa"/>
            <w:vAlign w:val="bottom"/>
          </w:tcPr>
          <w:p>
            <w:pPr>
              <w:widowControl/>
              <w:jc w:val="center"/>
              <w:textAlignment w:val="bottom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北新桥街道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5.6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737" w:type="dxa"/>
            <w:vAlign w:val="bottom"/>
          </w:tcPr>
          <w:p>
            <w:pPr>
              <w:widowControl/>
              <w:jc w:val="center"/>
              <w:textAlignment w:val="bottom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交道口街道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5.6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737" w:type="dxa"/>
            <w:vAlign w:val="bottom"/>
          </w:tcPr>
          <w:p>
            <w:pPr>
              <w:widowControl/>
              <w:jc w:val="center"/>
              <w:textAlignment w:val="bottom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东华门街道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5.5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737" w:type="dxa"/>
            <w:vAlign w:val="bottom"/>
          </w:tcPr>
          <w:p>
            <w:pPr>
              <w:widowControl/>
              <w:jc w:val="center"/>
              <w:textAlignment w:val="bottom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东花市街道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5.5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27.9%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737" w:type="dxa"/>
            <w:vAlign w:val="bottom"/>
          </w:tcPr>
          <w:p>
            <w:pPr>
              <w:widowControl/>
              <w:jc w:val="center"/>
              <w:textAlignment w:val="bottom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体育馆路街道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5.1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37.8%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737" w:type="dxa"/>
            <w:vAlign w:val="bottom"/>
          </w:tcPr>
          <w:p>
            <w:pPr>
              <w:widowControl/>
              <w:jc w:val="center"/>
              <w:textAlignment w:val="bottom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永外街道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4.8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29.7%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737" w:type="dxa"/>
            <w:vAlign w:val="bottom"/>
          </w:tcPr>
          <w:p>
            <w:pPr>
              <w:widowControl/>
              <w:jc w:val="center"/>
              <w:textAlignment w:val="bottom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景山街道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4.7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-24.2%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737" w:type="dxa"/>
            <w:vAlign w:val="bottom"/>
          </w:tcPr>
          <w:p>
            <w:pPr>
              <w:widowControl/>
              <w:jc w:val="center"/>
              <w:textAlignment w:val="bottom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龙潭街道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4.7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9.3%</w:t>
            </w:r>
          </w:p>
        </w:tc>
      </w:tr>
    </w:tbl>
    <w:p>
      <w:pPr>
        <w:pStyle w:val="14"/>
        <w:ind w:firstLine="0" w:firstLineChars="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数据来源：东城区生态环境局</w:t>
      </w:r>
    </w:p>
    <w:p>
      <w:pPr>
        <w:pStyle w:val="1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pStyle w:val="10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11"/>
        <w:tblpPr w:leftFromText="180" w:rightFromText="180" w:vertAnchor="text" w:horzAnchor="page" w:tblpX="883" w:tblpY="846"/>
        <w:tblOverlap w:val="never"/>
        <w:tblW w:w="106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818"/>
        <w:gridCol w:w="966"/>
        <w:gridCol w:w="1428"/>
        <w:gridCol w:w="755"/>
        <w:gridCol w:w="728"/>
        <w:gridCol w:w="952"/>
        <w:gridCol w:w="966"/>
        <w:gridCol w:w="1288"/>
        <w:gridCol w:w="7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街道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道路遗撒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积尘未清扫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建筑垃圾未妥善处置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路面破损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裸露地面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苫盖不到位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未湿法降尘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现场使用袋装水泥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永定门外街道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1866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前门街道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829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1030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707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体育馆路街道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1494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459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龙潭街道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1694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安定门街道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633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1069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和平里街道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511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754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365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东直门街道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787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348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崇文门外街道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370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956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340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景山街道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969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410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北新桥街道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635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553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441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交道口街道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1302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天坛街道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552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530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368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建国门街道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953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349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朝阳门街道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351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1070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东华门街道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505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532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东花市街道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713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东四街道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926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王府井管委会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10940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12443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2203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1344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734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4978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32683</w:t>
            </w:r>
          </w:p>
        </w:tc>
      </w:tr>
    </w:tbl>
    <w:p>
      <w:pPr>
        <w:pStyle w:val="10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各街道2024年上半年扬尘巡查情况</w:t>
      </w:r>
    </w:p>
    <w:p>
      <w:pPr>
        <w:pStyle w:val="14"/>
        <w:ind w:firstLine="0" w:firstLineChars="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数据来源：东城区生态环境局</w:t>
      </w:r>
    </w:p>
    <w:p>
      <w:pPr>
        <w:pStyle w:val="1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pStyle w:val="10"/>
        <w:jc w:val="both"/>
        <w:rPr>
          <w:rFonts w:ascii="黑体" w:hAnsi="黑体" w:eastAsia="黑体" w:cs="黑体"/>
          <w:sz w:val="32"/>
          <w:szCs w:val="32"/>
        </w:rPr>
      </w:pPr>
    </w:p>
    <w:p>
      <w:pPr>
        <w:pStyle w:val="10"/>
        <w:spacing w:after="315" w:afterLines="100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2024年1—6月地表水断面水质情况</w:t>
      </w:r>
    </w:p>
    <w:tbl>
      <w:tblPr>
        <w:tblStyle w:val="11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37"/>
        <w:gridCol w:w="1478"/>
        <w:gridCol w:w="1433"/>
        <w:gridCol w:w="1395"/>
        <w:gridCol w:w="157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atLeast"/>
          <w:tblHeader/>
          <w:jc w:val="center"/>
        </w:trPr>
        <w:tc>
          <w:tcPr>
            <w:tcW w:w="123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街道</w:t>
            </w:r>
          </w:p>
        </w:tc>
        <w:tc>
          <w:tcPr>
            <w:tcW w:w="147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所在水体</w:t>
            </w:r>
          </w:p>
        </w:tc>
        <w:tc>
          <w:tcPr>
            <w:tcW w:w="143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断面名称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水质目标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1—6月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水质类别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龙潭</w:t>
            </w:r>
          </w:p>
        </w:tc>
        <w:tc>
          <w:tcPr>
            <w:tcW w:w="147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南护城河</w:t>
            </w:r>
          </w:p>
        </w:tc>
        <w:tc>
          <w:tcPr>
            <w:tcW w:w="143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东便门</w:t>
            </w:r>
          </w:p>
        </w:tc>
        <w:tc>
          <w:tcPr>
            <w:tcW w:w="139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Ⅲ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类</w:t>
            </w:r>
          </w:p>
        </w:tc>
        <w:tc>
          <w:tcPr>
            <w:tcW w:w="157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Ⅲ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类</w:t>
            </w:r>
          </w:p>
        </w:tc>
        <w:tc>
          <w:tcPr>
            <w:tcW w:w="14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市级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考核断面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东华门</w:t>
            </w:r>
          </w:p>
        </w:tc>
        <w:tc>
          <w:tcPr>
            <w:tcW w:w="147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筒子河</w:t>
            </w:r>
          </w:p>
        </w:tc>
        <w:tc>
          <w:tcPr>
            <w:tcW w:w="143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文化宫</w:t>
            </w:r>
          </w:p>
        </w:tc>
        <w:tc>
          <w:tcPr>
            <w:tcW w:w="139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Ⅲ类</w:t>
            </w:r>
          </w:p>
        </w:tc>
        <w:tc>
          <w:tcPr>
            <w:tcW w:w="157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Ⅱ类</w:t>
            </w:r>
          </w:p>
        </w:tc>
        <w:tc>
          <w:tcPr>
            <w:tcW w:w="14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市级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考核断面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龙潭</w:t>
            </w:r>
          </w:p>
        </w:tc>
        <w:tc>
          <w:tcPr>
            <w:tcW w:w="147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龙潭湖</w:t>
            </w:r>
          </w:p>
        </w:tc>
        <w:tc>
          <w:tcPr>
            <w:tcW w:w="143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龙潭东湖</w:t>
            </w:r>
          </w:p>
        </w:tc>
        <w:tc>
          <w:tcPr>
            <w:tcW w:w="139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Ⅳ类</w:t>
            </w:r>
          </w:p>
        </w:tc>
        <w:tc>
          <w:tcPr>
            <w:tcW w:w="157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Ⅳ类</w:t>
            </w:r>
          </w:p>
        </w:tc>
        <w:tc>
          <w:tcPr>
            <w:tcW w:w="14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市级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考核断面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和平里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北新桥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东直门</w:t>
            </w:r>
          </w:p>
        </w:tc>
        <w:tc>
          <w:tcPr>
            <w:tcW w:w="147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北护城河</w:t>
            </w:r>
          </w:p>
        </w:tc>
        <w:tc>
          <w:tcPr>
            <w:tcW w:w="143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东直门桥</w:t>
            </w:r>
          </w:p>
        </w:tc>
        <w:tc>
          <w:tcPr>
            <w:tcW w:w="139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Ⅲ类</w:t>
            </w:r>
          </w:p>
        </w:tc>
        <w:tc>
          <w:tcPr>
            <w:tcW w:w="157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Ⅱ类</w:t>
            </w:r>
          </w:p>
        </w:tc>
        <w:tc>
          <w:tcPr>
            <w:tcW w:w="14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市级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考核断面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交道口</w:t>
            </w:r>
          </w:p>
        </w:tc>
        <w:tc>
          <w:tcPr>
            <w:tcW w:w="147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玉河</w:t>
            </w:r>
          </w:p>
        </w:tc>
        <w:tc>
          <w:tcPr>
            <w:tcW w:w="143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玉河</w:t>
            </w:r>
          </w:p>
        </w:tc>
        <w:tc>
          <w:tcPr>
            <w:tcW w:w="139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Ⅲ类</w:t>
            </w:r>
          </w:p>
        </w:tc>
        <w:tc>
          <w:tcPr>
            <w:tcW w:w="157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Ⅱ类</w:t>
            </w:r>
          </w:p>
        </w:tc>
        <w:tc>
          <w:tcPr>
            <w:tcW w:w="14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东花市</w:t>
            </w:r>
          </w:p>
        </w:tc>
        <w:tc>
          <w:tcPr>
            <w:tcW w:w="147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通惠河上段</w:t>
            </w:r>
          </w:p>
        </w:tc>
        <w:tc>
          <w:tcPr>
            <w:tcW w:w="143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广渠门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北铁路桥</w:t>
            </w:r>
          </w:p>
        </w:tc>
        <w:tc>
          <w:tcPr>
            <w:tcW w:w="139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Ⅲ类</w:t>
            </w:r>
          </w:p>
        </w:tc>
        <w:tc>
          <w:tcPr>
            <w:tcW w:w="157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Ⅳ类</w:t>
            </w:r>
          </w:p>
        </w:tc>
        <w:tc>
          <w:tcPr>
            <w:tcW w:w="14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东直门</w:t>
            </w:r>
          </w:p>
        </w:tc>
        <w:tc>
          <w:tcPr>
            <w:tcW w:w="147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亮马河</w:t>
            </w:r>
          </w:p>
        </w:tc>
        <w:tc>
          <w:tcPr>
            <w:tcW w:w="143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东外斜街</w:t>
            </w:r>
          </w:p>
        </w:tc>
        <w:tc>
          <w:tcPr>
            <w:tcW w:w="139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Ⅳ类</w:t>
            </w:r>
          </w:p>
        </w:tc>
        <w:tc>
          <w:tcPr>
            <w:tcW w:w="157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Ⅱ类</w:t>
            </w:r>
          </w:p>
        </w:tc>
        <w:tc>
          <w:tcPr>
            <w:tcW w:w="14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和平里</w:t>
            </w:r>
          </w:p>
        </w:tc>
        <w:tc>
          <w:tcPr>
            <w:tcW w:w="147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柳荫公园湖</w:t>
            </w:r>
          </w:p>
        </w:tc>
        <w:tc>
          <w:tcPr>
            <w:tcW w:w="143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南湖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东北角</w:t>
            </w:r>
          </w:p>
        </w:tc>
        <w:tc>
          <w:tcPr>
            <w:tcW w:w="139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Ⅳ类</w:t>
            </w:r>
          </w:p>
        </w:tc>
        <w:tc>
          <w:tcPr>
            <w:tcW w:w="157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Ⅳ类</w:t>
            </w:r>
          </w:p>
        </w:tc>
        <w:tc>
          <w:tcPr>
            <w:tcW w:w="14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和平里</w:t>
            </w:r>
          </w:p>
        </w:tc>
        <w:tc>
          <w:tcPr>
            <w:tcW w:w="147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青年湖</w:t>
            </w:r>
          </w:p>
        </w:tc>
        <w:tc>
          <w:tcPr>
            <w:tcW w:w="143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青年湖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北岸</w:t>
            </w:r>
          </w:p>
        </w:tc>
        <w:tc>
          <w:tcPr>
            <w:tcW w:w="139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Ⅳ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类</w:t>
            </w:r>
          </w:p>
        </w:tc>
        <w:tc>
          <w:tcPr>
            <w:tcW w:w="157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Ⅳ类</w:t>
            </w:r>
          </w:p>
        </w:tc>
        <w:tc>
          <w:tcPr>
            <w:tcW w:w="14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>
      <w:pPr>
        <w:pStyle w:val="14"/>
        <w:ind w:firstLine="140" w:firstLineChars="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数据来源：北京市生态环境局</w:t>
      </w:r>
    </w:p>
    <w:p>
      <w:pPr>
        <w:pStyle w:val="1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  <w:bookmarkStart w:id="2" w:name="_Hlk173187012"/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pStyle w:val="10"/>
        <w:spacing w:line="560" w:lineRule="exact"/>
        <w:rPr>
          <w:rFonts w:eastAsia="仿宋_GB2312"/>
          <w:sz w:val="32"/>
          <w:szCs w:val="32"/>
        </w:rPr>
      </w:pPr>
    </w:p>
    <w:p>
      <w:pPr>
        <w:pStyle w:val="10"/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各街道2024年1—6月地表水水质监测情况</w:t>
      </w:r>
      <w:bookmarkEnd w:id="2"/>
    </w:p>
    <w:p>
      <w:pPr>
        <w:pStyle w:val="1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8"/>
        </w:rPr>
      </w:pPr>
    </w:p>
    <w:tbl>
      <w:tblPr>
        <w:tblStyle w:val="11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529"/>
        <w:gridCol w:w="1397"/>
        <w:gridCol w:w="2126"/>
        <w:gridCol w:w="850"/>
        <w:gridCol w:w="1276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5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52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街道</w:t>
            </w:r>
          </w:p>
        </w:tc>
        <w:tc>
          <w:tcPr>
            <w:tcW w:w="139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社区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监测点位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水质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目标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6</w:t>
            </w:r>
            <w:r>
              <w:rPr>
                <w:rFonts w:ascii="黑体" w:hAnsi="黑体" w:eastAsia="黑体"/>
                <w:sz w:val="28"/>
                <w:szCs w:val="28"/>
              </w:rPr>
              <w:t>月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水质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平均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水质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和平里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安定门</w:t>
            </w:r>
          </w:p>
        </w:tc>
        <w:tc>
          <w:tcPr>
            <w:tcW w:w="139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西河沿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安德里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国旺</w:t>
            </w:r>
          </w:p>
        </w:tc>
        <w:tc>
          <w:tcPr>
            <w:tcW w:w="212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北护城河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（鼓楼外大街）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Ⅲ类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Ⅱ类</w:t>
            </w:r>
          </w:p>
        </w:tc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和平里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北新桥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东直门</w:t>
            </w:r>
          </w:p>
        </w:tc>
        <w:tc>
          <w:tcPr>
            <w:tcW w:w="139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民旺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北官厅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香河园北</w:t>
            </w:r>
          </w:p>
        </w:tc>
        <w:tc>
          <w:tcPr>
            <w:tcW w:w="212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北护城河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（东直门北桥）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Ⅲ类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Ⅲ类</w:t>
            </w:r>
          </w:p>
        </w:tc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天坛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永定门外</w:t>
            </w:r>
          </w:p>
        </w:tc>
        <w:tc>
          <w:tcPr>
            <w:tcW w:w="139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南门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桃园</w:t>
            </w:r>
          </w:p>
        </w:tc>
        <w:tc>
          <w:tcPr>
            <w:tcW w:w="212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南护城河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（永定门）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Ⅲ类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Ⅳ类</w:t>
            </w:r>
          </w:p>
        </w:tc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天坛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永定门外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体育馆路</w:t>
            </w:r>
          </w:p>
        </w:tc>
        <w:tc>
          <w:tcPr>
            <w:tcW w:w="139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桃园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南门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长青园</w:t>
            </w:r>
          </w:p>
        </w:tc>
        <w:tc>
          <w:tcPr>
            <w:tcW w:w="212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南护城河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（玉蜓公园北）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Ⅲ类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Ⅳ类</w:t>
            </w:r>
          </w:p>
        </w:tc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龙潭</w:t>
            </w:r>
          </w:p>
        </w:tc>
        <w:tc>
          <w:tcPr>
            <w:tcW w:w="139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左安浦园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左安漪园</w:t>
            </w:r>
          </w:p>
        </w:tc>
        <w:tc>
          <w:tcPr>
            <w:tcW w:w="212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南护城河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（左安门桥北）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Ⅲ类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Ⅳ类</w:t>
            </w:r>
          </w:p>
        </w:tc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东花市</w:t>
            </w:r>
          </w:p>
        </w:tc>
        <w:tc>
          <w:tcPr>
            <w:tcW w:w="139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忠实里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广渠门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北里</w:t>
            </w:r>
          </w:p>
        </w:tc>
        <w:tc>
          <w:tcPr>
            <w:tcW w:w="212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南护城河（广渠门北铁路桥）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Ⅲ类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Ⅳ类</w:t>
            </w:r>
          </w:p>
        </w:tc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龙潭</w:t>
            </w:r>
          </w:p>
        </w:tc>
        <w:tc>
          <w:tcPr>
            <w:tcW w:w="139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华城</w:t>
            </w:r>
          </w:p>
        </w:tc>
        <w:tc>
          <w:tcPr>
            <w:tcW w:w="212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南护城河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（东便门）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Ⅲ类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Ⅳ类</w:t>
            </w:r>
          </w:p>
        </w:tc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东直门</w:t>
            </w:r>
          </w:p>
        </w:tc>
        <w:tc>
          <w:tcPr>
            <w:tcW w:w="139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东外北</w:t>
            </w:r>
          </w:p>
        </w:tc>
        <w:tc>
          <w:tcPr>
            <w:tcW w:w="212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亮马河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Ⅳ类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Ⅳ类</w:t>
            </w:r>
          </w:p>
        </w:tc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交道口</w:t>
            </w:r>
          </w:p>
        </w:tc>
        <w:tc>
          <w:tcPr>
            <w:tcW w:w="139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福祥</w:t>
            </w:r>
          </w:p>
        </w:tc>
        <w:tc>
          <w:tcPr>
            <w:tcW w:w="212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玉河北段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Ⅲ类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Ⅲ类</w:t>
            </w:r>
          </w:p>
        </w:tc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景山</w:t>
            </w:r>
          </w:p>
        </w:tc>
        <w:tc>
          <w:tcPr>
            <w:tcW w:w="139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吉祥</w:t>
            </w:r>
          </w:p>
        </w:tc>
        <w:tc>
          <w:tcPr>
            <w:tcW w:w="212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玉河南段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Ⅲ类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Ⅲ类</w:t>
            </w:r>
          </w:p>
        </w:tc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前门</w:t>
            </w:r>
          </w:p>
        </w:tc>
        <w:tc>
          <w:tcPr>
            <w:tcW w:w="139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大江</w:t>
            </w:r>
          </w:p>
        </w:tc>
        <w:tc>
          <w:tcPr>
            <w:tcW w:w="212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古三里河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Ⅳ类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Ⅳ类</w:t>
            </w:r>
          </w:p>
        </w:tc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东华门</w:t>
            </w:r>
          </w:p>
        </w:tc>
        <w:tc>
          <w:tcPr>
            <w:tcW w:w="139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南池子</w:t>
            </w:r>
          </w:p>
        </w:tc>
        <w:tc>
          <w:tcPr>
            <w:tcW w:w="212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菖蒲河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Ⅳ类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Ⅲ类</w:t>
            </w:r>
          </w:p>
        </w:tc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东华门</w:t>
            </w:r>
          </w:p>
        </w:tc>
        <w:tc>
          <w:tcPr>
            <w:tcW w:w="139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南池子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文化宫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Ⅲ类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Ⅱ类</w:t>
            </w:r>
          </w:p>
        </w:tc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和平里</w:t>
            </w:r>
          </w:p>
        </w:tc>
        <w:tc>
          <w:tcPr>
            <w:tcW w:w="139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新建路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柳荫湖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Ⅳ类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Ⅴ类</w:t>
            </w:r>
          </w:p>
        </w:tc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Ⅴ类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和平里</w:t>
            </w:r>
          </w:p>
        </w:tc>
        <w:tc>
          <w:tcPr>
            <w:tcW w:w="139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青年湖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青年湖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Ⅳ类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Ⅳ类</w:t>
            </w:r>
          </w:p>
        </w:tc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Ⅳ类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龙潭</w:t>
            </w:r>
          </w:p>
        </w:tc>
        <w:tc>
          <w:tcPr>
            <w:tcW w:w="139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左安漪园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龙潭东湖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Ⅳ类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劣Ⅴ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subscript"/>
              </w:rPr>
              <w:t>1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类</w:t>
            </w:r>
          </w:p>
        </w:tc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Ⅴ类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龙潭</w:t>
            </w:r>
          </w:p>
        </w:tc>
        <w:tc>
          <w:tcPr>
            <w:tcW w:w="139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左安浦园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龙潭中湖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Ⅳ类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Ⅴ类</w:t>
            </w:r>
          </w:p>
        </w:tc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Ⅴ类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</w:t>
            </w: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体育馆路</w:t>
            </w:r>
          </w:p>
        </w:tc>
        <w:tc>
          <w:tcPr>
            <w:tcW w:w="139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长青园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龙潭西湖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Ⅳ类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劣Ⅴ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subscript"/>
              </w:rPr>
              <w:t>1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类</w:t>
            </w:r>
          </w:p>
        </w:tc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Ⅴ类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</w:t>
            </w: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北新桥</w:t>
            </w:r>
          </w:p>
        </w:tc>
        <w:tc>
          <w:tcPr>
            <w:tcW w:w="139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民安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南馆湖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Ⅳ类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无水</w:t>
            </w:r>
          </w:p>
        </w:tc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无水</w:t>
            </w:r>
          </w:p>
        </w:tc>
      </w:tr>
    </w:tbl>
    <w:p>
      <w:pPr>
        <w:pStyle w:val="14"/>
        <w:ind w:firstLine="0" w:firstLineChars="0"/>
      </w:pPr>
      <w:r>
        <w:rPr>
          <w:rFonts w:eastAsia="仿宋_GB2312"/>
          <w:sz w:val="28"/>
          <w:szCs w:val="28"/>
        </w:rPr>
        <w:t>数据来源：东城区生态环境局</w:t>
      </w:r>
    </w:p>
    <w:p>
      <w:pPr>
        <w:widowControl/>
        <w:jc w:val="left"/>
        <w:rPr>
          <w:rFonts w:eastAsia="仿宋_GB2312"/>
          <w:sz w:val="32"/>
          <w:szCs w:val="32"/>
        </w:rPr>
        <w:sectPr>
          <w:footerReference r:id="rId3" w:type="default"/>
          <w:type w:val="continuous"/>
          <w:pgSz w:w="11906" w:h="16838"/>
          <w:pgMar w:top="2098" w:right="1474" w:bottom="1985" w:left="1588" w:header="851" w:footer="992" w:gutter="0"/>
          <w:cols w:space="720" w:num="1"/>
          <w:docGrid w:type="lines" w:linePitch="315" w:charSpace="0"/>
        </w:sectPr>
      </w:pPr>
    </w:p>
    <w:p>
      <w:pPr>
        <w:snapToGrid w:val="0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p>
      <w:pPr>
        <w:spacing w:before="315" w:beforeLines="100" w:after="315" w:afterLines="100" w:line="44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东城区2024年二季度污染防治攻坚战重点任务进展表</w:t>
      </w:r>
    </w:p>
    <w:tbl>
      <w:tblPr>
        <w:tblStyle w:val="11"/>
        <w:tblW w:w="14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759"/>
        <w:gridCol w:w="1968"/>
        <w:gridCol w:w="6765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tblHeader/>
          <w:jc w:val="center"/>
        </w:trPr>
        <w:tc>
          <w:tcPr>
            <w:tcW w:w="79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重点任务内容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责任部门</w:t>
            </w:r>
          </w:p>
        </w:tc>
        <w:tc>
          <w:tcPr>
            <w:tcW w:w="67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二季度进展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是否符合预期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739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一、蓝天保卫战重点任务进展情况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exact"/>
          <w:jc w:val="center"/>
        </w:trPr>
        <w:tc>
          <w:tcPr>
            <w:tcW w:w="79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加强对大气污染防治工作的统筹调度，做好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4、5、6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区委月度工作点评会相关工作，推动“含绿量”提升，加强帮扶指导，压紧压实街道大气污染防治责任。相关街道针对点评指出的问题，组织认真分析原因，积极整改并举一反三，切实提高精细化、常态化管理水平。</w:t>
            </w:r>
          </w:p>
        </w:tc>
        <w:tc>
          <w:tcPr>
            <w:tcW w:w="196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区生态环境局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相关行业部门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各街道（地区）</w:t>
            </w:r>
          </w:p>
        </w:tc>
        <w:tc>
          <w:tcPr>
            <w:tcW w:w="6765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区委已开展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轮次点评，每周期后排街道按要求报送整改情况。区生态环境局加大帮扶指导力度，每月前往后排街道召开督导帮扶工作会，编写街道空气质量分析报告，分析近期空气质量高值原因并提供治理管控建议。相关行业部门紧盯点评指标，推动“绿牌工地”比率、“绿色企业”比率等指标提升。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exact"/>
          <w:jc w:val="center"/>
        </w:trPr>
        <w:tc>
          <w:tcPr>
            <w:tcW w:w="7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2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开展扬尘百日攻坚，实施“四尘”（施工扬尘、道路扬尘、裸地扬尘、外来沙尘）共治专项行动，加大执法检查力度，对扬尘违法行为形成震慑。实施创绿创优专项行动，大力推广基坑气膜等全密闭施工方式；加大道路清扫保洁力度。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3—5月，降尘量控制指标为4.9吨/平方公里·月，道路尘负荷控制指标为0.44克/平方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米。</w:t>
            </w:r>
          </w:p>
        </w:tc>
        <w:tc>
          <w:tcPr>
            <w:tcW w:w="196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区生态环境局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区住房城市建设委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区园林绿化局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区城市管理委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区城管执法局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区环卫中心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各街道（地区）</w:t>
            </w:r>
          </w:p>
        </w:tc>
        <w:tc>
          <w:tcPr>
            <w:tcW w:w="6765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持续开展扬尘百日攻坚行动，制定印发《东城区扬尘治理百日攻坚行动方案》，强调“四尘”共治要求，坚决遏制扬尘反弹趋势。强化部门联动、合力攻坚，对施工工地、渣土车等开展联合执法检查。提升道路清扫标准，在日常一扫两保作业的基础上，开展洗地、冲刷及便道冲刷带水作业。积极推广基坑气膜、“绿牌工地”，全区绿牌工地比率达到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89.2%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，全市最优。东城区</w:t>
            </w: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—</w:t>
            </w:r>
            <w:r>
              <w:rPr>
                <w:rFonts w:eastAsia="仿宋_GB2312"/>
                <w:color w:val="000000"/>
                <w:kern w:val="0"/>
                <w:szCs w:val="21"/>
              </w:rPr>
              <w:t>5月降尘量3.5吨/平方公里·月，3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—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点评周期道路尘负荷均值</w:t>
            </w:r>
            <w:r>
              <w:rPr>
                <w:rFonts w:eastAsia="仿宋_GB2312"/>
                <w:color w:val="000000"/>
                <w:szCs w:val="21"/>
              </w:rPr>
              <w:t>0.39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克/平方米，完成扬尘百日攻坚目标。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exact"/>
          <w:jc w:val="center"/>
        </w:trPr>
        <w:tc>
          <w:tcPr>
            <w:tcW w:w="7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3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组织各区开展夏季</w:t>
            </w:r>
            <w:r>
              <w:rPr>
                <w:rFonts w:eastAsia="仿宋_GB2312"/>
                <w:color w:val="000000"/>
                <w:szCs w:val="21"/>
              </w:rPr>
              <w:t>VOCs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专项行动，聚焦汽修、印刷等重点行业，开展重点环节问题排查整治。加强突出问题溯源排查，及时消除</w:t>
            </w:r>
            <w:r>
              <w:rPr>
                <w:rFonts w:hint="eastAsia" w:eastAsia="仿宋_GB2312"/>
                <w:color w:val="000000"/>
                <w:szCs w:val="21"/>
              </w:rPr>
              <w:t>VOCs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浓度高值区。</w:t>
            </w:r>
          </w:p>
        </w:tc>
        <w:tc>
          <w:tcPr>
            <w:tcW w:w="196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区生态环境局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东城运管分局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区</w:t>
            </w:r>
          </w:p>
        </w:tc>
        <w:tc>
          <w:tcPr>
            <w:tcW w:w="676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落实</w:t>
            </w:r>
            <w:r>
              <w:rPr>
                <w:rFonts w:hint="eastAsia" w:eastAsia="仿宋_GB2312"/>
                <w:color w:val="000000"/>
                <w:szCs w:val="21"/>
              </w:rPr>
              <w:t>《北京市2024年夏季挥发性有机物治理攻坚行动工作方案》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，开展汽修行业整治，推动绿色升级。梳理汽修企业台账，组织有喷漆工序的汽修企业建立含</w:t>
            </w:r>
            <w:r>
              <w:rPr>
                <w:rFonts w:hint="eastAsia" w:eastAsia="仿宋_GB2312"/>
                <w:color w:val="000000"/>
                <w:szCs w:val="21"/>
              </w:rPr>
              <w:t>VOCs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产品使用台账，督促企业使用合规产品。加大挥发性有机物（</w:t>
            </w:r>
            <w:r>
              <w:rPr>
                <w:rFonts w:hint="eastAsia" w:eastAsia="仿宋_GB2312"/>
                <w:color w:val="000000"/>
                <w:szCs w:val="21"/>
              </w:rPr>
              <w:t>VOCs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）治理力度，组织区内</w:t>
            </w:r>
            <w:r>
              <w:rPr>
                <w:rFonts w:hint="eastAsia" w:eastAsia="仿宋_GB2312"/>
                <w:color w:val="00000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家企业自主开展“一厂一策”深度治理工作，发挥行业主管部门作用，加快企业绿色创建速度，引导行业绿色化进程，东城区</w:t>
            </w:r>
            <w:r>
              <w:rPr>
                <w:rFonts w:hint="eastAsia" w:eastAsia="仿宋_GB2312"/>
                <w:color w:val="000000"/>
                <w:szCs w:val="21"/>
              </w:rPr>
              <w:t>VOCs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“绿色”企业比率</w:t>
            </w:r>
            <w:r>
              <w:rPr>
                <w:rFonts w:hint="eastAsia" w:eastAsia="仿宋_GB2312"/>
                <w:color w:val="000000"/>
                <w:szCs w:val="21"/>
              </w:rPr>
              <w:t>83.3%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,全市最优。</w:t>
            </w:r>
          </w:p>
        </w:tc>
        <w:tc>
          <w:tcPr>
            <w:tcW w:w="1457" w:type="dxa"/>
            <w:vAlign w:val="center"/>
          </w:tcPr>
          <w:p>
            <w:pPr>
              <w:ind w:firstLine="62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exact"/>
          <w:jc w:val="center"/>
        </w:trPr>
        <w:tc>
          <w:tcPr>
            <w:tcW w:w="79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4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开展餐饮油烟集中整治，加强治理提升、执法帮扶。试点开展餐饮选址引导等，将餐饮油烟排放密集街区作为主攻方向，纵深探索。</w:t>
            </w:r>
          </w:p>
        </w:tc>
        <w:tc>
          <w:tcPr>
            <w:tcW w:w="196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区生态环境局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区市场监管局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天坛街道</w:t>
            </w:r>
          </w:p>
          <w:p>
            <w:pPr>
              <w:snapToGrid w:val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北新桥街道</w:t>
            </w:r>
          </w:p>
        </w:tc>
        <w:tc>
          <w:tcPr>
            <w:tcW w:w="6765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试点开展餐饮业选址引导指南编制工作，完成《餐饮源精细化排放清单》编制，推动油烟深度治理。高水平推进“每月一题”餐饮油烟治理工作，完成治理提升</w:t>
            </w:r>
            <w:r>
              <w:rPr>
                <w:rFonts w:hint="eastAsia" w:eastAsia="仿宋_GB2312"/>
                <w:color w:val="000000"/>
                <w:szCs w:val="21"/>
              </w:rPr>
              <w:t>75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家餐饮单位，宣传培训餐饮企业</w:t>
            </w:r>
            <w:r>
              <w:rPr>
                <w:rFonts w:hint="eastAsia" w:eastAsia="仿宋_GB2312"/>
                <w:color w:val="000000"/>
                <w:szCs w:val="21"/>
              </w:rPr>
              <w:t>2500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余家次，切实解决一批油烟扰民问题。实施簋街餐饮油烟整治提升试点项目，探索形成“行业—属地—商户”协同精细化管理模式。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79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5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月底前，</w:t>
            </w:r>
            <w:r>
              <w:rPr>
                <w:rFonts w:hint="eastAsia" w:eastAsia="仿宋_GB2312"/>
                <w:color w:val="000000"/>
                <w:szCs w:val="21"/>
              </w:rPr>
              <w:t>2023年度PM</w:t>
            </w:r>
            <w:r>
              <w:rPr>
                <w:rFonts w:hint="eastAsia" w:eastAsia="仿宋_GB2312"/>
                <w:color w:val="000000"/>
                <w:szCs w:val="21"/>
                <w:vertAlign w:val="subscript"/>
              </w:rPr>
              <w:t>2.5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浓度未达标的区，编制实施大气污染防治强化措施计划。</w:t>
            </w:r>
          </w:p>
        </w:tc>
        <w:tc>
          <w:tcPr>
            <w:tcW w:w="196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东城区生态环境局</w:t>
            </w:r>
          </w:p>
        </w:tc>
        <w:tc>
          <w:tcPr>
            <w:tcW w:w="6765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编制印发《东城区大气污染防治强化措施计划》，根据辖区污染特征，提出针对性攻坚举措，以最大力度确保完成今年空气质量目标。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exact"/>
          <w:jc w:val="center"/>
        </w:trPr>
        <w:tc>
          <w:tcPr>
            <w:tcW w:w="79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6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推动落实《北京市加快新能源汽车推广应用</w:t>
            </w:r>
            <w:r>
              <w:rPr>
                <w:rFonts w:hint="eastAsia" w:eastAsia="仿宋_GB2312"/>
                <w:color w:val="000000"/>
                <w:szCs w:val="21"/>
              </w:rPr>
              <w:t>2024年工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作任务清单》中措施任务。</w:t>
            </w:r>
          </w:p>
        </w:tc>
        <w:tc>
          <w:tcPr>
            <w:tcW w:w="196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区发展改革委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区经济和信息化局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相关行业部门</w:t>
            </w:r>
          </w:p>
        </w:tc>
        <w:tc>
          <w:tcPr>
            <w:tcW w:w="6765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积极推动车辆电动化，坚持“公务车带头、行业车优先”，印发《东城区公务用车新能源化工作方案》，推进全区公务车新能源化；突出重点行业车辆管控，环卫车电动化比例达到</w:t>
            </w:r>
            <w:r>
              <w:rPr>
                <w:rFonts w:hint="eastAsia" w:eastAsia="仿宋_GB2312"/>
                <w:color w:val="000000"/>
                <w:szCs w:val="21"/>
              </w:rPr>
              <w:t>60.4%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、出租车电动化比例达到</w:t>
            </w:r>
            <w:r>
              <w:rPr>
                <w:rFonts w:hint="eastAsia" w:eastAsia="仿宋_GB2312"/>
                <w:color w:val="000000"/>
                <w:szCs w:val="21"/>
              </w:rPr>
              <w:t>94.4%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，提前完成市级要求。建设完善充电基础设施网络体系，公共充电设施平均服务半径达到</w:t>
            </w:r>
            <w:r>
              <w:rPr>
                <w:rFonts w:hint="eastAsia" w:eastAsia="仿宋_GB2312"/>
                <w:color w:val="000000"/>
                <w:szCs w:val="21"/>
              </w:rPr>
              <w:t>0.9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公里，“公共+单位内部”充电设施平均服务半径达到</w:t>
            </w:r>
            <w:r>
              <w:rPr>
                <w:rFonts w:hint="eastAsia" w:eastAsia="仿宋_GB2312"/>
                <w:color w:val="000000"/>
                <w:szCs w:val="21"/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公里。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建议加强统筹，积极推动行业车辆电动化。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  <w:jc w:val="center"/>
        </w:trPr>
        <w:tc>
          <w:tcPr>
            <w:tcW w:w="79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7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加快推进3吨及以下的叉车基本为纯电动或氢燃料电池叉车，全年完成10辆叉车电动化任务。</w:t>
            </w:r>
          </w:p>
        </w:tc>
        <w:tc>
          <w:tcPr>
            <w:tcW w:w="196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区生态环境局</w:t>
            </w:r>
          </w:p>
        </w:tc>
        <w:tc>
          <w:tcPr>
            <w:tcW w:w="6765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截至目前，已完成叉车电动化任务。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79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8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更新应急减排清单。</w:t>
            </w:r>
          </w:p>
        </w:tc>
        <w:tc>
          <w:tcPr>
            <w:tcW w:w="196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区生态环境局</w:t>
            </w:r>
          </w:p>
        </w:tc>
        <w:tc>
          <w:tcPr>
            <w:tcW w:w="6765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按市级部门要求更新施工扬尘、企业应急减排清单。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14739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二、碧水保卫战重点任务进展情况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9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汛前持续开展“清管行动”。提前对雨水管涵、雨污合流管涵、雨水口（雨箅子）等进行全面清掏并加大巡查、清理力度。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区城市管理委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区住房城市建设委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清理专业雨水管线</w:t>
            </w:r>
            <w:r>
              <w:rPr>
                <w:rFonts w:eastAsia="仿宋_GB2312"/>
                <w:color w:val="000000"/>
                <w:szCs w:val="21"/>
              </w:rPr>
              <w:t>103公里、清理专用雨水箅子8328个，清掏率达100%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。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10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健全入河排口长效监督管理，建立完善入河排口动态管理台账，每季度按照北京市要求上报入河排污口监督管理工作平台。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区生态环境局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完成二季度填报。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11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月启动对南护城河(左安门桥至广渠门桥段）开展潜在排口排查、水质网格化检测和排口溯源工作。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区生态环境局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完成汛期踏勘排查</w:t>
            </w:r>
            <w:r>
              <w:rPr>
                <w:rFonts w:hint="eastAsia" w:eastAsia="仿宋_GB2312"/>
                <w:color w:val="000000"/>
                <w:szCs w:val="21"/>
              </w:rPr>
              <w:t>3次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，完善入河排口台账、绘制水质热点分析图、编写汛期预警简报。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12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发挥“河长制”“湖长制”统筹作用，加强汛期面源污染治理、污水直排混排入河巡查力度。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区城市管理委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完成二季度巡查。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4739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三、净土保卫战重点任务进展情况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13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建设用地土壤环境风险得到有效管控，安全利用得到有效保障。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区生态环境局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区园林绿化局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东城规自分局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持续推进。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14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完成上半年重点建设用地安全利用率核算。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区生态环境局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东城规自分局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完成二季度核算。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15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加油站防渗漏抽查</w:t>
            </w:r>
            <w:r>
              <w:rPr>
                <w:rFonts w:hint="eastAsia"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家。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区生态环境局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上半年已完成</w:t>
            </w:r>
            <w:r>
              <w:rPr>
                <w:rFonts w:hint="eastAsia" w:eastAsia="仿宋_GB2312"/>
                <w:color w:val="000000"/>
                <w:szCs w:val="21"/>
              </w:rPr>
              <w:t>11家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。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4739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四、应对气候变化重点任务进展情况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exact"/>
          <w:jc w:val="center"/>
        </w:trPr>
        <w:tc>
          <w:tcPr>
            <w:tcW w:w="79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759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进一步落实碳排放双控制度，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完善政策体系</w:t>
            </w:r>
          </w:p>
        </w:tc>
        <w:tc>
          <w:tcPr>
            <w:tcW w:w="196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区发展改革委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区生态环境局</w:t>
            </w:r>
          </w:p>
        </w:tc>
        <w:tc>
          <w:tcPr>
            <w:tcW w:w="6765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印发《东城区应对气候变化</w:t>
            </w:r>
            <w:r>
              <w:rPr>
                <w:rFonts w:hint="eastAsia" w:eastAsia="仿宋_GB2312"/>
                <w:kern w:val="0"/>
                <w:szCs w:val="21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年行动计划》、《东城区</w:t>
            </w:r>
            <w:r>
              <w:rPr>
                <w:rFonts w:hint="eastAsia" w:eastAsia="仿宋_GB2312"/>
                <w:kern w:val="0"/>
                <w:szCs w:val="21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年碳达峰工作要点》，将各项重点任务分解到相关部门，大力推动产业、能源、建筑、交通等重点领域节能降碳，加强重点排放单位监督管理，切实控制温室气体排放。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  <w:jc w:val="center"/>
        </w:trPr>
        <w:tc>
          <w:tcPr>
            <w:tcW w:w="79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759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按照市级要求开展</w:t>
            </w:r>
            <w:r>
              <w:rPr>
                <w:rFonts w:eastAsia="仿宋_GB2312"/>
                <w:kern w:val="0"/>
                <w:szCs w:val="21"/>
              </w:rPr>
              <w:t>2024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年度碳排放权交易工作，协助确定重点排放单位名单，督促重点排放单位完成碳排放配额清缴。</w:t>
            </w:r>
          </w:p>
        </w:tc>
        <w:tc>
          <w:tcPr>
            <w:tcW w:w="196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区生态环境局</w:t>
            </w:r>
          </w:p>
        </w:tc>
        <w:tc>
          <w:tcPr>
            <w:tcW w:w="6765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加强重点排放单位管理，积极与排放单位进行沟通，重点帮扶填报系统有困难的单位，做好重点排放单位月报督促及审核工作，强化节能减碳管理责任。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exact"/>
          <w:jc w:val="center"/>
        </w:trPr>
        <w:tc>
          <w:tcPr>
            <w:tcW w:w="79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18</w:t>
            </w:r>
          </w:p>
        </w:tc>
        <w:tc>
          <w:tcPr>
            <w:tcW w:w="375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积极开展区级低碳试点示范，加强项目征集和储备，组织动员辖区重点碳排放单位和重点用能单位申报相关试点项目。</w:t>
            </w:r>
          </w:p>
        </w:tc>
        <w:tc>
          <w:tcPr>
            <w:tcW w:w="1968" w:type="dxa"/>
            <w:shd w:val="clear" w:color="auto" w:fill="auto"/>
            <w:vAlign w:val="center"/>
          </w:tcPr>
          <w:p>
            <w:pPr>
              <w:snapToGrid w:val="0"/>
              <w:ind w:right="-105" w:rightChars="-50" w:firstLine="210" w:firstLineChars="100"/>
              <w:jc w:val="both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区生态环境局</w:t>
            </w:r>
          </w:p>
          <w:p>
            <w:pPr>
              <w:widowControl/>
              <w:spacing w:line="280" w:lineRule="exact"/>
              <w:ind w:firstLine="210" w:firstLineChars="10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区发展改革委</w:t>
            </w:r>
          </w:p>
        </w:tc>
        <w:tc>
          <w:tcPr>
            <w:tcW w:w="676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结合东城区实际，研究东城区低碳试点示范，鼓励辖区单位申报相关试点项目。对拟报送项目进行初审，向市发展改革委报送绿色低碳先进技术项目</w:t>
            </w:r>
            <w:r>
              <w:rPr>
                <w:rFonts w:hint="eastAsia"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个；报送</w:t>
            </w:r>
            <w:r>
              <w:rPr>
                <w:rFonts w:hint="eastAsia"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个充电设施示范项目申请市政府固定资产投资补贴。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结合城市有机更新，积极推进低效产业园区、老旧厂房、老旧楼宇的腾退和升级改造，绿色楼宇占园区建筑比例稳步提升。通过打造联合办公新空间，协助开展航星园智慧园区建设，创建宜居宜业高品质产业园区。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exact"/>
          <w:jc w:val="center"/>
        </w:trPr>
        <w:tc>
          <w:tcPr>
            <w:tcW w:w="79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19</w:t>
            </w:r>
          </w:p>
        </w:tc>
        <w:tc>
          <w:tcPr>
            <w:tcW w:w="375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落实《北京市建筑绿色发展条例》，广泛开展宣传解读和培训，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加快推广超低能耗建筑，大力推进公共建筑节能绿色改造。装配式建筑占新建建筑面积的比例达到市级要求。</w:t>
            </w:r>
          </w:p>
        </w:tc>
        <w:tc>
          <w:tcPr>
            <w:tcW w:w="19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区住房城市建设委</w:t>
            </w:r>
          </w:p>
        </w:tc>
        <w:tc>
          <w:tcPr>
            <w:tcW w:w="676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召开超低能耗建筑工作培训会、公共建筑节能绿色化改造工作培训会等。开展公共建筑能耗限额工作，完成</w:t>
            </w:r>
            <w:r>
              <w:rPr>
                <w:rFonts w:hint="eastAsia" w:eastAsia="仿宋_GB2312"/>
                <w:color w:val="000000"/>
                <w:szCs w:val="21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家一年不合格单位能源审计告知书发放工作。大力推广绿色建筑，按照《北京市建筑绿色发展条例》规定，首都功能核心区新建建筑执行绿色建筑三星级标准。加快推广超低能耗建筑和装配式建筑，大力推进公共建筑节能绿色改造，已完成</w:t>
            </w:r>
            <w:r>
              <w:rPr>
                <w:rFonts w:hint="eastAsia" w:eastAsia="仿宋_GB2312"/>
                <w:color w:val="000000"/>
                <w:szCs w:val="21"/>
              </w:rPr>
              <w:t>34.15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万平方米公共建筑节能绿色化改造。完成1万平方米超低能耗建筑。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  <w:jc w:val="center"/>
        </w:trPr>
        <w:tc>
          <w:tcPr>
            <w:tcW w:w="79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20</w:t>
            </w:r>
          </w:p>
        </w:tc>
        <w:tc>
          <w:tcPr>
            <w:tcW w:w="375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推进既有燃气供热系统低碳改造示范，加大燃气锅炉能源低碳转型。按照市级要求完成既有建筑智能化供热改造。</w:t>
            </w:r>
          </w:p>
        </w:tc>
        <w:tc>
          <w:tcPr>
            <w:tcW w:w="19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区城市管理委</w:t>
            </w:r>
          </w:p>
        </w:tc>
        <w:tc>
          <w:tcPr>
            <w:tcW w:w="676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督促市热力集团东城分公司按照全市部署推进智慧化供热改造工作，目前正在签署设备采购合同，完成总进度</w:t>
            </w:r>
            <w:r>
              <w:rPr>
                <w:rFonts w:eastAsia="仿宋_GB2312"/>
                <w:color w:val="000000"/>
                <w:szCs w:val="21"/>
              </w:rPr>
              <w:t>40%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79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21</w:t>
            </w:r>
          </w:p>
        </w:tc>
        <w:tc>
          <w:tcPr>
            <w:tcW w:w="375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加强宣传引导教育，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开展低碳宣传培训。</w:t>
            </w:r>
          </w:p>
        </w:tc>
        <w:tc>
          <w:tcPr>
            <w:tcW w:w="19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区生态环境局</w:t>
            </w:r>
          </w:p>
        </w:tc>
        <w:tc>
          <w:tcPr>
            <w:tcW w:w="676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组织开展东城区碳市场培训会，提升排放单位碳排放数据报送质量。组织开展低碳日宣传活动，提高节能降碳意识。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4739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五、生态保护重点任务进展情况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22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建设口袋公园及小微绿地</w:t>
            </w:r>
            <w:r>
              <w:rPr>
                <w:rFonts w:hint="eastAsia" w:eastAsia="仿宋_GB2312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处。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区园林绿化局</w:t>
            </w:r>
          </w:p>
        </w:tc>
        <w:tc>
          <w:tcPr>
            <w:tcW w:w="6765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梳理口袋公园建设点位，推进设计相关工作。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</w:t>
            </w:r>
          </w:p>
        </w:tc>
      </w:tr>
    </w:tbl>
    <w:p>
      <w:pPr>
        <w:snapToGrid w:val="0"/>
        <w:spacing w:line="560" w:lineRule="exact"/>
        <w:jc w:val="left"/>
        <w:rPr>
          <w:rFonts w:eastAsia="仿宋_GB2312"/>
          <w:color w:val="FF0000"/>
          <w:sz w:val="32"/>
          <w:szCs w:val="32"/>
        </w:rPr>
        <w:sectPr>
          <w:type w:val="continuous"/>
          <w:pgSz w:w="16838" w:h="11906" w:orient="landscape"/>
          <w:pgMar w:top="2098" w:right="1474" w:bottom="1985" w:left="1588" w:header="851" w:footer="992" w:gutter="0"/>
          <w:cols w:space="720" w:num="1"/>
          <w:docGrid w:type="lines" w:linePitch="315" w:charSpace="0"/>
        </w:sect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00"/>
        </w:rPr>
      </w:pPr>
    </w:p>
    <w:sectPr>
      <w:footerReference r:id="rId4" w:type="default"/>
      <w:type w:val="continuous"/>
      <w:pgSz w:w="11906" w:h="16838"/>
      <w:pgMar w:top="2098" w:right="1474" w:bottom="1985" w:left="1588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sz w:val="21"/>
      </w:rPr>
    </w:pP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</w:rPr>
      <w:t>29</w:t>
    </w:r>
    <w:r>
      <w:rPr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sz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NTMzZjBhMTdiM2Q5NDFmNTNhNjdlOWQxNTM1YjEifQ=="/>
  </w:docVars>
  <w:rsids>
    <w:rsidRoot w:val="7A166FD3"/>
    <w:rsid w:val="0001587E"/>
    <w:rsid w:val="000E1DFB"/>
    <w:rsid w:val="000F3DDF"/>
    <w:rsid w:val="00141D19"/>
    <w:rsid w:val="001A05FF"/>
    <w:rsid w:val="001B20F3"/>
    <w:rsid w:val="002C7304"/>
    <w:rsid w:val="002E66D3"/>
    <w:rsid w:val="00375099"/>
    <w:rsid w:val="00386F5E"/>
    <w:rsid w:val="003D434B"/>
    <w:rsid w:val="003E21D3"/>
    <w:rsid w:val="00420729"/>
    <w:rsid w:val="00431F8F"/>
    <w:rsid w:val="00452EBA"/>
    <w:rsid w:val="00481F06"/>
    <w:rsid w:val="004C7584"/>
    <w:rsid w:val="004E0CCA"/>
    <w:rsid w:val="004E0F92"/>
    <w:rsid w:val="004F5EAD"/>
    <w:rsid w:val="00577882"/>
    <w:rsid w:val="00671F34"/>
    <w:rsid w:val="006C08B2"/>
    <w:rsid w:val="00716141"/>
    <w:rsid w:val="007416E6"/>
    <w:rsid w:val="007619D4"/>
    <w:rsid w:val="00793182"/>
    <w:rsid w:val="007A4DCE"/>
    <w:rsid w:val="00821975"/>
    <w:rsid w:val="00831DE0"/>
    <w:rsid w:val="008D6736"/>
    <w:rsid w:val="0095429D"/>
    <w:rsid w:val="0095716C"/>
    <w:rsid w:val="009767A0"/>
    <w:rsid w:val="009B359B"/>
    <w:rsid w:val="009F2BEA"/>
    <w:rsid w:val="00A26915"/>
    <w:rsid w:val="00A34BD7"/>
    <w:rsid w:val="00B278FA"/>
    <w:rsid w:val="00B328CE"/>
    <w:rsid w:val="00B35C5D"/>
    <w:rsid w:val="00B56CE6"/>
    <w:rsid w:val="00B72342"/>
    <w:rsid w:val="00C435CC"/>
    <w:rsid w:val="00C653C7"/>
    <w:rsid w:val="00CE069B"/>
    <w:rsid w:val="00CE4896"/>
    <w:rsid w:val="00D25C1C"/>
    <w:rsid w:val="00D46AE8"/>
    <w:rsid w:val="00D66498"/>
    <w:rsid w:val="00DA786D"/>
    <w:rsid w:val="00DC3624"/>
    <w:rsid w:val="00E318EA"/>
    <w:rsid w:val="00E9102E"/>
    <w:rsid w:val="00EA5654"/>
    <w:rsid w:val="00F675B7"/>
    <w:rsid w:val="00FD47EC"/>
    <w:rsid w:val="00FE62E9"/>
    <w:rsid w:val="0161692F"/>
    <w:rsid w:val="05CE0AC9"/>
    <w:rsid w:val="08590257"/>
    <w:rsid w:val="09061BB6"/>
    <w:rsid w:val="0ED06F56"/>
    <w:rsid w:val="12CD73E7"/>
    <w:rsid w:val="19E93E3F"/>
    <w:rsid w:val="1F3F2121"/>
    <w:rsid w:val="28617246"/>
    <w:rsid w:val="2E511DFE"/>
    <w:rsid w:val="309C27FE"/>
    <w:rsid w:val="333B7D88"/>
    <w:rsid w:val="350A074F"/>
    <w:rsid w:val="37761B29"/>
    <w:rsid w:val="399E7067"/>
    <w:rsid w:val="41A07F30"/>
    <w:rsid w:val="4AA605B6"/>
    <w:rsid w:val="4BF4643F"/>
    <w:rsid w:val="4EFE70BD"/>
    <w:rsid w:val="4F45128E"/>
    <w:rsid w:val="526F4616"/>
    <w:rsid w:val="52A25C20"/>
    <w:rsid w:val="581E798A"/>
    <w:rsid w:val="6AC37072"/>
    <w:rsid w:val="6B5B6886"/>
    <w:rsid w:val="6C5B760C"/>
    <w:rsid w:val="6ED87361"/>
    <w:rsid w:val="6F0373DE"/>
    <w:rsid w:val="724014B3"/>
    <w:rsid w:val="72633F7A"/>
    <w:rsid w:val="727B38BE"/>
    <w:rsid w:val="7703439D"/>
    <w:rsid w:val="7A166FD3"/>
    <w:rsid w:val="7C60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/>
    </w:pPr>
    <w:rPr>
      <w:szCs w:val="20"/>
    </w:rPr>
  </w:style>
  <w:style w:type="paragraph" w:customStyle="1" w:styleId="4">
    <w:name w:val="6-正文"/>
    <w:basedOn w:val="1"/>
    <w:qFormat/>
    <w:uiPriority w:val="0"/>
    <w:pPr>
      <w:spacing w:line="360" w:lineRule="auto"/>
      <w:ind w:firstLine="200" w:firstLineChars="200"/>
    </w:pPr>
    <w:rPr>
      <w:sz w:val="24"/>
      <w:szCs w:val="28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customStyle="1" w:styleId="6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19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customStyle="1" w:styleId="13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4">
    <w:name w:val="公文"/>
    <w:basedOn w:val="1"/>
    <w:qFormat/>
    <w:uiPriority w:val="0"/>
    <w:pPr>
      <w:ind w:firstLine="200" w:firstLineChars="200"/>
    </w:pPr>
  </w:style>
  <w:style w:type="paragraph" w:customStyle="1" w:styleId="15">
    <w:name w:val="Body text|1"/>
    <w:basedOn w:val="1"/>
    <w:link w:val="17"/>
    <w:qFormat/>
    <w:uiPriority w:val="0"/>
    <w:pPr>
      <w:spacing w:line="389" w:lineRule="auto"/>
      <w:ind w:firstLine="400"/>
    </w:pPr>
    <w:rPr>
      <w:rFonts w:ascii="MingLiU" w:hAnsi="MingLiU" w:eastAsia="MingLiU" w:cs="MingLiU"/>
      <w:color w:val="181819"/>
      <w:sz w:val="28"/>
      <w:szCs w:val="28"/>
      <w:lang w:val="zh-TW" w:eastAsia="zh-TW" w:bidi="zh-TW"/>
    </w:rPr>
  </w:style>
  <w:style w:type="paragraph" w:customStyle="1" w:styleId="16">
    <w:name w:val="toc 1_b958cacf-7e5f-454f-8c5b-6e15b77831f9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7">
    <w:name w:val="Body text|1_"/>
    <w:basedOn w:val="12"/>
    <w:link w:val="15"/>
    <w:qFormat/>
    <w:uiPriority w:val="0"/>
    <w:rPr>
      <w:rFonts w:ascii="MingLiU" w:hAnsi="MingLiU" w:eastAsia="MingLiU" w:cs="MingLiU"/>
      <w:color w:val="181819"/>
      <w:sz w:val="28"/>
      <w:szCs w:val="28"/>
      <w:u w:val="none"/>
      <w:lang w:val="zh-TW" w:eastAsia="zh-TW" w:bidi="zh-TW"/>
    </w:rPr>
  </w:style>
  <w:style w:type="character" w:customStyle="1" w:styleId="18">
    <w:name w:val="页眉 Char"/>
    <w:basedOn w:val="12"/>
    <w:link w:val="9"/>
    <w:qFormat/>
    <w:uiPriority w:val="0"/>
    <w:rPr>
      <w:kern w:val="2"/>
      <w:sz w:val="18"/>
      <w:szCs w:val="18"/>
    </w:rPr>
  </w:style>
  <w:style w:type="character" w:customStyle="1" w:styleId="19">
    <w:name w:val="脚注文本 Char"/>
    <w:link w:val="10"/>
    <w:qFormat/>
    <w:uiPriority w:val="99"/>
    <w:rPr>
      <w:kern w:val="2"/>
      <w:sz w:val="18"/>
      <w:szCs w:val="18"/>
    </w:rPr>
  </w:style>
  <w:style w:type="character" w:customStyle="1" w:styleId="20">
    <w:name w:val="脚注文本 字符1"/>
    <w:basedOn w:val="12"/>
    <w:qFormat/>
    <w:uiPriority w:val="0"/>
    <w:rPr>
      <w:kern w:val="2"/>
      <w:sz w:val="18"/>
      <w:szCs w:val="18"/>
    </w:rPr>
  </w:style>
  <w:style w:type="character" w:customStyle="1" w:styleId="21">
    <w:name w:val="font31"/>
    <w:basedOn w:val="12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9619</Words>
  <Characters>10784</Characters>
  <Lines>108</Lines>
  <Paragraphs>30</Paragraphs>
  <TotalTime>1</TotalTime>
  <ScaleCrop>false</ScaleCrop>
  <LinksUpToDate>false</LinksUpToDate>
  <CharactersWithSpaces>10856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2024-06-27T06:44:00Z</dcterms:created>
  <dc:creator>张雅清</dc:creator>
  <cp:lastModifiedBy>赵越</cp:lastModifiedBy>
  <cp:lastPrinted>2024-07-31T01:22:00Z</cp:lastPrinted>
  <dcterms:modified xsi:type="dcterms:W3CDTF">2024-09-05T01:32:08Z</dcterms:modified>
  <dc:title>关于报送东城区深入打好污染防治攻坚战2024年上半年工作进展情况的函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6A305E7F875841CA99AF784F43760534</vt:lpwstr>
  </property>
</Properties>
</file>