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DAF68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二季度</w:t>
      </w:r>
      <w:r>
        <w:rPr>
          <w:rFonts w:hint="eastAsia" w:ascii="仿宋" w:hAnsi="仿宋" w:eastAsia="仿宋" w:cs="仿宋"/>
          <w:sz w:val="32"/>
          <w:szCs w:val="32"/>
        </w:rPr>
        <w:t>，东城区以保障人居环境健康为出发点，以保护和改善土壤环境质量为目标，加强领导，突出重点，统筹推进土壤环境保护工作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辖区内土壤环境质量总体保持稳定，土壤环境风险得到管控，在土地开发利用中未发现土壤污染问题。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Q4N2E1MTg0MGIzOWY0YzQ5N2E0OTdkM2E3MzIifQ=="/>
  </w:docVars>
  <w:rsids>
    <w:rsidRoot w:val="5FE6180E"/>
    <w:rsid w:val="08F6644C"/>
    <w:rsid w:val="1B076DA2"/>
    <w:rsid w:val="2B1F098C"/>
    <w:rsid w:val="2F5672A0"/>
    <w:rsid w:val="5FE6180E"/>
    <w:rsid w:val="644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2023-02-06T01:27:00Z</dcterms:created>
  <dc:creator>李逸海</dc:creator>
  <cp:lastModifiedBy>马春华</cp:lastModifiedBy>
  <cp:lastPrinted>2023-02-06T02:31:00Z</cp:lastPrinted>
  <dcterms:modified xsi:type="dcterms:W3CDTF">2024-07-31T01:37:10Z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96221B4486724E6BACA13095C92EAF75</vt:lpwstr>
  </property>
</Properties>
</file>