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eastAsia="zh-CN"/>
        </w:rPr>
        <w:t>东城区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/>
        </w:rPr>
        <w:t>2022年度区级部门预算执行和决算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/>
        </w:rPr>
        <w:t>草案审计结果公告解读</w:t>
      </w:r>
    </w:p>
    <w:bookmarkEnd w:id="1"/>
    <w:p>
      <w:pPr>
        <w:rPr>
          <w:rFonts w:hint="eastAsia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一、2022年度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区级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部门预算执行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决算草案审计结果公告的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形式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是什么？包含哪些内容？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  <w:t>根据北京市审计条例相关规定及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  <w:t>委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  <w:lang w:eastAsia="zh-CN"/>
        </w:rPr>
        <w:t>、区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  <w:t>政府信息公开工作要求，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  <w:lang w:eastAsia="zh-CN"/>
        </w:rPr>
        <w:t>东城区审计局对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  <w:lang w:val="en-US" w:eastAsia="zh-CN"/>
        </w:rPr>
        <w:t>2022年度区级部门预算执行和决算草案审计结果进行综合性公告。公告主要包括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基本情况；审计发现的主要问题；审计处理和初步整改情况三部分内容。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纳入2022年度区级部门预算执行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决算草案审计结果公告的项目有哪些？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highlight w:val="none"/>
        </w:rPr>
      </w:pPr>
      <w:bookmarkStart w:id="0" w:name="jbqk"/>
      <w:r>
        <w:rPr>
          <w:rFonts w:hint="eastAsia" w:ascii="仿宋_GB2312" w:hAnsi="宋体" w:eastAsia="仿宋_GB2312"/>
          <w:sz w:val="32"/>
          <w:highlight w:val="none"/>
          <w:lang w:eastAsia="zh-CN"/>
        </w:rPr>
        <w:t>在对</w:t>
      </w:r>
      <w:r>
        <w:rPr>
          <w:rFonts w:hint="eastAsia" w:ascii="仿宋_GB2312" w:hAnsi="宋体" w:eastAsia="仿宋_GB2312"/>
          <w:sz w:val="32"/>
          <w:highlight w:val="none"/>
          <w:lang w:val="en-US" w:eastAsia="zh-CN"/>
        </w:rPr>
        <w:t>67家一级预算单位实行数据分析全覆盖的基础上，依法公告2022年度区级部门预算执行和决算草案审计结果，包括一级预算单位数据审计和12个重点部门预算单位现场审计的审计结果。</w:t>
      </w:r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2022年度区级预算单位数据分析全覆盖有何创新？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  <w:t>对预算公开的67家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  <w:lang w:eastAsia="zh-CN"/>
        </w:rPr>
        <w:t>一级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  <w:t>预算单位实行数据分析全覆盖，</w:t>
      </w:r>
      <w:r>
        <w:rPr>
          <w:rFonts w:hint="eastAsia" w:ascii="仿宋_GB2312" w:hAnsi="宋体" w:eastAsia="仿宋_GB2312" w:cs="宋体"/>
          <w:kern w:val="2"/>
          <w:sz w:val="32"/>
          <w:szCs w:val="32"/>
          <w:highlight w:val="none"/>
          <w:lang w:eastAsia="zh-CN"/>
        </w:rPr>
        <w:t>运</w:t>
      </w:r>
      <w:r>
        <w:rPr>
          <w:rFonts w:hint="eastAsia" w:ascii="仿宋_GB2312" w:hAnsi="宋体" w:eastAsia="仿宋_GB2312"/>
          <w:sz w:val="32"/>
          <w:highlight w:val="none"/>
          <w:lang w:val="en-US" w:eastAsia="zh-CN"/>
        </w:rPr>
        <w:t>用数据库技术，超前识变、积极应变、主动求变。以预算管理一体化系统数据为基础，预判各部门预算单位容易出现的问题，重点关注项目申报和项目资金使用的一致性。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四、如何评价2022年度区级部门预算执行整体情况？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highlight w:val="none"/>
        </w:rPr>
        <w:t>从数据分析情况看，</w:t>
      </w: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highlight w:val="none"/>
          <w:lang w:val="en-US" w:eastAsia="zh-CN"/>
        </w:rPr>
        <w:t>67家预算单位基本能够认真履行职责，预算管理和执行情况较好，预算编制较为准确，编制依据和标准较为充分合理，项目支出完成情况总体符合预算安排。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五、2022年度区级部门预算执行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决算草案现场审计重点内容及反映的突出问题有哪些？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在对重点部门本级和所属基层单位开展现场审计时，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重点关注预算管理情况、部门内控制度建立及执行情况等，突出反映了个别项目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预算编制不细化、合同管理不规范、内控制度执行不到位、固定资产管理不规范等问题。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六、2022年度区级部门预算执行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和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决算草案审计处理情况如何？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针对审计发现的问题，东城区审计局已依法出具审计报告，要求提高预算编制精细化水平，强化政府购买服务绩效管理，加强内控制度执行等。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255C"/>
    <w:multiLevelType w:val="singleLevel"/>
    <w:tmpl w:val="BFFF25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467B"/>
    <w:rsid w:val="2FD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widowControl/>
      <w:spacing w:before="100" w:beforeAutospacing="1" w:after="100" w:afterAutospacing="1" w:line="240" w:lineRule="auto"/>
      <w:ind w:right="0" w:rightChars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目录 11"/>
    <w:next w:val="1"/>
    <w:unhideWhenUsed/>
    <w:qFormat/>
    <w:uiPriority w:val="0"/>
    <w:pPr>
      <w:wordWrap w:val="0"/>
      <w:jc w:val="both"/>
    </w:pPr>
    <w:rPr>
      <w:rFonts w:hint="eastAsia" w:ascii="Times New Roman" w:hAnsi="Times New Roman" w:eastAsia="Times New Roman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2023-09-12T03:12:00Z</dcterms:created>
  <dc:creator>王馨</dc:creator>
  <cp:lastModifiedBy>王馨</cp:lastModifiedBy>
  <dcterms:modified xsi:type="dcterms:W3CDTF">2023-09-12T03:15:08Z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