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北京市东城区</w:t>
      </w:r>
      <w:r>
        <w:rPr>
          <w:rFonts w:ascii="方正小标宋简体" w:hAnsi="方正小标宋简体" w:eastAsia="方正小标宋简体" w:cs="方正小标宋简体"/>
          <w:sz w:val="36"/>
          <w:szCs w:val="36"/>
        </w:rPr>
        <w:t>2021年度部门预算执行</w:t>
      </w:r>
      <w:r>
        <w:rPr>
          <w:rFonts w:hint="eastAsia" w:ascii="方正小标宋简体" w:hAnsi="方正小标宋简体" w:eastAsia="方正小标宋简体" w:cs="方正小标宋简体"/>
          <w:sz w:val="36"/>
          <w:szCs w:val="36"/>
        </w:rPr>
        <w:t>和</w:t>
      </w:r>
      <w:r>
        <w:rPr>
          <w:rFonts w:ascii="方正小标宋简体" w:hAnsi="方正小标宋简体" w:eastAsia="方正小标宋简体" w:cs="方正小标宋简体"/>
          <w:sz w:val="36"/>
          <w:szCs w:val="36"/>
        </w:rPr>
        <w:t>其他</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财政收支审计结果公告解读</w:t>
      </w:r>
    </w:p>
    <w:p>
      <w:pPr>
        <w:rPr>
          <w:b/>
        </w:rPr>
      </w:pPr>
    </w:p>
    <w:p>
      <w:pPr>
        <w:spacing w:line="560" w:lineRule="exact"/>
        <w:ind w:firstLine="640" w:firstLineChars="200"/>
        <w:rPr>
          <w:rFonts w:ascii="仿宋_GB2312" w:hAnsi="宋体" w:eastAsia="仿宋_GB2312" w:cs="Times New Roman"/>
          <w:sz w:val="32"/>
        </w:rPr>
      </w:pPr>
      <w:r>
        <w:rPr>
          <w:rFonts w:hint="eastAsia" w:ascii="仿宋_GB2312" w:hAnsi="宋体" w:eastAsia="仿宋_GB2312" w:cs="Times New Roman"/>
          <w:sz w:val="32"/>
        </w:rPr>
        <w:t>根据《北京市审计条例》相关规定以及区委、区政府政府信息公开工作要求，按照区政府</w:t>
      </w:r>
      <w:r>
        <w:rPr>
          <w:rFonts w:ascii="仿宋_GB2312" w:hAnsi="宋体" w:eastAsia="仿宋_GB2312" w:cs="Times New Roman"/>
          <w:sz w:val="32"/>
        </w:rPr>
        <w:t>2022年度政务信息公开工作的总体安排，北京市东城区审计局于2022年9月</w:t>
      </w:r>
      <w:r>
        <w:rPr>
          <w:rFonts w:hint="eastAsia" w:ascii="仿宋_GB2312" w:hAnsi="宋体" w:eastAsia="仿宋_GB2312" w:cs="Times New Roman"/>
          <w:sz w:val="32"/>
          <w:lang w:val="en-US" w:eastAsia="zh-CN"/>
        </w:rPr>
        <w:t>19</w:t>
      </w:r>
      <w:r>
        <w:rPr>
          <w:rFonts w:ascii="仿宋_GB2312" w:hAnsi="宋体" w:eastAsia="仿宋_GB2312" w:cs="Times New Roman"/>
          <w:sz w:val="32"/>
        </w:rPr>
        <w:t>日向社会公告了北京市东城区2021年度部门预算执行</w:t>
      </w:r>
      <w:r>
        <w:rPr>
          <w:rFonts w:hint="eastAsia" w:ascii="仿宋_GB2312" w:hAnsi="宋体" w:eastAsia="仿宋_GB2312" w:cs="Times New Roman"/>
          <w:sz w:val="32"/>
          <w:lang w:eastAsia="zh-CN"/>
        </w:rPr>
        <w:t>和</w:t>
      </w:r>
      <w:r>
        <w:rPr>
          <w:rFonts w:ascii="仿宋_GB2312" w:hAnsi="宋体" w:eastAsia="仿宋_GB2312" w:cs="Times New Roman"/>
          <w:sz w:val="32"/>
        </w:rPr>
        <w:t>其他财政收支审计结果。为全面客观反映审计结果，采用综合性审计公告的形式对67个区级一级预算单位数据审计和11个预算单位现场审计结果进行公告。今年部门预算执行和其他财政收支审计工作及结果公告主要有以下特点：</w:t>
      </w:r>
    </w:p>
    <w:p>
      <w:pPr>
        <w:spacing w:line="560" w:lineRule="exact"/>
        <w:ind w:firstLine="640" w:firstLineChars="200"/>
        <w:rPr>
          <w:rFonts w:ascii="仿宋_GB2312" w:hAnsi="宋体" w:eastAsia="仿宋_GB2312" w:cs="Times New Roman"/>
          <w:sz w:val="32"/>
        </w:rPr>
      </w:pPr>
      <w:r>
        <w:rPr>
          <w:rFonts w:hint="eastAsia" w:ascii="仿宋_GB2312" w:hAnsi="宋体" w:eastAsia="仿宋_GB2312" w:cs="Times New Roman"/>
          <w:sz w:val="32"/>
        </w:rPr>
        <w:t>一是注重政策落实，突出审计政治站位。始终坚持加强党对审计工作的领导，认真贯彻落实北京市第十三次党代会精神</w:t>
      </w:r>
      <w:bookmarkStart w:id="0" w:name="_GoBack"/>
      <w:bookmarkEnd w:id="0"/>
      <w:r>
        <w:rPr>
          <w:rFonts w:hint="eastAsia" w:ascii="仿宋_GB2312" w:hAnsi="宋体" w:eastAsia="仿宋_GB2312" w:cs="Times New Roman"/>
          <w:sz w:val="32"/>
        </w:rPr>
        <w:t>，以区域重大政策措施贯彻落实作为审计监督切入点，将落实过“紧日子”措施、重大活动服务保障及疫情防控等关乎民生及社会经济事业发展的事项作为常态化审计重点，为东城区加速“崇文争先”、做实“六字文章”保驾护航。</w:t>
      </w:r>
    </w:p>
    <w:p>
      <w:pPr>
        <w:spacing w:line="560" w:lineRule="exact"/>
        <w:ind w:firstLine="640" w:firstLineChars="200"/>
        <w:rPr>
          <w:rFonts w:ascii="仿宋_GB2312" w:hAnsi="宋体" w:eastAsia="仿宋_GB2312" w:cs="Times New Roman"/>
          <w:sz w:val="32"/>
        </w:rPr>
      </w:pPr>
      <w:r>
        <w:rPr>
          <w:rFonts w:hint="eastAsia" w:ascii="仿宋_GB2312" w:hAnsi="宋体" w:eastAsia="仿宋_GB2312" w:cs="Times New Roman"/>
          <w:sz w:val="32"/>
        </w:rPr>
        <w:t>二是注重审计全覆盖，突出重点行业领域。切实贯彻落实关于深入推进审计全覆盖的工作要求，在一级预算单位横向审计全覆盖的基础上，进一步突出纵向审计覆盖深度，直插医疗卫生、文化、人力资源和社会保障等重点行业领域的多家二级预算单位进行现场审计，强化整体谋划和组织统筹，推进同步实施、直击要害的精准审计，以自上而下追踪资金流、政策流的审计新模式，不断拓展预算执行审计的深度和广度，持续推进审计监督高质量全覆盖。</w:t>
      </w:r>
    </w:p>
    <w:p>
      <w:pPr>
        <w:spacing w:line="560" w:lineRule="exact"/>
        <w:ind w:firstLine="640" w:firstLineChars="200"/>
        <w:rPr>
          <w:rFonts w:ascii="仿宋_GB2312" w:hAnsi="宋体" w:eastAsia="仿宋_GB2312" w:cs="Times New Roman"/>
          <w:sz w:val="32"/>
        </w:rPr>
      </w:pPr>
      <w:r>
        <w:rPr>
          <w:rFonts w:hint="eastAsia" w:ascii="仿宋_GB2312" w:hAnsi="宋体" w:eastAsia="仿宋_GB2312" w:cs="Times New Roman"/>
          <w:sz w:val="32"/>
        </w:rPr>
        <w:t>三是注重主责主业，突出审计职能定位。立足“审计监督首先是经济监督”的职能定位，紧盯财政财务收支真实、合法、效益主责主业，加强对执行宏观和微观财政经济制度、财政资金提质增效等方面的关注，推深做实研究型审计，着力揭示和反映支出政策和项目资金使用绩效问题，切实发挥审计在保障社会经济健康运行中的职能作用。</w:t>
      </w:r>
    </w:p>
    <w:p>
      <w:pPr>
        <w:spacing w:line="560" w:lineRule="exact"/>
        <w:ind w:firstLine="640" w:firstLineChars="200"/>
        <w:rPr>
          <w:rFonts w:ascii="仿宋_GB2312" w:hAnsi="宋体" w:eastAsia="仿宋_GB2312" w:cs="Times New Roman"/>
          <w:sz w:val="32"/>
        </w:rPr>
      </w:pPr>
      <w:r>
        <w:rPr>
          <w:rFonts w:hint="eastAsia" w:ascii="仿宋_GB2312" w:hAnsi="宋体" w:eastAsia="仿宋_GB2312" w:cs="Times New Roman"/>
          <w:sz w:val="32"/>
        </w:rPr>
        <w:t>四是注重提质增效，突出监督量与服务量。强化揭示问题、规范管理、促进改革的审计监督闭环意识，严格落实审计整改制度，突出审计服务和预防职能，做好审计整改“后半篇文章”。落实审计整改联动机制，在压实被审计单位整改主体责任的基础上，协同相关主管部门督促审计整改落实，实现横向贯通，将审计监督质效转化为治理效能。同时加强审计成果运用，及时对共性和专业领域问题进行归纳和分析，切实发挥审计“查病，治已病、防未病”作用，不断促进审计提质增效。</w:t>
      </w:r>
    </w:p>
    <w:p>
      <w:pPr>
        <w:spacing w:line="560" w:lineRule="exact"/>
        <w:ind w:firstLine="640" w:firstLineChars="200"/>
        <w:rPr>
          <w:rFonts w:ascii="仿宋_GB2312" w:hAnsi="宋体" w:eastAsia="仿宋_GB2312" w:cs="Times New Roman"/>
          <w:sz w:val="32"/>
        </w:rPr>
      </w:pPr>
    </w:p>
    <w:p>
      <w:pPr>
        <w:spacing w:line="560" w:lineRule="exact"/>
        <w:ind w:firstLine="640" w:firstLineChars="200"/>
        <w:rPr>
          <w:rFonts w:ascii="仿宋_GB2312" w:hAnsi="宋体" w:eastAsia="仿宋_GB2312" w:cs="Times New Roman"/>
          <w:sz w:val="32"/>
        </w:rPr>
      </w:pPr>
      <w:r>
        <w:rPr>
          <w:rFonts w:hint="eastAsia" w:ascii="仿宋_GB2312" w:hAnsi="宋体" w:eastAsia="仿宋_GB2312" w:cs="Times New Roman"/>
          <w:sz w:val="32"/>
        </w:rPr>
        <w:t>政策文件：北京市东城区</w:t>
      </w:r>
      <w:r>
        <w:rPr>
          <w:rFonts w:ascii="仿宋_GB2312" w:hAnsi="宋体" w:eastAsia="仿宋_GB2312" w:cs="Times New Roman"/>
          <w:sz w:val="32"/>
        </w:rPr>
        <w:t>2021年度部门预算执行和其他财政收支审计结果</w:t>
      </w:r>
    </w:p>
    <w:p>
      <w:pPr>
        <w:spacing w:line="560" w:lineRule="exact"/>
        <w:ind w:firstLine="640" w:firstLineChars="200"/>
        <w:rPr>
          <w:rFonts w:ascii="仿宋_GB2312" w:hAnsi="宋体" w:eastAsia="仿宋_GB2312" w:cs="Times New Roman"/>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s>
  <w:rsids>
    <w:rsidRoot w:val="0FD317AD"/>
    <w:rsid w:val="0F1C4D19"/>
    <w:rsid w:val="0FD31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2022-09-19T01:38:00Z</dcterms:created>
  <dc:creator>朱芮</dc:creator>
  <cp:lastModifiedBy>名字不重要</cp:lastModifiedBy>
  <dcterms:modified xsi:type="dcterms:W3CDTF">2024-05-11T02:14:17Z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B27C1C6CBA6844C0BE48FDEB29129E08_12</vt:lpwstr>
  </property>
</Properties>
</file>