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400" w:lineRule="exact"/>
        <w:ind w:right="315" w:rightChars="150" w:firstLine="420" w:firstLineChars="0"/>
        <w:jc w:val="center"/>
        <w:textAlignment w:val="auto"/>
        <w:rPr>
          <w:rFonts w:hint="eastAsia" w:ascii="方正小标宋简体" w:hAnsi="方正小标宋简体" w:eastAsia="方正小标宋简体" w:cs="方正小标宋简体"/>
          <w:b/>
          <w:bCs/>
          <w:i w:val="0"/>
          <w:caps w:val="0"/>
          <w:color w:val="404040"/>
          <w:spacing w:val="0"/>
          <w:sz w:val="36"/>
          <w:szCs w:val="36"/>
          <w:highlight w:val="none"/>
          <w:shd w:val="clear" w:color="auto" w:fill="FFFFFF"/>
          <w:lang w:val="en-US" w:eastAsia="zh-CN"/>
        </w:rPr>
      </w:pPr>
      <w:bookmarkStart w:id="0" w:name="_GoBack"/>
      <w:bookmarkEnd w:id="0"/>
      <w:r>
        <w:rPr>
          <w:rFonts w:hint="eastAsia" w:ascii="方正小标宋简体" w:hAnsi="方正小标宋简体" w:eastAsia="方正小标宋简体" w:cs="方正小标宋简体"/>
          <w:b/>
          <w:bCs/>
          <w:i w:val="0"/>
          <w:caps w:val="0"/>
          <w:color w:val="404040"/>
          <w:spacing w:val="0"/>
          <w:sz w:val="36"/>
          <w:szCs w:val="36"/>
          <w:highlight w:val="none"/>
          <w:shd w:val="clear" w:color="auto" w:fill="FFFFFF"/>
          <w:lang w:val="zh-CN" w:eastAsia="zh-CN"/>
        </w:rPr>
        <w:t>加强预算执行审计</w:t>
      </w:r>
      <w:r>
        <w:rPr>
          <w:rFonts w:hint="eastAsia" w:ascii="方正小标宋简体" w:hAnsi="方正小标宋简体" w:eastAsia="方正小标宋简体" w:cs="方正小标宋简体"/>
          <w:b/>
          <w:bCs/>
          <w:i w:val="0"/>
          <w:caps w:val="0"/>
          <w:color w:val="404040"/>
          <w:spacing w:val="0"/>
          <w:sz w:val="36"/>
          <w:szCs w:val="36"/>
          <w:highlight w:val="none"/>
          <w:shd w:val="clear" w:color="auto" w:fill="FFFFFF"/>
          <w:lang w:val="en-US" w:eastAsia="zh-CN"/>
        </w:rPr>
        <w:t xml:space="preserve"> 提高财政资金使用效益</w:t>
      </w:r>
    </w:p>
    <w:p>
      <w:pPr>
        <w:keepNext w:val="0"/>
        <w:keepLines w:val="0"/>
        <w:pageBreakBefore w:val="0"/>
        <w:widowControl w:val="0"/>
        <w:kinsoku/>
        <w:wordWrap/>
        <w:overflowPunct/>
        <w:topLinePunct w:val="0"/>
        <w:autoSpaceDE/>
        <w:autoSpaceDN/>
        <w:bidi w:val="0"/>
        <w:adjustRightInd/>
        <w:snapToGrid/>
        <w:spacing w:before="120" w:after="120" w:line="400" w:lineRule="exact"/>
        <w:ind w:right="315" w:rightChars="150" w:firstLine="420" w:firstLineChars="0"/>
        <w:jc w:val="center"/>
        <w:textAlignment w:val="auto"/>
        <w:rPr>
          <w:rFonts w:hint="eastAsia" w:ascii="宋体" w:hAnsi="宋体" w:eastAsia="宋体" w:cs="宋体"/>
          <w:b/>
          <w:bCs/>
          <w:i w:val="0"/>
          <w:caps w:val="0"/>
          <w:color w:val="404040"/>
          <w:spacing w:val="0"/>
          <w:sz w:val="36"/>
          <w:szCs w:val="36"/>
          <w:highlight w:val="none"/>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20"/>
        <w:jc w:val="left"/>
        <w:textAlignment w:val="auto"/>
        <w:rPr>
          <w:rFonts w:hint="eastAsia" w:ascii="仿宋" w:hAnsi="仿宋" w:eastAsia="仿宋" w:cs="仿宋"/>
          <w:b/>
          <w:bCs/>
          <w:i w:val="0"/>
          <w:caps w:val="0"/>
          <w:color w:val="404040"/>
          <w:spacing w:val="0"/>
          <w:sz w:val="28"/>
          <w:szCs w:val="28"/>
          <w:highlight w:val="none"/>
          <w:shd w:val="clear" w:color="auto" w:fill="FFFFFF"/>
          <w:lang w:val="en-US" w:eastAsia="zh-CN"/>
        </w:rPr>
      </w:pPr>
      <w:r>
        <w:rPr>
          <w:rFonts w:hint="eastAsia" w:ascii="仿宋" w:hAnsi="仿宋" w:eastAsia="仿宋" w:cs="仿宋"/>
          <w:b/>
          <w:bCs/>
          <w:i w:val="0"/>
          <w:caps w:val="0"/>
          <w:color w:val="404040"/>
          <w:spacing w:val="0"/>
          <w:sz w:val="28"/>
          <w:szCs w:val="28"/>
          <w:highlight w:val="none"/>
          <w:shd w:val="clear" w:color="auto" w:fill="FFFFFF"/>
        </w:rPr>
        <w:t>——北京市东城区2020年度部门预算执行及其他财政收支审计结果公告解读</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420" w:firstLineChars="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_GB2312" w:hAnsi="仿宋_GB2312" w:eastAsia="仿宋_GB2312" w:cs="仿宋_GB2312"/>
          <w:snapToGrid w:val="0"/>
          <w:sz w:val="32"/>
          <w:szCs w:val="32"/>
          <w:lang w:val="en-US" w:eastAsia="zh-CN"/>
        </w:rPr>
        <w:t xml:space="preserve"> </w:t>
      </w: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根据《北京市审计条例》相关规定以及区委、区政府政府信息公开工作要求，按照区政府2021年度政务信息公开工作的总体安排，北京市东城区审计局于2021年9月26日向社会公告了北京市东城区2020年度部门预算执行及其他财政收支审计结果。为全面客观反映审计结果，采用综合性审计公告的形式对67个区级一级预算单位数据审计和9个一级预算单位现场审计结果进行公告。今年部门预算执行和其他财政收支审计工作及结果公告主要有以下特点：</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600" w:firstLineChars="20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一是强化宏观谋划。围绕全区工作大局，高质量推进区级预算执行和一级预算单位每年审计全覆盖，突出中央、市区重大决策部署和重要政策，紧紧围绕“五个东城”建设，制定和完善审计项目和审计内容，充分发挥审计在党和国家监督体系中的重要作用，促进提高财政资金使用和政策实施效果。</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600" w:firstLineChars="20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 w:hAnsi="仿宋" w:eastAsia="仿宋" w:cs="仿宋"/>
          <w:b w:val="0"/>
          <w:i w:val="0"/>
          <w:caps w:val="0"/>
          <w:color w:val="404040"/>
          <w:spacing w:val="0"/>
          <w:kern w:val="0"/>
          <w:sz w:val="30"/>
          <w:szCs w:val="30"/>
          <w:highlight w:val="none"/>
          <w:shd w:val="clear" w:color="auto" w:fill="FFFFFF"/>
          <w:lang w:val="en" w:eastAsia="zh-CN" w:bidi="ar"/>
        </w:rPr>
        <w:t>二是强化审计创新。牢固树立科技强审理念，紧紧围绕“集中分析、系统研究、发现疑点、精准定位</w:t>
      </w: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 xml:space="preserve"> </w:t>
      </w:r>
      <w:r>
        <w:rPr>
          <w:rFonts w:hint="eastAsia" w:ascii="仿宋" w:hAnsi="仿宋" w:eastAsia="仿宋" w:cs="仿宋"/>
          <w:b w:val="0"/>
          <w:i w:val="0"/>
          <w:caps w:val="0"/>
          <w:color w:val="404040"/>
          <w:spacing w:val="0"/>
          <w:kern w:val="0"/>
          <w:sz w:val="30"/>
          <w:szCs w:val="30"/>
          <w:highlight w:val="none"/>
          <w:shd w:val="clear" w:color="auto" w:fill="FFFFFF"/>
          <w:lang w:val="en" w:eastAsia="zh-CN" w:bidi="ar"/>
        </w:rPr>
        <w:t>”的数字化审计目标，</w:t>
      </w: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以数据审计、重点行业系统、部门审计为依托，实现67个区级一级预算单位数据分析审计全覆盖，并对9个一级预算单位进行现场审计，构建了横向到边，纵向到底的审计全覆盖组织模式，同时进一步深化数据审计工作，制定数据目录清单，加强与相关部门数据之间相互验证，促进提升审计效率和效果。</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600" w:firstLineChars="20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三是强化审计效能。牢固树立绩效管理理念，发挥成本绩效审计研究专班的作用，将成本绩效分析贯穿审计全过程，探索绩效审计评价体系，制定科学、合理、细化量化且便于考核的绩效指标；加强审计质量把控，在工作开展过程中，注重标本兼治，加大对问题的揭示力度，着力揭示部门预算单位在预算编制、执行中的普遍性、倾向性和典型性问题，促进其严格预算执行、规范资金使用、强化内部管理，有效发挥审计的建设性作用。</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600" w:firstLineChars="20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四是强化整改落地。以审计整改工作高质量发展为目标，提高审计整改制度化、规范化、信息化水平，切实发挥审计“治已病、防未病”作用，建立东城区部门预算执行审计发现问题提示提醒清单，有效减少屡查屡犯问题的发生；严格落实“红黄绿”灯对账销号制度，定期开展审计整改“回头看”工作，督促被审计单位全面落实整改责任，促进审计整改取得实效。</w:t>
      </w: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420" w:firstLineChars="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120" w:after="120" w:line="560" w:lineRule="exact"/>
        <w:ind w:right="315" w:rightChars="150" w:firstLine="420" w:firstLineChars="0"/>
        <w:jc w:val="left"/>
        <w:textAlignment w:val="auto"/>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pP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政策文件：北京市东城区2</w:t>
      </w:r>
      <w:r>
        <w:rPr>
          <w:rFonts w:hint="eastAsia" w:ascii="仿宋" w:hAnsi="仿宋" w:eastAsia="仿宋" w:cs="仿宋"/>
          <w:b w:val="0"/>
          <w:i w:val="0"/>
          <w:caps w:val="0"/>
          <w:color w:val="404040"/>
          <w:spacing w:val="0"/>
          <w:kern w:val="0"/>
          <w:sz w:val="30"/>
          <w:szCs w:val="30"/>
          <w:highlight w:val="none"/>
          <w:shd w:val="clear" w:color="auto" w:fill="FFFFFF"/>
          <w:lang w:val="zh-CN" w:eastAsia="zh-CN" w:bidi="ar"/>
        </w:rPr>
        <w:t>0</w:t>
      </w: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20</w:t>
      </w:r>
      <w:r>
        <w:rPr>
          <w:rFonts w:hint="eastAsia" w:ascii="仿宋" w:hAnsi="仿宋" w:eastAsia="仿宋" w:cs="仿宋"/>
          <w:b w:val="0"/>
          <w:i w:val="0"/>
          <w:caps w:val="0"/>
          <w:color w:val="404040"/>
          <w:spacing w:val="0"/>
          <w:kern w:val="0"/>
          <w:sz w:val="30"/>
          <w:szCs w:val="30"/>
          <w:highlight w:val="none"/>
          <w:shd w:val="clear" w:color="auto" w:fill="FFFFFF"/>
          <w:lang w:val="zh-CN" w:eastAsia="zh-CN" w:bidi="ar"/>
        </w:rPr>
        <w:t>年度</w:t>
      </w:r>
      <w:r>
        <w:rPr>
          <w:rFonts w:hint="eastAsia" w:ascii="仿宋" w:hAnsi="仿宋" w:eastAsia="仿宋" w:cs="仿宋"/>
          <w:b w:val="0"/>
          <w:i w:val="0"/>
          <w:caps w:val="0"/>
          <w:color w:val="404040"/>
          <w:spacing w:val="0"/>
          <w:kern w:val="0"/>
          <w:sz w:val="30"/>
          <w:szCs w:val="30"/>
          <w:highlight w:val="none"/>
          <w:shd w:val="clear" w:color="auto" w:fill="FFFFFF"/>
          <w:lang w:val="en-US" w:eastAsia="zh-CN" w:bidi="ar"/>
        </w:rPr>
        <w:t>部门预算执行和其他财政收支审计结果</w:t>
      </w:r>
    </w:p>
    <w:p/>
    <w:p/>
    <w:sectPr>
      <w:footerReference r:id="rId5" w:type="default"/>
      <w:pgSz w:w="11906" w:h="16838"/>
      <w:pgMar w:top="1440" w:right="1800" w:bottom="1118"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315"/>
      </w:pPr>
      <w:r>
        <w:separator/>
      </w:r>
    </w:p>
  </w:endnote>
  <w:endnote w:type="continuationSeparator" w:id="1">
    <w:p>
      <w:pPr>
        <w:spacing w:line="240" w:lineRule="auto"/>
        <w:ind w:righ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right="315"/>
      </w:pPr>
      <w:r>
        <w:separator/>
      </w:r>
    </w:p>
  </w:footnote>
  <w:footnote w:type="continuationSeparator" w:id="1">
    <w:p>
      <w:pPr>
        <w:spacing w:line="240" w:lineRule="auto"/>
        <w:ind w:right="31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F1291"/>
    <w:rsid w:val="604F1291"/>
    <w:rsid w:val="7D6637A4"/>
    <w:rsid w:val="FF9F0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ind w:right="150" w:rightChars="15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2021-09-26T10:19:00Z</dcterms:created>
  <dc:creator>康利群</dc:creator>
  <cp:lastModifiedBy>user</cp:lastModifiedBy>
  <cp:lastPrinted>2021-09-26T10:32:00Z</cp:lastPrinted>
  <dcterms:modified xsi:type="dcterms:W3CDTF">2021-09-26T11:07:26Z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