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5"/>
        <w:jc w:val="center"/>
        <w:rPr>
          <w:rFonts w:ascii="宋体" w:hAnsi="宋体"/>
          <w:b/>
          <w:sz w:val="52"/>
          <w:szCs w:val="52"/>
        </w:rPr>
      </w:pPr>
      <w:bookmarkStart w:id="1" w:name="_GoBack"/>
      <w:bookmarkEnd w:id="1"/>
    </w:p>
    <w:p>
      <w:pPr>
        <w:ind w:right="315"/>
        <w:jc w:val="center"/>
        <w:rPr>
          <w:rFonts w:ascii="宋体" w:hAnsi="宋体"/>
          <w:b/>
          <w:sz w:val="52"/>
          <w:szCs w:val="52"/>
        </w:rPr>
      </w:pPr>
    </w:p>
    <w:p>
      <w:pPr>
        <w:ind w:right="315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hint="eastAsia" w:ascii="宋体" w:hAnsi="宋体"/>
          <w:b/>
          <w:color w:val="FF0000"/>
          <w:sz w:val="52"/>
          <w:szCs w:val="52"/>
        </w:rPr>
        <w:t>东城区审计局</w:t>
      </w:r>
    </w:p>
    <w:p>
      <w:pPr>
        <w:tabs>
          <w:tab w:val="left" w:pos="2205"/>
          <w:tab w:val="left" w:pos="7245"/>
        </w:tabs>
        <w:autoSpaceDE w:val="0"/>
        <w:autoSpaceDN w:val="0"/>
        <w:adjustRightInd w:val="0"/>
        <w:ind w:right="315"/>
        <w:jc w:val="center"/>
        <w:rPr>
          <w:rFonts w:ascii="宋体" w:hAnsi="宋体" w:cs="长城小标宋体"/>
          <w:b/>
          <w:bCs/>
          <w:color w:val="FF0000"/>
          <w:kern w:val="0"/>
          <w:sz w:val="84"/>
          <w:szCs w:val="84"/>
          <w:lang w:val="zh-CN"/>
        </w:rPr>
      </w:pPr>
      <w:r>
        <w:rPr>
          <w:rFonts w:hint="eastAsia" w:ascii="宋体" w:hAnsi="宋体" w:cs="长城小标宋体"/>
          <w:b/>
          <w:bCs/>
          <w:color w:val="FF0000"/>
          <w:kern w:val="0"/>
          <w:sz w:val="84"/>
          <w:szCs w:val="84"/>
          <w:lang w:val="zh-CN"/>
        </w:rPr>
        <w:t>审计结果公告</w:t>
      </w: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2020年第</w:t>
      </w:r>
      <w:r>
        <w:rPr>
          <w:rFonts w:hint="eastAsia" w:ascii="仿宋_GB2312" w:hAnsi="宋体" w:eastAsia="仿宋_GB2312"/>
          <w:sz w:val="32"/>
          <w:szCs w:val="32"/>
          <w:lang w:val="en-GB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ind w:right="315"/>
        <w:jc w:val="center"/>
        <w:rPr>
          <w:rFonts w:ascii="楷体_GB2312" w:hAnsi="宋体" w:eastAsia="楷体_GB2312"/>
          <w:sz w:val="32"/>
          <w:szCs w:val="32"/>
        </w:rPr>
      </w:pPr>
    </w:p>
    <w:p>
      <w:pPr>
        <w:pStyle w:val="10"/>
      </w:pPr>
      <w:r>
        <w:rPr>
          <w:rFonts w:hint="eastAsia"/>
        </w:rPr>
        <w:t>2020第7号：北京市东城区</w:t>
      </w:r>
      <w:r>
        <w:rPr>
          <w:rFonts w:hint="eastAsia"/>
          <w:lang w:val="zh-CN"/>
        </w:rPr>
        <w:t>2019年度一级预算单位预算执行和决算草案数据审计</w:t>
      </w:r>
      <w:r>
        <w:rPr>
          <w:rFonts w:hint="eastAsia"/>
        </w:rPr>
        <w:t>结果</w:t>
      </w:r>
    </w:p>
    <w:p>
      <w:pPr>
        <w:pStyle w:val="10"/>
      </w:pPr>
    </w:p>
    <w:p>
      <w:pPr>
        <w:widowControl/>
        <w:spacing w:line="460" w:lineRule="exact"/>
        <w:ind w:right="315" w:firstLine="160" w:firstLineChars="5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（2020年8月31日公告）</w:t>
      </w:r>
    </w:p>
    <w:p>
      <w:pPr>
        <w:widowControl/>
        <w:spacing w:line="460" w:lineRule="exact"/>
        <w:ind w:right="315" w:firstLine="160" w:firstLineChars="50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240" w:lineRule="auto"/>
        <w:ind w:right="315"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根据《中华人民共和国审计法》和《北京市审计条例》的规定，</w:t>
      </w:r>
      <w:r>
        <w:rPr>
          <w:rFonts w:ascii="仿宋_GB2312" w:hAnsi="宋体" w:eastAsia="仿宋_GB2312"/>
          <w:sz w:val="32"/>
        </w:rPr>
        <w:t>20</w:t>
      </w:r>
      <w:r>
        <w:rPr>
          <w:rFonts w:hint="eastAsia" w:ascii="仿宋_GB2312" w:hAnsi="宋体" w:eastAsia="仿宋_GB2312"/>
          <w:sz w:val="32"/>
        </w:rPr>
        <w:t>20</w:t>
      </w:r>
      <w:r>
        <w:rPr>
          <w:rFonts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</w:rPr>
        <w:t>3</w:t>
      </w:r>
      <w:r>
        <w:rPr>
          <w:rFonts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</w:rPr>
        <w:t>19</w:t>
      </w:r>
      <w:r>
        <w:rPr>
          <w:rFonts w:ascii="仿宋_GB2312" w:hAnsi="宋体" w:eastAsia="仿宋_GB2312"/>
          <w:sz w:val="32"/>
        </w:rPr>
        <w:t>日至</w:t>
      </w:r>
      <w:r>
        <w:rPr>
          <w:rFonts w:hint="eastAsia" w:ascii="仿宋_GB2312" w:hAnsi="宋体" w:eastAsia="仿宋_GB2312"/>
          <w:sz w:val="32"/>
        </w:rPr>
        <w:t>4</w:t>
      </w:r>
      <w:r>
        <w:rPr>
          <w:rFonts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</w:rPr>
        <w:t>30</w:t>
      </w:r>
      <w:r>
        <w:rPr>
          <w:rFonts w:ascii="仿宋_GB2312" w:hAnsi="宋体" w:eastAsia="仿宋_GB2312"/>
          <w:sz w:val="32"/>
        </w:rPr>
        <w:t>日，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北京市东城区审计</w:t>
      </w:r>
      <w:r>
        <w:rPr>
          <w:rFonts w:ascii="仿宋_GB2312" w:hAnsi="宋体" w:eastAsia="仿宋_GB2312"/>
          <w:sz w:val="32"/>
        </w:rPr>
        <w:t>对</w:t>
      </w:r>
      <w:r>
        <w:rPr>
          <w:rFonts w:hint="eastAsia" w:ascii="仿宋_GB2312" w:hAnsi="宋体" w:eastAsia="仿宋_GB2312"/>
          <w:sz w:val="32"/>
        </w:rPr>
        <w:t>东城区一级预算单位（以下简称单位）</w:t>
      </w:r>
      <w:r>
        <w:rPr>
          <w:rFonts w:ascii="仿宋_GB2312" w:hAnsi="宋体" w:eastAsia="仿宋_GB2312"/>
          <w:sz w:val="32"/>
        </w:rPr>
        <w:t>20</w:t>
      </w:r>
      <w:r>
        <w:rPr>
          <w:rFonts w:hint="eastAsia" w:ascii="仿宋_GB2312" w:hAnsi="宋体" w:eastAsia="仿宋_GB2312"/>
          <w:sz w:val="32"/>
        </w:rPr>
        <w:t>19</w:t>
      </w:r>
      <w:r>
        <w:rPr>
          <w:rFonts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</w:rPr>
        <w:t>预算执行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和其他财政收支情况进行</w:t>
      </w:r>
      <w:r>
        <w:rPr>
          <w:rFonts w:hint="eastAsia" w:ascii="仿宋_GB2312" w:hAnsi="宋体" w:eastAsia="仿宋_GB2312"/>
          <w:sz w:val="32"/>
        </w:rPr>
        <w:t>了数据审计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一、基本情况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rPr>
          <w:rFonts w:ascii="仿宋_GB2312" w:hAnsi="宋体" w:eastAsia="仿宋_GB2312"/>
          <w:sz w:val="32"/>
        </w:rPr>
      </w:pPr>
      <w:bookmarkStart w:id="0" w:name="jbqk"/>
      <w:r>
        <w:rPr>
          <w:rFonts w:hint="eastAsia" w:ascii="仿宋_GB2312" w:hAnsi="宋体" w:eastAsia="仿宋_GB2312"/>
          <w:sz w:val="32"/>
        </w:rPr>
        <w:t>本次审计覆盖东城区68个一级预算单位，</w:t>
      </w:r>
      <w:bookmarkEnd w:id="0"/>
      <w:r>
        <w:rPr>
          <w:rFonts w:hint="eastAsia" w:ascii="仿宋_GB2312" w:hAnsi="宋体" w:eastAsia="仿宋_GB2312"/>
          <w:sz w:val="32"/>
        </w:rPr>
        <w:t>根据部门决算报表数据，68个一级预算单位2019年度预算支出</w:t>
      </w:r>
      <w:r>
        <w:rPr>
          <w:rFonts w:ascii="仿宋_GB2312" w:hAnsi="宋体" w:eastAsia="仿宋_GB2312"/>
          <w:sz w:val="32"/>
        </w:rPr>
        <w:t>1,435,526.35</w:t>
      </w:r>
      <w:r>
        <w:rPr>
          <w:rFonts w:hint="eastAsia" w:ascii="仿宋_GB2312" w:hAnsi="宋体" w:eastAsia="仿宋_GB2312"/>
          <w:sz w:val="32"/>
        </w:rPr>
        <w:t>万元。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审计结果表明，</w:t>
      </w:r>
      <w:r>
        <w:rPr>
          <w:rFonts w:hint="eastAsia" w:ascii="仿宋_GB2312" w:hAnsi="宋体" w:eastAsia="仿宋_GB2312"/>
          <w:sz w:val="32"/>
        </w:rPr>
        <w:t>东城区68个一级预算单位能够遵守预算法、相关法律法规及相关财务管理基本规范，项目支出总体完成情况符合申报预算安排，政府采购及政府购买服务总体履行了相关程序，</w:t>
      </w:r>
      <w:r>
        <w:rPr>
          <w:rFonts w:hint="eastAsia" w:ascii="仿宋_GB2312" w:hAnsi="宋体" w:eastAsia="仿宋_GB2312"/>
          <w:sz w:val="32"/>
          <w:lang w:eastAsia="zh-CN"/>
        </w:rPr>
        <w:t>“三公”经费</w:t>
      </w:r>
      <w:r>
        <w:rPr>
          <w:rFonts w:hint="eastAsia" w:ascii="仿宋_GB2312" w:hAnsi="宋体" w:eastAsia="仿宋_GB2312"/>
          <w:sz w:val="32"/>
        </w:rPr>
        <w:t>执行情况较好。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二、审计发现的主要问题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zh-CN"/>
        </w:rPr>
        <w:t>项目预算执行存在的主要问题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楷体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1.部分单位</w:t>
      </w:r>
      <w:r>
        <w:rPr>
          <w:rFonts w:hint="eastAsia" w:ascii="仿宋_GB2312" w:hAnsi="楷体" w:eastAsia="仿宋_GB2312" w:cs="仿宋_GB2312"/>
          <w:bCs/>
          <w:sz w:val="32"/>
          <w:szCs w:val="32"/>
          <w:lang w:val="zh-CN"/>
        </w:rPr>
        <w:t>项目申报内容不完整不充分。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Cs/>
          <w:sz w:val="32"/>
          <w:szCs w:val="32"/>
          <w:lang w:val="zh-CN"/>
        </w:rPr>
        <w:t>2.部分单位</w:t>
      </w:r>
      <w:r>
        <w:rPr>
          <w:rFonts w:hint="eastAsia" w:ascii="仿宋_GB2312" w:hAnsi="宋体" w:eastAsia="仿宋_GB2312"/>
          <w:sz w:val="32"/>
        </w:rPr>
        <w:t>项目预算执行率低，资金使用效益还需提高。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3.部分单位</w:t>
      </w:r>
      <w:r>
        <w:rPr>
          <w:rFonts w:hint="eastAsia" w:ascii="仿宋_GB2312" w:hAnsi="宋体" w:eastAsia="仿宋_GB2312"/>
          <w:sz w:val="32"/>
        </w:rPr>
        <w:t>项目执行过程中存在计划性不强，年底集中支付的情况。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宋体" w:eastAsia="仿宋_GB2312"/>
          <w:sz w:val="32"/>
          <w:szCs w:val="32"/>
          <w:lang w:val="en-GB"/>
        </w:rPr>
        <w:t>4.</w:t>
      </w:r>
      <w:r>
        <w:rPr>
          <w:rFonts w:hint="eastAsia" w:ascii="仿宋_GB2312" w:hAnsi="宋体" w:eastAsia="仿宋_GB2312"/>
          <w:sz w:val="32"/>
        </w:rPr>
        <w:t>个别单位扩大项目经费开支范围。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zh-CN"/>
        </w:rPr>
        <w:t>预算管理方面存在的主要问题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楷体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1.个别单位</w:t>
      </w:r>
      <w:r>
        <w:rPr>
          <w:rFonts w:hint="eastAsia" w:ascii="仿宋_GB2312" w:hAnsi="楷体" w:eastAsia="仿宋_GB2312" w:cs="仿宋_GB2312"/>
          <w:bCs/>
          <w:sz w:val="32"/>
          <w:szCs w:val="32"/>
          <w:lang w:val="zh-CN"/>
        </w:rPr>
        <w:t>政府采购预算编制不规范。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Cs/>
          <w:sz w:val="32"/>
          <w:szCs w:val="32"/>
          <w:lang w:val="zh-CN"/>
        </w:rPr>
        <w:t>2.部分单位政府购买服务预算编制不规范。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3.部分单位</w:t>
      </w:r>
      <w:r>
        <w:rPr>
          <w:rFonts w:hint="eastAsia" w:ascii="仿宋_GB2312" w:hAnsi="宋体" w:eastAsia="仿宋_GB2312"/>
          <w:sz w:val="32"/>
        </w:rPr>
        <w:t>国库集中支付系统预算指标使用不规范。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（三）财务管理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zh-CN"/>
        </w:rPr>
        <w:t>存在的主要问题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楷体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1.个别单位</w:t>
      </w:r>
      <w:r>
        <w:rPr>
          <w:rFonts w:hint="eastAsia" w:eastAsia="仿宋_GB2312" w:cs="仿宋_GB2312"/>
          <w:sz w:val="32"/>
          <w:szCs w:val="36"/>
          <w:lang w:bidi="he-IL"/>
        </w:rPr>
        <w:t>现金管理使用不规范。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Cs/>
          <w:sz w:val="32"/>
          <w:szCs w:val="32"/>
          <w:lang w:val="zh-CN"/>
        </w:rPr>
        <w:t>2.个别单位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应缴财政款科目资金挂账，</w:t>
      </w:r>
      <w:r>
        <w:rPr>
          <w:rFonts w:hint="eastAsia" w:ascii="仿宋_GB2312" w:hAnsi="宋体" w:eastAsia="仿宋_GB2312"/>
          <w:sz w:val="32"/>
        </w:rPr>
        <w:t>未及时上交区财政。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3.个别单位</w:t>
      </w:r>
      <w:r>
        <w:rPr>
          <w:rFonts w:hint="eastAsia" w:eastAsia="仿宋_GB2312"/>
          <w:snapToGrid w:val="0"/>
          <w:sz w:val="32"/>
          <w:szCs w:val="32"/>
        </w:rPr>
        <w:t>未及时登记固定资产动态库。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三、审计处理和初步整改情况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对上述问题，区审计局建议各单位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加强项目预算管理，重视项目预算编报和前期筹划，减少预算固化程度；加强预算编制、管理等制度的学习，完整编制政府采购预算及政府购买服务预算，提高预算编制完整、准确、规范程度；强化财政财务基础管理工作，严格落实各项制度要求，加强对所属单位的监管责任，促进各预算单位财务核算管理更加规范有效。</w:t>
      </w:r>
    </w:p>
    <w:p>
      <w:pPr>
        <w:widowControl/>
        <w:shd w:val="clear" w:color="auto" w:fill="FFFFFF"/>
        <w:spacing w:line="240" w:lineRule="auto"/>
        <w:ind w:right="-58" w:rightChars="0"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仿宋_GB2312"/>
          <w:bCs/>
          <w:sz w:val="32"/>
          <w:szCs w:val="32"/>
          <w:lang w:val="zh-CN"/>
        </w:rPr>
        <w:t>针对本次审计发现的问题，各单位积极落实整改，加强制度学习培训，细化项目文本等预算申报资料，严格按规定编制政府采购和政府购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zh-CN"/>
        </w:rPr>
        <w:t>买服务预算，不断强化预算编制管理。相关单位加强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项目预算执行管理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合理确定项目预算额度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zh-CN"/>
        </w:rPr>
        <w:t>，注重预算执行过程管理，提高项目支出预算执行效率。完善现金等内控管理制度，应缴未缴非税收入全部上缴财政，资产未登固定资产动态库全部进行补登，强化了资产、财务基础管理。其他问题正在整改中。</w:t>
      </w:r>
    </w:p>
    <w:p>
      <w:pPr>
        <w:ind w:right="315"/>
      </w:pPr>
    </w:p>
    <w:p>
      <w:pPr>
        <w:ind w:right="315"/>
      </w:pPr>
    </w:p>
    <w:p>
      <w:pPr>
        <w:ind w:right="315"/>
      </w:pPr>
    </w:p>
    <w:p>
      <w:pPr>
        <w:ind w:right="315"/>
      </w:pPr>
    </w:p>
    <w:p>
      <w:pPr>
        <w:ind w:right="315"/>
      </w:pPr>
    </w:p>
    <w:p>
      <w:pPr>
        <w:ind w:right="315"/>
      </w:pPr>
    </w:p>
    <w:p>
      <w:pPr>
        <w:snapToGrid w:val="0"/>
        <w:spacing w:line="336" w:lineRule="auto"/>
        <w:ind w:right="315" w:firstLine="531" w:firstLineChars="177"/>
        <w:textAlignment w:val="baseline"/>
        <w:rPr>
          <w:rFonts w:ascii="仿宋_GB2312" w:hAnsi="仿宋_GB2312" w:eastAsia="仿宋_GB2312" w:cs="仿宋_GB2312"/>
          <w:color w:val="292929"/>
          <w:sz w:val="30"/>
          <w:szCs w:val="30"/>
          <w:shd w:val="clear" w:color="auto" w:fill="FFFFFF"/>
        </w:rPr>
      </w:pPr>
    </w:p>
    <w:p>
      <w:pPr>
        <w:snapToGrid w:val="0"/>
        <w:spacing w:line="336" w:lineRule="auto"/>
        <w:ind w:right="315" w:firstLine="531" w:firstLineChars="177"/>
        <w:textAlignment w:val="baseline"/>
        <w:rPr>
          <w:rFonts w:ascii="仿宋_GB2312" w:hAnsi="仿宋_GB2312" w:eastAsia="仿宋_GB2312" w:cs="仿宋_GB2312"/>
          <w:color w:val="292929"/>
          <w:sz w:val="30"/>
          <w:szCs w:val="30"/>
          <w:shd w:val="clear" w:color="auto" w:fill="FFFFFF"/>
        </w:rPr>
      </w:pPr>
    </w:p>
    <w:p>
      <w:pPr>
        <w:snapToGrid w:val="0"/>
        <w:spacing w:line="336" w:lineRule="auto"/>
        <w:ind w:right="-92" w:rightChars="-44" w:firstLine="600" w:firstLineChars="200"/>
        <w:rPr>
          <w:rFonts w:ascii="仿宋_GB2312" w:hAnsi="宋体" w:eastAsia="仿宋_GB2312" w:cs="仿宋_GB2312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sz w:val="30"/>
          <w:szCs w:val="30"/>
          <w:lang w:bidi="ar"/>
        </w:rPr>
        <w:t xml:space="preserve">                          </w:t>
      </w:r>
      <w:r>
        <w:rPr>
          <w:rFonts w:ascii="仿宋_GB2312" w:hAnsi="宋体" w:eastAsia="仿宋_GB2312" w:cs="仿宋_GB2312"/>
          <w:sz w:val="30"/>
          <w:szCs w:val="30"/>
          <w:lang w:val="en-GB" w:bidi="ar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  <w:lang w:bidi="ar"/>
        </w:rPr>
        <w:t xml:space="preserve">      东城区审计局</w:t>
      </w:r>
    </w:p>
    <w:p>
      <w:pPr>
        <w:snapToGrid w:val="0"/>
        <w:spacing w:line="336" w:lineRule="auto"/>
        <w:ind w:right="-92" w:rightChars="-44" w:firstLine="600" w:firstLineChars="200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bidi="ar"/>
        </w:rPr>
        <w:t xml:space="preserve">                               2020</w:t>
      </w:r>
      <w:r>
        <w:rPr>
          <w:rFonts w:hint="eastAsia" w:ascii="仿宋_GB2312" w:hAnsi="宋体" w:eastAsia="仿宋_GB2312" w:cs="仿宋_GB2312"/>
          <w:bCs/>
          <w:sz w:val="30"/>
          <w:szCs w:val="30"/>
          <w:lang w:bidi="ar"/>
        </w:rPr>
        <w:t>年8月31</w:t>
      </w:r>
      <w:r>
        <w:rPr>
          <w:rFonts w:hint="eastAsia" w:ascii="仿宋_GB2312" w:hAnsi="宋体" w:eastAsia="仿宋_GB2312" w:cs="仿宋_GB2312"/>
          <w:sz w:val="30"/>
          <w:szCs w:val="30"/>
          <w:lang w:bidi="ar"/>
        </w:rPr>
        <w:t>日</w:t>
      </w:r>
    </w:p>
    <w:p>
      <w:pPr>
        <w:snapToGrid w:val="0"/>
        <w:spacing w:line="336" w:lineRule="auto"/>
        <w:ind w:right="315"/>
      </w:pPr>
    </w:p>
    <w:p>
      <w:pPr>
        <w:snapToGrid w:val="0"/>
        <w:spacing w:line="336" w:lineRule="auto"/>
        <w:ind w:right="315"/>
        <w:rPr>
          <w:sz w:val="30"/>
          <w:szCs w:val="30"/>
        </w:rPr>
      </w:pPr>
    </w:p>
    <w:p>
      <w:pPr>
        <w:ind w:right="315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315"/>
      </w:pPr>
      <w:r>
        <w:separator/>
      </w:r>
    </w:p>
  </w:endnote>
  <w:endnote w:type="continuationSeparator" w:id="1">
    <w:p>
      <w:pPr>
        <w:spacing w:line="240" w:lineRule="auto"/>
        <w:ind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8442255"/>
      <w:docPartObj>
        <w:docPartGallery w:val="AutoText"/>
      </w:docPartObj>
    </w:sdtPr>
    <w:sdtContent>
      <w:p>
        <w:pPr>
          <w:pStyle w:val="4"/>
          <w:ind w:right="3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  <w:ind w:righ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right="315"/>
      </w:pPr>
      <w:r>
        <w:separator/>
      </w:r>
    </w:p>
  </w:footnote>
  <w:footnote w:type="continuationSeparator" w:id="1">
    <w:p>
      <w:pPr>
        <w:spacing w:line="240" w:lineRule="auto"/>
        <w:ind w:righ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2M4OTI1ZWU2ZjNjZmQ4NWM5M2NhYTY0OWE2ODYifQ=="/>
  </w:docVars>
  <w:rsids>
    <w:rsidRoot w:val="00EF0504"/>
    <w:rsid w:val="00286CD3"/>
    <w:rsid w:val="006C47FC"/>
    <w:rsid w:val="00702369"/>
    <w:rsid w:val="00774F11"/>
    <w:rsid w:val="00BF5351"/>
    <w:rsid w:val="00C84D49"/>
    <w:rsid w:val="00CA5B8D"/>
    <w:rsid w:val="00DF6582"/>
    <w:rsid w:val="00E644E7"/>
    <w:rsid w:val="00EF0504"/>
    <w:rsid w:val="00EF068E"/>
    <w:rsid w:val="00FB5B28"/>
    <w:rsid w:val="5B6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right="150" w:right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uiPriority w:val="9"/>
    <w:pPr>
      <w:keepNext/>
      <w:keepLines/>
      <w:spacing w:before="340" w:after="330" w:line="578" w:lineRule="auto"/>
      <w:ind w:right="0" w:rightChars="0"/>
      <w:jc w:val="center"/>
      <w:outlineLvl w:val="0"/>
    </w:pPr>
    <w:rPr>
      <w:rFonts w:eastAsia="方正小标宋简体" w:asciiTheme="minorHAnsi" w:hAnsiTheme="minorHAnsi" w:cstheme="minorBidi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 Spacing"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标题 1 Char"/>
    <w:basedOn w:val="7"/>
    <w:link w:val="2"/>
    <w:uiPriority w:val="9"/>
    <w:rPr>
      <w:rFonts w:eastAsia="方正小标宋简体"/>
      <w:b/>
      <w:bCs/>
      <w:kern w:val="44"/>
      <w:sz w:val="36"/>
      <w:szCs w:val="44"/>
    </w:rPr>
  </w:style>
  <w:style w:type="paragraph" w:customStyle="1" w:styleId="10">
    <w:name w:val="区-标题"/>
    <w:basedOn w:val="1"/>
    <w:qFormat/>
    <w:uiPriority w:val="0"/>
    <w:pPr>
      <w:spacing w:line="240" w:lineRule="auto"/>
      <w:ind w:right="0" w:rightChars="0"/>
      <w:jc w:val="center"/>
    </w:pPr>
    <w:rPr>
      <w:rFonts w:eastAsia="方正小标宋简体" w:asciiTheme="minorHAnsi" w:hAnsiTheme="minorHAnsi" w:cstheme="minorBidi"/>
      <w:b/>
      <w:sz w:val="36"/>
    </w:rPr>
  </w:style>
  <w:style w:type="paragraph" w:customStyle="1" w:styleId="11">
    <w:name w:val="区正文"/>
    <w:basedOn w:val="10"/>
    <w:uiPriority w:val="0"/>
    <w:pPr>
      <w:spacing w:line="360" w:lineRule="auto"/>
      <w:ind w:left="100" w:leftChars="100" w:right="100" w:rightChars="100" w:firstLine="200" w:firstLineChars="200"/>
      <w:jc w:val="left"/>
    </w:pPr>
    <w:rPr>
      <w:b w:val="0"/>
      <w:sz w:val="30"/>
    </w:rPr>
  </w:style>
  <w:style w:type="character" w:customStyle="1" w:styleId="12">
    <w:name w:val="Subtle Reference"/>
    <w:basedOn w:val="7"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3">
    <w:name w:val="区正文1"/>
    <w:basedOn w:val="11"/>
    <w:qFormat/>
    <w:uiPriority w:val="0"/>
    <w:pPr>
      <w:ind w:left="0" w:leftChars="0" w:right="0" w:rightChars="0"/>
    </w:pPr>
    <w:rPr>
      <w:rFonts w:eastAsia="仿宋_GB2312"/>
    </w:rPr>
  </w:style>
  <w:style w:type="paragraph" w:customStyle="1" w:styleId="14">
    <w:name w:val="一级标题"/>
    <w:basedOn w:val="13"/>
    <w:qFormat/>
    <w:uiPriority w:val="0"/>
    <w:rPr>
      <w:rFonts w:eastAsia="黑体"/>
    </w:rPr>
  </w:style>
  <w:style w:type="paragraph" w:customStyle="1" w:styleId="15">
    <w:name w:val="年月日落款"/>
    <w:basedOn w:val="1"/>
    <w:qFormat/>
    <w:uiPriority w:val="0"/>
    <w:pPr>
      <w:spacing w:line="240" w:lineRule="auto"/>
      <w:ind w:left="2200" w:leftChars="2200" w:right="0" w:rightChars="0"/>
      <w:jc w:val="center"/>
    </w:pPr>
    <w:rPr>
      <w:rFonts w:eastAsia="仿宋_GB2312" w:asciiTheme="minorHAnsi" w:hAnsiTheme="minorHAnsi" w:cstheme="minorBidi"/>
      <w:spacing w:val="30"/>
      <w:sz w:val="30"/>
    </w:rPr>
  </w:style>
  <w:style w:type="paragraph" w:styleId="16">
    <w:name w:val="List Paragraph"/>
    <w:basedOn w:val="1"/>
    <w:qFormat/>
    <w:uiPriority w:val="34"/>
    <w:pPr>
      <w:spacing w:line="240" w:lineRule="auto"/>
      <w:ind w:right="0" w:rightChars="0" w:firstLine="420" w:firstLineChars="200"/>
    </w:pPr>
  </w:style>
  <w:style w:type="character" w:customStyle="1" w:styleId="17">
    <w:name w:val="页眉 Char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995</Characters>
  <Lines>7</Lines>
  <Paragraphs>2</Paragraphs>
  <TotalTime>4</TotalTime>
  <ScaleCrop>false</ScaleCrop>
  <LinksUpToDate>false</LinksUpToDate>
  <CharactersWithSpaces>1059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2020-08-31T06:24:00Z</dcterms:created>
  <dc:creator>康利群</dc:creator>
  <cp:lastModifiedBy>海螺海螺听见了吗</cp:lastModifiedBy>
  <cp:lastPrinted>2020-08-31T06:43:00Z</cp:lastPrinted>
  <dcterms:modified xsi:type="dcterms:W3CDTF">2025-03-18T08:53:38Z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D4AC512896C14D7DB1BB628EF0F930AB_12</vt:lpwstr>
  </property>
</Properties>
</file>