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napToGrid w:val="0"/>
        <w:spacing w:line="440" w:lineRule="exact"/>
        <w:jc w:val="center"/>
        <w:rPr>
          <w:rFonts w:eastAsia="方正小标宋简体"/>
          <w:color w:val="000000"/>
          <w:sz w:val="32"/>
          <w:szCs w:val="32"/>
        </w:rPr>
      </w:pPr>
      <w:r>
        <w:rPr>
          <w:rFonts w:eastAsia="方正小标宋简体"/>
          <w:color w:val="000000"/>
          <w:sz w:val="32"/>
          <w:szCs w:val="32"/>
        </w:rPr>
        <w:t>202</w:t>
      </w:r>
      <w:r>
        <w:rPr>
          <w:rFonts w:hint="eastAsia" w:eastAsia="方正小标宋简体"/>
          <w:color w:val="000000"/>
          <w:sz w:val="32"/>
          <w:szCs w:val="32"/>
        </w:rPr>
        <w:t>5</w:t>
      </w:r>
      <w:r>
        <w:rPr>
          <w:rFonts w:eastAsia="方正小标宋简体"/>
          <w:color w:val="000000"/>
          <w:sz w:val="32"/>
          <w:szCs w:val="32"/>
        </w:rPr>
        <w:t>年北京市</w:t>
      </w:r>
      <w:r>
        <w:rPr>
          <w:rFonts w:hint="eastAsia" w:eastAsia="方正小标宋简体"/>
          <w:color w:val="000000"/>
          <w:sz w:val="32"/>
          <w:szCs w:val="32"/>
          <w:lang w:eastAsia="zh-CN"/>
        </w:rPr>
        <w:t>东城</w:t>
      </w:r>
      <w:r>
        <w:rPr>
          <w:rFonts w:hint="eastAsia" w:eastAsia="方正小标宋简体"/>
          <w:color w:val="000000"/>
          <w:sz w:val="32"/>
          <w:szCs w:val="32"/>
        </w:rPr>
        <w:t>区羽绒服</w:t>
      </w:r>
      <w:r>
        <w:rPr>
          <w:rFonts w:eastAsia="方正小标宋简体"/>
          <w:color w:val="000000"/>
          <w:sz w:val="32"/>
          <w:szCs w:val="32"/>
        </w:rPr>
        <w:t>产品质量监督抽查实施细则</w:t>
      </w:r>
    </w:p>
    <w:p>
      <w:pPr>
        <w:snapToGrid w:val="0"/>
        <w:spacing w:line="440" w:lineRule="exact"/>
        <w:rPr>
          <w:rFonts w:eastAsia="黑体"/>
          <w:color w:val="000000"/>
          <w:szCs w:val="21"/>
        </w:rPr>
      </w:pPr>
    </w:p>
    <w:p>
      <w:pPr>
        <w:snapToGrid w:val="0"/>
        <w:spacing w:line="440" w:lineRule="exact"/>
        <w:rPr>
          <w:rFonts w:eastAsia="黑体"/>
          <w:color w:val="000000"/>
          <w:szCs w:val="21"/>
        </w:rPr>
      </w:pPr>
      <w:r>
        <w:rPr>
          <w:rFonts w:eastAsia="黑体"/>
          <w:color w:val="000000"/>
          <w:szCs w:val="21"/>
        </w:rPr>
        <w:t>1 抽样方法</w:t>
      </w:r>
    </w:p>
    <w:p>
      <w:pPr>
        <w:snapToGrid w:val="0"/>
        <w:spacing w:line="440" w:lineRule="exact"/>
        <w:ind w:firstLine="420" w:firstLineChars="200"/>
        <w:rPr>
          <w:color w:val="000000"/>
          <w:szCs w:val="21"/>
        </w:rPr>
      </w:pPr>
      <w:r>
        <w:rPr>
          <w:color w:val="000000"/>
          <w:szCs w:val="21"/>
        </w:rPr>
        <w:t>以随机抽样的方式在被抽样生产者、销售者的待销产品中抽取。</w:t>
      </w:r>
    </w:p>
    <w:p>
      <w:pPr>
        <w:snapToGrid w:val="0"/>
        <w:spacing w:line="440" w:lineRule="exact"/>
        <w:ind w:firstLine="420" w:firstLineChars="200"/>
        <w:rPr>
          <w:color w:val="000000"/>
          <w:szCs w:val="21"/>
        </w:rPr>
      </w:pPr>
      <w:r>
        <w:rPr>
          <w:color w:val="000000"/>
          <w:szCs w:val="21"/>
        </w:rPr>
        <w:t>随机数一般可使用随机数表等方法产生。</w:t>
      </w:r>
    </w:p>
    <w:p>
      <w:pPr>
        <w:snapToGrid w:val="0"/>
        <w:spacing w:line="440" w:lineRule="exact"/>
        <w:ind w:firstLine="420" w:firstLineChars="200"/>
        <w:rPr>
          <w:color w:val="000000"/>
          <w:szCs w:val="21"/>
        </w:rPr>
      </w:pPr>
      <w:r>
        <w:rPr>
          <w:color w:val="000000"/>
          <w:szCs w:val="21"/>
        </w:rPr>
        <w:t>抽样基数满足抽样数量即可，抽取样品数量见下表：</w:t>
      </w:r>
    </w:p>
    <w:tbl>
      <w:tblPr>
        <w:tblStyle w:val="5"/>
        <w:tblW w:w="8860"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671"/>
        <w:gridCol w:w="2282"/>
        <w:gridCol w:w="1969"/>
        <w:gridCol w:w="1969"/>
        <w:gridCol w:w="1969"/>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547" w:hRule="atLeast"/>
          <w:jc w:val="center"/>
        </w:trPr>
        <w:tc>
          <w:tcPr>
            <w:tcW w:w="671" w:type="dxa"/>
            <w:tcBorders>
              <w:top w:val="outset" w:color="000000" w:sz="6" w:space="0"/>
              <w:left w:val="outset" w:color="000000" w:sz="6" w:space="0"/>
              <w:bottom w:val="outset" w:color="000000" w:sz="6" w:space="0"/>
              <w:right w:val="outset" w:color="000000" w:sz="6" w:space="0"/>
            </w:tcBorders>
            <w:vAlign w:val="center"/>
          </w:tcPr>
          <w:p>
            <w:pPr>
              <w:jc w:val="center"/>
            </w:pPr>
            <w:r>
              <w:t>序号</w:t>
            </w:r>
          </w:p>
        </w:tc>
        <w:tc>
          <w:tcPr>
            <w:tcW w:w="2282" w:type="dxa"/>
            <w:tcBorders>
              <w:top w:val="outset" w:color="000000" w:sz="6" w:space="0"/>
              <w:left w:val="outset" w:color="000000" w:sz="6" w:space="0"/>
              <w:bottom w:val="outset" w:color="000000" w:sz="6" w:space="0"/>
              <w:right w:val="outset" w:color="000000" w:sz="6" w:space="0"/>
            </w:tcBorders>
            <w:vAlign w:val="center"/>
          </w:tcPr>
          <w:p>
            <w:pPr>
              <w:jc w:val="center"/>
            </w:pPr>
            <w:r>
              <w:t>产品名称</w:t>
            </w:r>
          </w:p>
        </w:tc>
        <w:tc>
          <w:tcPr>
            <w:tcW w:w="1969" w:type="dxa"/>
            <w:tcBorders>
              <w:top w:val="outset" w:color="000000" w:sz="6" w:space="0"/>
              <w:left w:val="outset" w:color="000000" w:sz="6" w:space="0"/>
              <w:bottom w:val="outset" w:color="000000" w:sz="6" w:space="0"/>
              <w:right w:val="outset" w:color="000000" w:sz="6" w:space="0"/>
            </w:tcBorders>
            <w:vAlign w:val="center"/>
          </w:tcPr>
          <w:p>
            <w:pPr>
              <w:jc w:val="center"/>
            </w:pPr>
            <w:r>
              <w:t>抽样数量</w:t>
            </w:r>
          </w:p>
          <w:p>
            <w:pPr>
              <w:jc w:val="center"/>
            </w:pPr>
            <w:r>
              <w:t>（件/条/套）</w:t>
            </w:r>
          </w:p>
        </w:tc>
        <w:tc>
          <w:tcPr>
            <w:tcW w:w="1969" w:type="dxa"/>
            <w:tcBorders>
              <w:top w:val="outset" w:color="000000" w:sz="6" w:space="0"/>
              <w:left w:val="outset" w:color="000000" w:sz="6" w:space="0"/>
              <w:bottom w:val="outset" w:color="000000" w:sz="6" w:space="0"/>
              <w:right w:val="outset" w:color="000000" w:sz="6" w:space="0"/>
            </w:tcBorders>
            <w:vAlign w:val="center"/>
          </w:tcPr>
          <w:p>
            <w:pPr>
              <w:jc w:val="center"/>
            </w:pPr>
            <w:r>
              <w:t>检验</w:t>
            </w:r>
            <w:r>
              <w:rPr>
                <w:rFonts w:hint="eastAsia"/>
              </w:rPr>
              <w:t>用</w:t>
            </w:r>
            <w:r>
              <w:t>样品数量</w:t>
            </w:r>
          </w:p>
          <w:p>
            <w:pPr>
              <w:jc w:val="center"/>
            </w:pPr>
            <w:r>
              <w:t>（件/条/套）</w:t>
            </w:r>
          </w:p>
        </w:tc>
        <w:tc>
          <w:tcPr>
            <w:tcW w:w="1969" w:type="dxa"/>
            <w:tcBorders>
              <w:top w:val="outset" w:color="000000" w:sz="6" w:space="0"/>
              <w:left w:val="outset" w:color="000000" w:sz="6" w:space="0"/>
              <w:bottom w:val="outset" w:color="000000" w:sz="6" w:space="0"/>
              <w:right w:val="outset" w:color="000000" w:sz="6" w:space="0"/>
            </w:tcBorders>
            <w:vAlign w:val="center"/>
          </w:tcPr>
          <w:p>
            <w:pPr>
              <w:jc w:val="center"/>
            </w:pPr>
            <w:r>
              <w:rPr>
                <w:rFonts w:hint="eastAsia"/>
              </w:rPr>
              <w:t>备用样品</w:t>
            </w:r>
            <w:r>
              <w:t>数量</w:t>
            </w:r>
          </w:p>
          <w:p>
            <w:pPr>
              <w:jc w:val="center"/>
            </w:pPr>
            <w:r>
              <w:t>（件/条/套）</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347" w:hRule="atLeast"/>
          <w:jc w:val="center"/>
        </w:trPr>
        <w:tc>
          <w:tcPr>
            <w:tcW w:w="671" w:type="dxa"/>
            <w:tcBorders>
              <w:top w:val="outset" w:color="000000" w:sz="6" w:space="0"/>
              <w:left w:val="outset" w:color="000000" w:sz="6" w:space="0"/>
              <w:bottom w:val="single" w:color="auto" w:sz="4" w:space="0"/>
              <w:right w:val="outset" w:color="000000" w:sz="6" w:space="0"/>
            </w:tcBorders>
            <w:vAlign w:val="center"/>
          </w:tcPr>
          <w:p>
            <w:pPr>
              <w:jc w:val="center"/>
            </w:pPr>
            <w:r>
              <w:rPr>
                <w:rFonts w:hint="eastAsia"/>
              </w:rPr>
              <w:t>1</w:t>
            </w:r>
          </w:p>
        </w:tc>
        <w:tc>
          <w:tcPr>
            <w:tcW w:w="2282" w:type="dxa"/>
            <w:tcBorders>
              <w:top w:val="outset" w:color="000000" w:sz="6" w:space="0"/>
              <w:left w:val="outset" w:color="000000" w:sz="6" w:space="0"/>
              <w:bottom w:val="single" w:color="auto" w:sz="4" w:space="0"/>
              <w:right w:val="outset" w:color="000000" w:sz="6" w:space="0"/>
            </w:tcBorders>
            <w:vAlign w:val="center"/>
          </w:tcPr>
          <w:p>
            <w:pPr>
              <w:jc w:val="center"/>
            </w:pPr>
            <w:r>
              <w:rPr>
                <w:rFonts w:hint="eastAsia"/>
              </w:rPr>
              <w:t>羽绒服</w:t>
            </w:r>
          </w:p>
        </w:tc>
        <w:tc>
          <w:tcPr>
            <w:tcW w:w="1969" w:type="dxa"/>
            <w:tcBorders>
              <w:top w:val="outset" w:color="000000" w:sz="6" w:space="0"/>
              <w:left w:val="outset" w:color="000000" w:sz="6" w:space="0"/>
              <w:bottom w:val="single" w:color="auto" w:sz="4" w:space="0"/>
              <w:right w:val="outset" w:color="000000" w:sz="6" w:space="0"/>
            </w:tcBorders>
            <w:vAlign w:val="center"/>
          </w:tcPr>
          <w:p>
            <w:pPr>
              <w:jc w:val="center"/>
            </w:pPr>
            <w:r>
              <w:t>2</w:t>
            </w:r>
          </w:p>
        </w:tc>
        <w:tc>
          <w:tcPr>
            <w:tcW w:w="1969" w:type="dxa"/>
            <w:tcBorders>
              <w:top w:val="outset" w:color="000000" w:sz="6" w:space="0"/>
              <w:left w:val="outset" w:color="000000" w:sz="6" w:space="0"/>
              <w:bottom w:val="single" w:color="auto" w:sz="4" w:space="0"/>
              <w:right w:val="outset" w:color="000000" w:sz="6" w:space="0"/>
            </w:tcBorders>
            <w:vAlign w:val="center"/>
          </w:tcPr>
          <w:p>
            <w:pPr>
              <w:jc w:val="center"/>
            </w:pPr>
            <w:r>
              <w:t>1</w:t>
            </w:r>
          </w:p>
        </w:tc>
        <w:tc>
          <w:tcPr>
            <w:tcW w:w="1969" w:type="dxa"/>
            <w:tcBorders>
              <w:top w:val="outset" w:color="000000" w:sz="6" w:space="0"/>
              <w:left w:val="outset" w:color="000000" w:sz="6" w:space="0"/>
              <w:bottom w:val="single" w:color="auto" w:sz="4" w:space="0"/>
              <w:right w:val="outset" w:color="000000" w:sz="6" w:space="0"/>
            </w:tcBorders>
            <w:vAlign w:val="center"/>
          </w:tcPr>
          <w:p>
            <w:pPr>
              <w:jc w:val="center"/>
            </w:pPr>
            <w:r>
              <w:t>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Ex>
        <w:trPr>
          <w:trHeight w:val="273" w:hRule="atLeast"/>
          <w:jc w:val="center"/>
        </w:trPr>
        <w:tc>
          <w:tcPr>
            <w:tcW w:w="8860" w:type="dxa"/>
            <w:gridSpan w:val="5"/>
            <w:tcBorders>
              <w:top w:val="outset" w:color="000000" w:sz="6" w:space="0"/>
              <w:left w:val="outset" w:color="000000" w:sz="6" w:space="0"/>
              <w:bottom w:val="outset" w:color="000000" w:sz="6" w:space="0"/>
              <w:right w:val="outset" w:color="000000" w:sz="6" w:space="0"/>
            </w:tcBorders>
            <w:vAlign w:val="center"/>
          </w:tcPr>
          <w:p>
            <w:pPr>
              <w:jc w:val="left"/>
            </w:pPr>
            <w:r>
              <w:t>注：如样品</w:t>
            </w:r>
            <w:r>
              <w:rPr>
                <w:rFonts w:hint="eastAsia"/>
              </w:rPr>
              <w:t>面积</w:t>
            </w:r>
            <w:r>
              <w:t>过小</w:t>
            </w:r>
            <w:r>
              <w:rPr>
                <w:rFonts w:hint="eastAsia"/>
              </w:rPr>
              <w:t>或填充物质量不足时</w:t>
            </w:r>
            <w:r>
              <w:t>，可适当增加抽样数量，但不得超过检验、复检的合理需要。</w:t>
            </w:r>
          </w:p>
        </w:tc>
      </w:tr>
    </w:tbl>
    <w:p>
      <w:pPr>
        <w:widowControl/>
        <w:spacing w:line="360" w:lineRule="auto"/>
        <w:rPr>
          <w:color w:val="000000"/>
          <w:szCs w:val="21"/>
        </w:rPr>
      </w:pPr>
    </w:p>
    <w:p>
      <w:pPr>
        <w:snapToGrid w:val="0"/>
        <w:spacing w:line="440" w:lineRule="exact"/>
        <w:rPr>
          <w:rFonts w:eastAsia="黑体"/>
          <w:color w:val="000000"/>
          <w:szCs w:val="21"/>
        </w:rPr>
      </w:pPr>
      <w:r>
        <w:rPr>
          <w:rFonts w:eastAsia="黑体"/>
          <w:color w:val="000000"/>
          <w:szCs w:val="21"/>
        </w:rPr>
        <w:t>2 检验依据</w:t>
      </w:r>
    </w:p>
    <w:p>
      <w:pPr>
        <w:snapToGrid w:val="0"/>
        <w:spacing w:line="440" w:lineRule="exact"/>
        <w:rPr>
          <w:rFonts w:eastAsia="黑体"/>
          <w:color w:val="000000"/>
          <w:szCs w:val="21"/>
        </w:rPr>
      </w:pPr>
    </w:p>
    <w:tbl>
      <w:tblPr>
        <w:tblStyle w:val="5"/>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3"/>
        <w:gridCol w:w="2707"/>
        <w:gridCol w:w="2707"/>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blHeader/>
          <w:jc w:val="center"/>
        </w:trPr>
        <w:tc>
          <w:tcPr>
            <w:tcW w:w="733" w:type="dxa"/>
            <w:vAlign w:val="center"/>
          </w:tcPr>
          <w:p>
            <w:pPr>
              <w:jc w:val="center"/>
            </w:pPr>
            <w:r>
              <w:t>序号</w:t>
            </w:r>
          </w:p>
        </w:tc>
        <w:tc>
          <w:tcPr>
            <w:tcW w:w="2707" w:type="dxa"/>
            <w:vAlign w:val="center"/>
          </w:tcPr>
          <w:p>
            <w:pPr>
              <w:jc w:val="center"/>
            </w:pPr>
            <w:r>
              <w:t>检验项目</w:t>
            </w:r>
          </w:p>
        </w:tc>
        <w:tc>
          <w:tcPr>
            <w:tcW w:w="2707" w:type="dxa"/>
            <w:vAlign w:val="center"/>
          </w:tcPr>
          <w:p>
            <w:pPr>
              <w:adjustRightInd w:val="0"/>
              <w:snapToGrid w:val="0"/>
              <w:jc w:val="center"/>
              <w:rPr>
                <w:szCs w:val="21"/>
              </w:rPr>
            </w:pPr>
            <w:r>
              <w:rPr>
                <w:szCs w:val="21"/>
              </w:rPr>
              <w:t>检验依据</w:t>
            </w:r>
          </w:p>
        </w:tc>
        <w:tc>
          <w:tcPr>
            <w:tcW w:w="2707" w:type="dxa"/>
            <w:vAlign w:val="center"/>
          </w:tcPr>
          <w:p>
            <w:pPr>
              <w:jc w:val="center"/>
            </w:pPr>
            <w: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33" w:type="dxa"/>
            <w:shd w:val="clear" w:color="auto" w:fill="auto"/>
            <w:vAlign w:val="center"/>
          </w:tcPr>
          <w:p>
            <w:pPr>
              <w:jc w:val="center"/>
            </w:pPr>
            <w:r>
              <w:t>1</w:t>
            </w:r>
          </w:p>
        </w:tc>
        <w:tc>
          <w:tcPr>
            <w:tcW w:w="2707" w:type="dxa"/>
            <w:shd w:val="clear" w:color="auto" w:fill="auto"/>
            <w:vAlign w:val="center"/>
          </w:tcPr>
          <w:p>
            <w:pPr>
              <w:jc w:val="center"/>
              <w:rPr>
                <w:highlight w:val="none"/>
              </w:rPr>
            </w:pPr>
            <w:r>
              <w:rPr>
                <w:highlight w:val="none"/>
              </w:rPr>
              <w:t>纤维成分及含量</w:t>
            </w:r>
          </w:p>
        </w:tc>
        <w:tc>
          <w:tcPr>
            <w:tcW w:w="2707" w:type="dxa"/>
            <w:shd w:val="clear" w:color="auto" w:fill="auto"/>
            <w:vAlign w:val="center"/>
          </w:tcPr>
          <w:p>
            <w:pPr>
              <w:jc w:val="center"/>
            </w:pPr>
            <w:r>
              <w:t>GB/T 29862—2013</w:t>
            </w:r>
          </w:p>
          <w:p>
            <w:pPr>
              <w:jc w:val="center"/>
            </w:pPr>
            <w:r>
              <w:t>相应产品标准</w:t>
            </w:r>
          </w:p>
        </w:tc>
        <w:tc>
          <w:tcPr>
            <w:tcW w:w="2707" w:type="dxa"/>
            <w:shd w:val="clear" w:color="auto" w:fill="FFFFFF"/>
            <w:vAlign w:val="center"/>
          </w:tcPr>
          <w:p>
            <w:pPr>
              <w:jc w:val="center"/>
            </w:pPr>
            <w:r>
              <w:t>FZ/T 01057.1—2007</w:t>
            </w:r>
          </w:p>
          <w:p>
            <w:pPr>
              <w:jc w:val="center"/>
            </w:pPr>
            <w:r>
              <w:t>FZ/T 01057.2—2007</w:t>
            </w:r>
          </w:p>
          <w:p>
            <w:pPr>
              <w:jc w:val="center"/>
            </w:pPr>
            <w:r>
              <w:t>FZ/T 01057.3—2007</w:t>
            </w:r>
          </w:p>
          <w:p>
            <w:pPr>
              <w:jc w:val="center"/>
            </w:pPr>
            <w:r>
              <w:t>FZ/T 01057.4—2007</w:t>
            </w:r>
          </w:p>
          <w:p>
            <w:pPr>
              <w:jc w:val="center"/>
            </w:pPr>
            <w:r>
              <w:t>FZ/T 01057.6—2007</w:t>
            </w:r>
          </w:p>
          <w:p>
            <w:pPr>
              <w:jc w:val="center"/>
            </w:pPr>
            <w:r>
              <w:t>GB/T 2910.1—2009</w:t>
            </w:r>
          </w:p>
          <w:p>
            <w:pPr>
              <w:jc w:val="center"/>
            </w:pPr>
            <w:r>
              <w:t>GB/T 2910.2—2009</w:t>
            </w:r>
          </w:p>
          <w:p>
            <w:pPr>
              <w:jc w:val="center"/>
            </w:pPr>
            <w:r>
              <w:t>GB/T 2910.3—2009</w:t>
            </w:r>
          </w:p>
          <w:p>
            <w:pPr>
              <w:jc w:val="center"/>
            </w:pPr>
            <w:r>
              <w:t>GB/T 2910.4—2022</w:t>
            </w:r>
          </w:p>
          <w:p>
            <w:pPr>
              <w:jc w:val="center"/>
            </w:pPr>
            <w:r>
              <w:t>GB/T 2910.6—2009</w:t>
            </w:r>
          </w:p>
          <w:p>
            <w:pPr>
              <w:jc w:val="center"/>
            </w:pPr>
            <w:r>
              <w:t>GB/T 2910.7—2009</w:t>
            </w:r>
          </w:p>
          <w:p>
            <w:pPr>
              <w:jc w:val="center"/>
            </w:pPr>
            <w:r>
              <w:t>GB/T 2910.8—2009</w:t>
            </w:r>
          </w:p>
          <w:p>
            <w:pPr>
              <w:jc w:val="center"/>
            </w:pPr>
            <w:r>
              <w:t>GB/T 2910.11—2009</w:t>
            </w:r>
          </w:p>
          <w:p>
            <w:pPr>
              <w:jc w:val="center"/>
            </w:pPr>
            <w:r>
              <w:t>GB/T 2910.12—2023</w:t>
            </w:r>
          </w:p>
          <w:p>
            <w:pPr>
              <w:jc w:val="center"/>
            </w:pPr>
            <w:r>
              <w:t>GB/T 2910.18—2009</w:t>
            </w:r>
          </w:p>
          <w:p>
            <w:pPr>
              <w:jc w:val="center"/>
            </w:pPr>
            <w:r>
              <w:t>GB/T 2910.20—2009</w:t>
            </w:r>
          </w:p>
          <w:p>
            <w:pPr>
              <w:jc w:val="center"/>
            </w:pPr>
            <w:r>
              <w:t>GB/T 2910.22—2009</w:t>
            </w:r>
          </w:p>
          <w:p>
            <w:pPr>
              <w:jc w:val="center"/>
            </w:pPr>
            <w:r>
              <w:t>GB/T 2910.1</w:t>
            </w:r>
            <w:r>
              <w:rPr>
                <w:rFonts w:hint="eastAsia"/>
              </w:rPr>
              <w:t>01</w:t>
            </w:r>
            <w:r>
              <w:t>—2009</w:t>
            </w:r>
          </w:p>
          <w:p>
            <w:pPr>
              <w:jc w:val="center"/>
            </w:pPr>
            <w:r>
              <w:t>GB/T 38015</w:t>
            </w:r>
            <w:r>
              <w:rPr>
                <w:rFonts w:hint="eastAsia"/>
              </w:rPr>
              <w:t>—</w:t>
            </w:r>
            <w:r>
              <w:t>2019</w:t>
            </w:r>
          </w:p>
          <w:p>
            <w:pPr>
              <w:jc w:val="center"/>
            </w:pPr>
            <w:r>
              <w:t>FZ/T 01101—2008</w:t>
            </w:r>
          </w:p>
          <w:p>
            <w:pPr>
              <w:jc w:val="center"/>
            </w:pPr>
            <w:r>
              <w:t>FZ/T 01112—2012</w:t>
            </w:r>
          </w:p>
          <w:p>
            <w:pPr>
              <w:jc w:val="center"/>
            </w:pPr>
            <w:r>
              <w:t>FZ/T 01026—2017</w:t>
            </w:r>
          </w:p>
          <w:p>
            <w:pPr>
              <w:jc w:val="center"/>
            </w:pPr>
            <w:r>
              <w:t>FZ/T 30003—2009</w:t>
            </w:r>
          </w:p>
          <w:p>
            <w:pPr>
              <w:jc w:val="center"/>
            </w:pPr>
            <w:r>
              <w:t>GB/T 16988—2013等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33" w:type="dxa"/>
            <w:vAlign w:val="center"/>
          </w:tcPr>
          <w:p>
            <w:pPr>
              <w:jc w:val="center"/>
              <w:rPr>
                <w:rFonts w:hint="eastAsia" w:eastAsia="宋体"/>
                <w:lang w:eastAsia="zh-CN"/>
              </w:rPr>
            </w:pPr>
            <w:r>
              <w:rPr>
                <w:rFonts w:hint="eastAsia"/>
                <w:lang w:val="en-US" w:eastAsia="zh-CN"/>
              </w:rPr>
              <w:t>2</w:t>
            </w:r>
          </w:p>
        </w:tc>
        <w:tc>
          <w:tcPr>
            <w:tcW w:w="2707" w:type="dxa"/>
            <w:vAlign w:val="center"/>
          </w:tcPr>
          <w:p>
            <w:pPr>
              <w:jc w:val="center"/>
              <w:rPr>
                <w:highlight w:val="none"/>
              </w:rPr>
            </w:pPr>
            <w:r>
              <w:rPr>
                <w:highlight w:val="none"/>
              </w:rPr>
              <w:t>绒子含量</w:t>
            </w:r>
          </w:p>
        </w:tc>
        <w:tc>
          <w:tcPr>
            <w:tcW w:w="2707" w:type="dxa"/>
            <w:vAlign w:val="center"/>
          </w:tcPr>
          <w:p>
            <w:pPr>
              <w:jc w:val="center"/>
              <w:rPr>
                <w:szCs w:val="22"/>
              </w:rPr>
            </w:pPr>
            <w:r>
              <w:rPr>
                <w:rFonts w:hint="eastAsia"/>
                <w:szCs w:val="22"/>
              </w:rPr>
              <w:t>GB/T 14272—2021</w:t>
            </w:r>
          </w:p>
          <w:p>
            <w:pPr>
              <w:jc w:val="center"/>
            </w:pPr>
            <w:r>
              <w:rPr>
                <w:rFonts w:hint="eastAsia"/>
                <w:szCs w:val="22"/>
              </w:rPr>
              <w:t>FZ/T 73053—2015</w:t>
            </w:r>
          </w:p>
        </w:tc>
        <w:tc>
          <w:tcPr>
            <w:tcW w:w="2707" w:type="dxa"/>
            <w:vAlign w:val="center"/>
          </w:tcPr>
          <w:p>
            <w:pPr>
              <w:jc w:val="center"/>
              <w:rPr>
                <w:szCs w:val="22"/>
              </w:rPr>
            </w:pPr>
            <w:r>
              <w:rPr>
                <w:rFonts w:hint="eastAsia"/>
                <w:szCs w:val="22"/>
              </w:rPr>
              <w:t>GB/T 14272—2021</w:t>
            </w:r>
          </w:p>
          <w:p>
            <w:pPr>
              <w:jc w:val="center"/>
            </w:pPr>
            <w:r>
              <w:rPr>
                <w:rFonts w:hint="eastAsia"/>
                <w:szCs w:val="22"/>
              </w:rPr>
              <w:t>GB/T 10288—2016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33" w:type="dxa"/>
            <w:vAlign w:val="center"/>
          </w:tcPr>
          <w:p>
            <w:pPr>
              <w:jc w:val="center"/>
              <w:rPr>
                <w:rFonts w:hint="eastAsia" w:eastAsia="宋体"/>
                <w:lang w:eastAsia="zh-CN"/>
              </w:rPr>
            </w:pPr>
            <w:r>
              <w:rPr>
                <w:rFonts w:hint="eastAsia"/>
                <w:lang w:val="en-US" w:eastAsia="zh-CN"/>
              </w:rPr>
              <w:t>3</w:t>
            </w:r>
          </w:p>
        </w:tc>
        <w:tc>
          <w:tcPr>
            <w:tcW w:w="2707" w:type="dxa"/>
            <w:vAlign w:val="center"/>
          </w:tcPr>
          <w:p>
            <w:pPr>
              <w:jc w:val="center"/>
              <w:rPr>
                <w:highlight w:val="none"/>
              </w:rPr>
            </w:pPr>
            <w:r>
              <w:rPr>
                <w:highlight w:val="none"/>
              </w:rPr>
              <w:t>充绒量</w:t>
            </w:r>
          </w:p>
        </w:tc>
        <w:tc>
          <w:tcPr>
            <w:tcW w:w="2707" w:type="dxa"/>
            <w:vAlign w:val="center"/>
          </w:tcPr>
          <w:p>
            <w:pPr>
              <w:jc w:val="center"/>
              <w:rPr>
                <w:szCs w:val="22"/>
              </w:rPr>
            </w:pPr>
            <w:r>
              <w:rPr>
                <w:rFonts w:hint="eastAsia"/>
                <w:szCs w:val="22"/>
              </w:rPr>
              <w:t>GB/T 14272—2011</w:t>
            </w:r>
          </w:p>
          <w:p>
            <w:pPr>
              <w:jc w:val="center"/>
              <w:rPr>
                <w:szCs w:val="22"/>
              </w:rPr>
            </w:pPr>
            <w:r>
              <w:rPr>
                <w:rFonts w:hint="eastAsia"/>
                <w:szCs w:val="22"/>
              </w:rPr>
              <w:t>GB/T 14272—2021</w:t>
            </w:r>
          </w:p>
          <w:p>
            <w:pPr>
              <w:jc w:val="center"/>
              <w:rPr>
                <w:szCs w:val="22"/>
              </w:rPr>
            </w:pPr>
            <w:r>
              <w:rPr>
                <w:rFonts w:hint="eastAsia"/>
                <w:szCs w:val="22"/>
              </w:rPr>
              <w:t>FZ/T 73053—2015</w:t>
            </w:r>
          </w:p>
          <w:p>
            <w:pPr>
              <w:jc w:val="center"/>
              <w:rPr>
                <w:szCs w:val="21"/>
              </w:rPr>
            </w:pPr>
            <w:r>
              <w:rPr>
                <w:szCs w:val="21"/>
              </w:rPr>
              <w:t>相应产品标准</w:t>
            </w:r>
          </w:p>
        </w:tc>
        <w:tc>
          <w:tcPr>
            <w:tcW w:w="2707" w:type="dxa"/>
            <w:vAlign w:val="center"/>
          </w:tcPr>
          <w:p>
            <w:pPr>
              <w:jc w:val="center"/>
              <w:rPr>
                <w:szCs w:val="22"/>
              </w:rPr>
            </w:pPr>
            <w:r>
              <w:rPr>
                <w:rFonts w:hint="eastAsia"/>
                <w:szCs w:val="22"/>
              </w:rPr>
              <w:t>GB/T 14272—2011</w:t>
            </w:r>
          </w:p>
          <w:p>
            <w:pPr>
              <w:jc w:val="center"/>
            </w:pPr>
            <w:r>
              <w:rPr>
                <w:rFonts w:hint="eastAsia"/>
                <w:szCs w:val="22"/>
              </w:rPr>
              <w:t>GB/T 14272—2021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33" w:type="dxa"/>
            <w:vAlign w:val="center"/>
          </w:tcPr>
          <w:p>
            <w:pPr>
              <w:jc w:val="center"/>
              <w:rPr>
                <w:rFonts w:hint="eastAsia" w:eastAsia="宋体"/>
                <w:lang w:eastAsia="zh-CN"/>
              </w:rPr>
            </w:pPr>
            <w:r>
              <w:rPr>
                <w:rFonts w:hint="eastAsia"/>
                <w:lang w:val="en-US" w:eastAsia="zh-CN"/>
              </w:rPr>
              <w:t>4</w:t>
            </w:r>
          </w:p>
        </w:tc>
        <w:tc>
          <w:tcPr>
            <w:tcW w:w="2707" w:type="dxa"/>
            <w:vAlign w:val="center"/>
          </w:tcPr>
          <w:p>
            <w:pPr>
              <w:jc w:val="center"/>
              <w:rPr>
                <w:highlight w:val="none"/>
              </w:rPr>
            </w:pPr>
            <w:r>
              <w:rPr>
                <w:highlight w:val="none"/>
              </w:rPr>
              <w:t>鸭毛（绒）含量</w:t>
            </w:r>
          </w:p>
        </w:tc>
        <w:tc>
          <w:tcPr>
            <w:tcW w:w="2707" w:type="dxa"/>
            <w:vAlign w:val="center"/>
          </w:tcPr>
          <w:p>
            <w:pPr>
              <w:jc w:val="center"/>
              <w:rPr>
                <w:szCs w:val="22"/>
              </w:rPr>
            </w:pPr>
            <w:r>
              <w:rPr>
                <w:rFonts w:hint="eastAsia"/>
                <w:szCs w:val="22"/>
              </w:rPr>
              <w:t>GB/T 14272—2011</w:t>
            </w:r>
          </w:p>
          <w:p>
            <w:pPr>
              <w:jc w:val="center"/>
              <w:rPr>
                <w:szCs w:val="22"/>
              </w:rPr>
            </w:pPr>
            <w:r>
              <w:rPr>
                <w:rFonts w:hint="eastAsia"/>
                <w:szCs w:val="22"/>
              </w:rPr>
              <w:t>GB/T 14272—2021</w:t>
            </w:r>
          </w:p>
          <w:p>
            <w:pPr>
              <w:jc w:val="center"/>
              <w:rPr>
                <w:szCs w:val="22"/>
              </w:rPr>
            </w:pPr>
            <w:r>
              <w:rPr>
                <w:rFonts w:hint="eastAsia"/>
                <w:szCs w:val="22"/>
              </w:rPr>
              <w:t>FZ/T 73053—2015</w:t>
            </w:r>
          </w:p>
          <w:p>
            <w:pPr>
              <w:jc w:val="center"/>
            </w:pPr>
            <w:r>
              <w:rPr>
                <w:szCs w:val="21"/>
              </w:rPr>
              <w:t>相应产品标准</w:t>
            </w:r>
          </w:p>
        </w:tc>
        <w:tc>
          <w:tcPr>
            <w:tcW w:w="2707" w:type="dxa"/>
            <w:vAlign w:val="center"/>
          </w:tcPr>
          <w:p>
            <w:pPr>
              <w:jc w:val="center"/>
              <w:rPr>
                <w:szCs w:val="22"/>
              </w:rPr>
            </w:pPr>
            <w:r>
              <w:rPr>
                <w:rFonts w:hint="eastAsia"/>
                <w:szCs w:val="22"/>
              </w:rPr>
              <w:t>GB/T 14272—2011</w:t>
            </w:r>
          </w:p>
          <w:p>
            <w:pPr>
              <w:jc w:val="center"/>
              <w:rPr>
                <w:szCs w:val="22"/>
              </w:rPr>
            </w:pPr>
            <w:r>
              <w:rPr>
                <w:rFonts w:hint="eastAsia"/>
                <w:szCs w:val="22"/>
              </w:rPr>
              <w:t>GB/T 14272—2021</w:t>
            </w:r>
          </w:p>
          <w:p>
            <w:pPr>
              <w:jc w:val="center"/>
            </w:pPr>
            <w:r>
              <w:rPr>
                <w:rFonts w:hint="eastAsia"/>
                <w:szCs w:val="22"/>
              </w:rPr>
              <w:t>GB/T 10288—2016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33" w:type="dxa"/>
            <w:vAlign w:val="center"/>
          </w:tcPr>
          <w:p>
            <w:pPr>
              <w:jc w:val="center"/>
              <w:rPr>
                <w:rFonts w:hint="eastAsia" w:eastAsia="宋体"/>
                <w:lang w:eastAsia="zh-CN"/>
              </w:rPr>
            </w:pPr>
            <w:r>
              <w:rPr>
                <w:rFonts w:hint="eastAsia"/>
                <w:lang w:val="en-US" w:eastAsia="zh-CN"/>
              </w:rPr>
              <w:t>5</w:t>
            </w:r>
          </w:p>
        </w:tc>
        <w:tc>
          <w:tcPr>
            <w:tcW w:w="2707" w:type="dxa"/>
            <w:vAlign w:val="center"/>
          </w:tcPr>
          <w:p>
            <w:pPr>
              <w:jc w:val="center"/>
              <w:rPr>
                <w:highlight w:val="none"/>
              </w:rPr>
            </w:pPr>
            <w:r>
              <w:rPr>
                <w:rFonts w:hint="eastAsia"/>
                <w:highlight w:val="none"/>
              </w:rPr>
              <w:t>绒丝+羽丝</w:t>
            </w:r>
          </w:p>
        </w:tc>
        <w:tc>
          <w:tcPr>
            <w:tcW w:w="2707" w:type="dxa"/>
            <w:vAlign w:val="center"/>
          </w:tcPr>
          <w:p>
            <w:pPr>
              <w:jc w:val="center"/>
              <w:rPr>
                <w:szCs w:val="22"/>
              </w:rPr>
            </w:pPr>
            <w:r>
              <w:rPr>
                <w:rFonts w:hint="eastAsia"/>
                <w:szCs w:val="22"/>
              </w:rPr>
              <w:t>GB/T 14272—2021</w:t>
            </w:r>
          </w:p>
          <w:p>
            <w:pPr>
              <w:jc w:val="center"/>
              <w:rPr>
                <w:szCs w:val="22"/>
              </w:rPr>
            </w:pPr>
            <w:r>
              <w:rPr>
                <w:rFonts w:hint="eastAsia"/>
                <w:szCs w:val="22"/>
              </w:rPr>
              <w:t>FZ/T 73053—2015</w:t>
            </w:r>
          </w:p>
          <w:p>
            <w:pPr>
              <w:jc w:val="center"/>
            </w:pPr>
            <w:r>
              <w:rPr>
                <w:szCs w:val="21"/>
              </w:rPr>
              <w:t>相应产品标准</w:t>
            </w:r>
          </w:p>
        </w:tc>
        <w:tc>
          <w:tcPr>
            <w:tcW w:w="2707" w:type="dxa"/>
            <w:vAlign w:val="center"/>
          </w:tcPr>
          <w:p>
            <w:pPr>
              <w:jc w:val="center"/>
              <w:rPr>
                <w:szCs w:val="22"/>
              </w:rPr>
            </w:pPr>
            <w:r>
              <w:rPr>
                <w:rFonts w:hint="eastAsia"/>
                <w:szCs w:val="22"/>
              </w:rPr>
              <w:t>GB/T 14272—2021</w:t>
            </w:r>
          </w:p>
          <w:p>
            <w:pPr>
              <w:jc w:val="center"/>
            </w:pPr>
            <w:r>
              <w:rPr>
                <w:rFonts w:hint="eastAsia"/>
                <w:szCs w:val="22"/>
              </w:rPr>
              <w:t>GB/T 10288—2016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33" w:type="dxa"/>
            <w:vAlign w:val="center"/>
          </w:tcPr>
          <w:p>
            <w:pPr>
              <w:jc w:val="center"/>
              <w:rPr>
                <w:rFonts w:hint="eastAsia" w:eastAsia="宋体"/>
                <w:lang w:eastAsia="zh-CN"/>
              </w:rPr>
            </w:pPr>
            <w:r>
              <w:rPr>
                <w:rFonts w:hint="eastAsia"/>
                <w:lang w:val="en-US" w:eastAsia="zh-CN"/>
              </w:rPr>
              <w:t>6</w:t>
            </w:r>
          </w:p>
        </w:tc>
        <w:tc>
          <w:tcPr>
            <w:tcW w:w="2707" w:type="dxa"/>
            <w:vAlign w:val="center"/>
          </w:tcPr>
          <w:p>
            <w:pPr>
              <w:jc w:val="center"/>
              <w:rPr>
                <w:highlight w:val="none"/>
              </w:rPr>
            </w:pPr>
            <w:r>
              <w:rPr>
                <w:rFonts w:hint="eastAsia"/>
                <w:highlight w:val="none"/>
              </w:rPr>
              <w:t>蓬松度</w:t>
            </w:r>
          </w:p>
        </w:tc>
        <w:tc>
          <w:tcPr>
            <w:tcW w:w="2707" w:type="dxa"/>
            <w:vAlign w:val="center"/>
          </w:tcPr>
          <w:p>
            <w:pPr>
              <w:jc w:val="center"/>
              <w:rPr>
                <w:szCs w:val="22"/>
              </w:rPr>
            </w:pPr>
            <w:r>
              <w:rPr>
                <w:rFonts w:hint="eastAsia"/>
                <w:szCs w:val="22"/>
              </w:rPr>
              <w:t>GB/T 14272—2011</w:t>
            </w:r>
          </w:p>
          <w:p>
            <w:pPr>
              <w:jc w:val="center"/>
              <w:rPr>
                <w:szCs w:val="22"/>
              </w:rPr>
            </w:pPr>
            <w:r>
              <w:rPr>
                <w:rFonts w:hint="eastAsia"/>
                <w:szCs w:val="22"/>
              </w:rPr>
              <w:t>GB/T 14272—2021</w:t>
            </w:r>
          </w:p>
          <w:p>
            <w:pPr>
              <w:jc w:val="center"/>
              <w:rPr>
                <w:szCs w:val="22"/>
              </w:rPr>
            </w:pPr>
            <w:r>
              <w:rPr>
                <w:rFonts w:hint="eastAsia"/>
                <w:szCs w:val="22"/>
              </w:rPr>
              <w:t>FZ/T 73053—2015</w:t>
            </w:r>
          </w:p>
          <w:p>
            <w:pPr>
              <w:jc w:val="center"/>
            </w:pPr>
            <w:r>
              <w:rPr>
                <w:szCs w:val="21"/>
              </w:rPr>
              <w:t>相应产品标准</w:t>
            </w:r>
          </w:p>
        </w:tc>
        <w:tc>
          <w:tcPr>
            <w:tcW w:w="2707" w:type="dxa"/>
            <w:vAlign w:val="center"/>
          </w:tcPr>
          <w:p>
            <w:pPr>
              <w:jc w:val="center"/>
              <w:rPr>
                <w:szCs w:val="22"/>
              </w:rPr>
            </w:pPr>
            <w:r>
              <w:rPr>
                <w:rFonts w:hint="eastAsia"/>
                <w:szCs w:val="22"/>
              </w:rPr>
              <w:t>GB/T 14272—2011</w:t>
            </w:r>
          </w:p>
          <w:p>
            <w:pPr>
              <w:jc w:val="center"/>
              <w:rPr>
                <w:szCs w:val="22"/>
              </w:rPr>
            </w:pPr>
            <w:r>
              <w:rPr>
                <w:rFonts w:hint="eastAsia"/>
                <w:szCs w:val="22"/>
              </w:rPr>
              <w:t>GB/T 14272—2021</w:t>
            </w:r>
          </w:p>
          <w:p>
            <w:pPr>
              <w:jc w:val="center"/>
            </w:pPr>
            <w:r>
              <w:rPr>
                <w:rFonts w:hint="eastAsia"/>
                <w:szCs w:val="22"/>
              </w:rPr>
              <w:t>GB/T 10288—2016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33" w:type="dxa"/>
            <w:vAlign w:val="center"/>
          </w:tcPr>
          <w:p>
            <w:pPr>
              <w:jc w:val="center"/>
              <w:rPr>
                <w:rFonts w:hint="eastAsia" w:eastAsia="宋体"/>
                <w:lang w:eastAsia="zh-CN"/>
              </w:rPr>
            </w:pPr>
            <w:r>
              <w:rPr>
                <w:rFonts w:hint="eastAsia"/>
                <w:lang w:val="en-US" w:eastAsia="zh-CN"/>
              </w:rPr>
              <w:t>7</w:t>
            </w:r>
          </w:p>
        </w:tc>
        <w:tc>
          <w:tcPr>
            <w:tcW w:w="2707" w:type="dxa"/>
            <w:vAlign w:val="center"/>
          </w:tcPr>
          <w:p>
            <w:pPr>
              <w:jc w:val="center"/>
              <w:rPr>
                <w:highlight w:val="none"/>
              </w:rPr>
            </w:pPr>
            <w:r>
              <w:rPr>
                <w:rFonts w:hint="eastAsia"/>
                <w:highlight w:val="none"/>
              </w:rPr>
              <w:t>耗氧量</w:t>
            </w:r>
          </w:p>
        </w:tc>
        <w:tc>
          <w:tcPr>
            <w:tcW w:w="2707" w:type="dxa"/>
            <w:vAlign w:val="center"/>
          </w:tcPr>
          <w:p>
            <w:pPr>
              <w:jc w:val="center"/>
              <w:rPr>
                <w:szCs w:val="22"/>
              </w:rPr>
            </w:pPr>
            <w:r>
              <w:rPr>
                <w:rFonts w:hint="eastAsia"/>
                <w:szCs w:val="22"/>
              </w:rPr>
              <w:t>GB/T 14272—2011</w:t>
            </w:r>
          </w:p>
          <w:p>
            <w:pPr>
              <w:jc w:val="center"/>
              <w:rPr>
                <w:szCs w:val="22"/>
              </w:rPr>
            </w:pPr>
            <w:r>
              <w:rPr>
                <w:rFonts w:hint="eastAsia"/>
                <w:szCs w:val="22"/>
              </w:rPr>
              <w:t>GB/T 14272—2021</w:t>
            </w:r>
          </w:p>
          <w:p>
            <w:pPr>
              <w:jc w:val="center"/>
              <w:rPr>
                <w:szCs w:val="22"/>
              </w:rPr>
            </w:pPr>
            <w:r>
              <w:rPr>
                <w:rFonts w:hint="eastAsia"/>
                <w:szCs w:val="22"/>
              </w:rPr>
              <w:t>FZ/T 73053—2015</w:t>
            </w:r>
          </w:p>
          <w:p>
            <w:pPr>
              <w:jc w:val="center"/>
            </w:pPr>
            <w:r>
              <w:rPr>
                <w:szCs w:val="21"/>
              </w:rPr>
              <w:t>相应产品标准</w:t>
            </w:r>
          </w:p>
        </w:tc>
        <w:tc>
          <w:tcPr>
            <w:tcW w:w="2707" w:type="dxa"/>
            <w:vAlign w:val="center"/>
          </w:tcPr>
          <w:p>
            <w:pPr>
              <w:jc w:val="center"/>
              <w:rPr>
                <w:szCs w:val="22"/>
              </w:rPr>
            </w:pPr>
            <w:r>
              <w:rPr>
                <w:rFonts w:hint="eastAsia"/>
                <w:szCs w:val="22"/>
              </w:rPr>
              <w:t>GB/T 14272—2011</w:t>
            </w:r>
          </w:p>
          <w:p>
            <w:pPr>
              <w:jc w:val="center"/>
              <w:rPr>
                <w:szCs w:val="22"/>
              </w:rPr>
            </w:pPr>
            <w:r>
              <w:rPr>
                <w:rFonts w:hint="eastAsia"/>
                <w:szCs w:val="22"/>
              </w:rPr>
              <w:t>GB/T 14272—2021</w:t>
            </w:r>
          </w:p>
          <w:p>
            <w:pPr>
              <w:jc w:val="center"/>
            </w:pPr>
            <w:r>
              <w:rPr>
                <w:rFonts w:hint="eastAsia"/>
                <w:szCs w:val="22"/>
              </w:rPr>
              <w:t>GB/T 10288—2016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33" w:type="dxa"/>
            <w:vAlign w:val="center"/>
          </w:tcPr>
          <w:p>
            <w:pPr>
              <w:jc w:val="center"/>
              <w:rPr>
                <w:rFonts w:hint="eastAsia" w:eastAsia="宋体"/>
                <w:lang w:eastAsia="zh-CN"/>
              </w:rPr>
            </w:pPr>
            <w:r>
              <w:rPr>
                <w:rFonts w:hint="eastAsia"/>
                <w:lang w:val="en-US" w:eastAsia="zh-CN"/>
              </w:rPr>
              <w:t>8</w:t>
            </w:r>
            <w:bookmarkStart w:id="0" w:name="_GoBack"/>
            <w:bookmarkEnd w:id="0"/>
          </w:p>
        </w:tc>
        <w:tc>
          <w:tcPr>
            <w:tcW w:w="2707" w:type="dxa"/>
            <w:vAlign w:val="center"/>
          </w:tcPr>
          <w:p>
            <w:pPr>
              <w:jc w:val="center"/>
              <w:rPr>
                <w:highlight w:val="none"/>
              </w:rPr>
            </w:pPr>
            <w:r>
              <w:rPr>
                <w:rFonts w:hint="eastAsia"/>
                <w:highlight w:val="none"/>
              </w:rPr>
              <w:t>清洁度</w:t>
            </w:r>
          </w:p>
        </w:tc>
        <w:tc>
          <w:tcPr>
            <w:tcW w:w="2707" w:type="dxa"/>
            <w:vAlign w:val="center"/>
          </w:tcPr>
          <w:p>
            <w:pPr>
              <w:jc w:val="center"/>
              <w:rPr>
                <w:szCs w:val="22"/>
              </w:rPr>
            </w:pPr>
            <w:r>
              <w:rPr>
                <w:rFonts w:hint="eastAsia"/>
                <w:szCs w:val="22"/>
              </w:rPr>
              <w:t>GB/T 14272—2011</w:t>
            </w:r>
          </w:p>
          <w:p>
            <w:pPr>
              <w:jc w:val="center"/>
              <w:rPr>
                <w:szCs w:val="22"/>
              </w:rPr>
            </w:pPr>
            <w:r>
              <w:rPr>
                <w:rFonts w:hint="eastAsia"/>
                <w:szCs w:val="22"/>
              </w:rPr>
              <w:t>GB/T 14272—2021</w:t>
            </w:r>
          </w:p>
          <w:p>
            <w:pPr>
              <w:jc w:val="center"/>
              <w:rPr>
                <w:szCs w:val="22"/>
              </w:rPr>
            </w:pPr>
            <w:r>
              <w:rPr>
                <w:rFonts w:hint="eastAsia"/>
                <w:szCs w:val="22"/>
              </w:rPr>
              <w:t>FZ/T 73053—2015</w:t>
            </w:r>
          </w:p>
          <w:p>
            <w:pPr>
              <w:jc w:val="center"/>
            </w:pPr>
            <w:r>
              <w:rPr>
                <w:szCs w:val="21"/>
              </w:rPr>
              <w:t>相应产品标准</w:t>
            </w:r>
          </w:p>
        </w:tc>
        <w:tc>
          <w:tcPr>
            <w:tcW w:w="2707" w:type="dxa"/>
            <w:vAlign w:val="center"/>
          </w:tcPr>
          <w:p>
            <w:pPr>
              <w:jc w:val="center"/>
              <w:rPr>
                <w:szCs w:val="22"/>
              </w:rPr>
            </w:pPr>
            <w:r>
              <w:rPr>
                <w:rFonts w:hint="eastAsia"/>
                <w:szCs w:val="22"/>
              </w:rPr>
              <w:t>GB/T 14272—2011</w:t>
            </w:r>
          </w:p>
          <w:p>
            <w:pPr>
              <w:jc w:val="center"/>
              <w:rPr>
                <w:szCs w:val="22"/>
              </w:rPr>
            </w:pPr>
            <w:r>
              <w:rPr>
                <w:rFonts w:hint="eastAsia"/>
                <w:szCs w:val="22"/>
              </w:rPr>
              <w:t>GB/T 14272—2021</w:t>
            </w:r>
          </w:p>
          <w:p>
            <w:pPr>
              <w:jc w:val="center"/>
            </w:pPr>
            <w:r>
              <w:rPr>
                <w:rFonts w:hint="eastAsia"/>
                <w:szCs w:val="22"/>
              </w:rPr>
              <w:t>GB/T 10288—2016</w:t>
            </w:r>
          </w:p>
        </w:tc>
      </w:tr>
    </w:tbl>
    <w:p>
      <w:pPr>
        <w:snapToGrid w:val="0"/>
        <w:spacing w:line="440" w:lineRule="exact"/>
        <w:ind w:firstLine="420" w:firstLineChars="200"/>
        <w:rPr>
          <w:color w:val="000000"/>
          <w:szCs w:val="21"/>
        </w:rPr>
      </w:pPr>
      <w:r>
        <w:rPr>
          <w:color w:val="000000"/>
          <w:szCs w:val="21"/>
        </w:rPr>
        <w:t>执行企业标准、团体标准、地方标准的产品，检验项目参照上述内容执行。</w:t>
      </w:r>
    </w:p>
    <w:p>
      <w:pPr>
        <w:snapToGrid w:val="0"/>
        <w:spacing w:line="440" w:lineRule="exact"/>
        <w:ind w:firstLine="420" w:firstLineChars="200"/>
        <w:rPr>
          <w:color w:val="000000"/>
          <w:szCs w:val="21"/>
        </w:rPr>
      </w:pPr>
      <w:r>
        <w:rPr>
          <w:color w:val="000000"/>
          <w:szCs w:val="21"/>
        </w:rPr>
        <w:t>凡是注日期的文件，其随后所有的修改单（不包括勘误的内容）或修订版不适用于本细则。凡是不注日期的文件，其最新版本适用于本细则。</w:t>
      </w:r>
    </w:p>
    <w:p>
      <w:pPr>
        <w:spacing w:line="440" w:lineRule="exact"/>
        <w:rPr>
          <w:rFonts w:eastAsia="黑体"/>
          <w:color w:val="000000"/>
          <w:szCs w:val="21"/>
        </w:rPr>
      </w:pPr>
    </w:p>
    <w:p>
      <w:pPr>
        <w:spacing w:line="440" w:lineRule="exact"/>
        <w:rPr>
          <w:rFonts w:eastAsia="黑体"/>
          <w:color w:val="000000"/>
          <w:szCs w:val="21"/>
        </w:rPr>
      </w:pPr>
      <w:r>
        <w:rPr>
          <w:rFonts w:eastAsia="黑体"/>
          <w:color w:val="000000"/>
          <w:szCs w:val="21"/>
        </w:rPr>
        <w:t>3 判定规则</w:t>
      </w:r>
    </w:p>
    <w:p>
      <w:pPr>
        <w:snapToGrid w:val="0"/>
        <w:spacing w:line="440" w:lineRule="exact"/>
        <w:rPr>
          <w:color w:val="000000"/>
          <w:szCs w:val="21"/>
        </w:rPr>
      </w:pPr>
      <w:r>
        <w:rPr>
          <w:color w:val="000000"/>
          <w:szCs w:val="21"/>
        </w:rPr>
        <w:t>3.1依据标准</w:t>
      </w:r>
    </w:p>
    <w:p>
      <w:pPr>
        <w:snapToGrid w:val="0"/>
        <w:spacing w:line="440" w:lineRule="exact"/>
        <w:ind w:firstLine="420" w:firstLineChars="200"/>
        <w:rPr>
          <w:color w:val="000000"/>
          <w:szCs w:val="21"/>
        </w:rPr>
      </w:pPr>
      <w:r>
        <w:rPr>
          <w:color w:val="000000"/>
          <w:szCs w:val="21"/>
        </w:rPr>
        <w:t>GB/T 29862</w:t>
      </w:r>
      <w:r>
        <w:rPr>
          <w:rFonts w:hint="eastAsia"/>
          <w:szCs w:val="22"/>
        </w:rPr>
        <w:t>—</w:t>
      </w:r>
      <w:r>
        <w:rPr>
          <w:color w:val="000000"/>
          <w:szCs w:val="21"/>
        </w:rPr>
        <w:t>2013</w:t>
      </w:r>
      <w:r>
        <w:rPr>
          <w:rFonts w:hint="eastAsia"/>
          <w:color w:val="000000"/>
          <w:szCs w:val="21"/>
        </w:rPr>
        <w:t>《</w:t>
      </w:r>
      <w:r>
        <w:rPr>
          <w:color w:val="000000"/>
          <w:szCs w:val="21"/>
        </w:rPr>
        <w:t>纺织品 纤维含量的标识</w:t>
      </w:r>
      <w:r>
        <w:rPr>
          <w:rFonts w:hint="eastAsia"/>
          <w:color w:val="000000"/>
          <w:szCs w:val="21"/>
        </w:rPr>
        <w:t>》</w:t>
      </w:r>
    </w:p>
    <w:p>
      <w:pPr>
        <w:snapToGrid w:val="0"/>
        <w:spacing w:line="440" w:lineRule="exact"/>
        <w:ind w:firstLine="420" w:firstLineChars="200"/>
        <w:rPr>
          <w:color w:val="000000"/>
          <w:szCs w:val="21"/>
        </w:rPr>
      </w:pPr>
      <w:r>
        <w:rPr>
          <w:rFonts w:hint="eastAsia"/>
          <w:color w:val="000000"/>
          <w:szCs w:val="21"/>
        </w:rPr>
        <w:t>GB 18401</w:t>
      </w:r>
      <w:r>
        <w:rPr>
          <w:rFonts w:hint="eastAsia"/>
          <w:szCs w:val="22"/>
        </w:rPr>
        <w:t>—</w:t>
      </w:r>
      <w:r>
        <w:rPr>
          <w:rFonts w:hint="eastAsia"/>
          <w:color w:val="000000"/>
          <w:szCs w:val="21"/>
        </w:rPr>
        <w:t>2010《国家纺织产品基本安全技术规范》</w:t>
      </w:r>
    </w:p>
    <w:p>
      <w:pPr>
        <w:snapToGrid w:val="0"/>
        <w:spacing w:line="440" w:lineRule="exact"/>
        <w:ind w:firstLine="420" w:firstLineChars="200"/>
      </w:pPr>
      <w:r>
        <w:t>GB/T 5296.4</w:t>
      </w:r>
      <w:r>
        <w:rPr>
          <w:rFonts w:hint="eastAsia"/>
          <w:szCs w:val="22"/>
        </w:rPr>
        <w:t>—</w:t>
      </w:r>
      <w:r>
        <w:rPr>
          <w:rFonts w:hint="eastAsia"/>
        </w:rPr>
        <w:t>2012《消费品使用说明 第4部分：纺织品和服装》</w:t>
      </w:r>
    </w:p>
    <w:p>
      <w:pPr>
        <w:snapToGrid w:val="0"/>
        <w:spacing w:line="440" w:lineRule="exact"/>
        <w:ind w:firstLine="420" w:firstLineChars="200"/>
      </w:pPr>
      <w:r>
        <w:rPr>
          <w:rFonts w:hint="eastAsia"/>
        </w:rPr>
        <w:t>G</w:t>
      </w:r>
      <w:r>
        <w:t>B/T 14272</w:t>
      </w:r>
      <w:r>
        <w:rPr>
          <w:rFonts w:hint="eastAsia"/>
          <w:szCs w:val="22"/>
        </w:rPr>
        <w:t>—</w:t>
      </w:r>
      <w:r>
        <w:rPr>
          <w:rFonts w:hint="eastAsia"/>
        </w:rPr>
        <w:t>2011《羽绒服装》</w:t>
      </w:r>
    </w:p>
    <w:p>
      <w:pPr>
        <w:snapToGrid w:val="0"/>
        <w:spacing w:line="440" w:lineRule="exact"/>
        <w:ind w:firstLine="420" w:firstLineChars="200"/>
      </w:pPr>
      <w:r>
        <w:rPr>
          <w:rFonts w:hint="eastAsia"/>
        </w:rPr>
        <w:t>G</w:t>
      </w:r>
      <w:r>
        <w:t>B/T 14272</w:t>
      </w:r>
      <w:r>
        <w:rPr>
          <w:rFonts w:hint="eastAsia"/>
          <w:szCs w:val="22"/>
        </w:rPr>
        <w:t>—</w:t>
      </w:r>
      <w:r>
        <w:rPr>
          <w:rFonts w:hint="eastAsia"/>
        </w:rPr>
        <w:t>2021《羽绒服装》</w:t>
      </w:r>
    </w:p>
    <w:p>
      <w:pPr>
        <w:snapToGrid w:val="0"/>
        <w:spacing w:line="440" w:lineRule="exact"/>
        <w:ind w:firstLine="420" w:firstLineChars="200"/>
      </w:pPr>
      <w:r>
        <w:rPr>
          <w:rFonts w:hint="eastAsia"/>
        </w:rPr>
        <w:t>FZ/T 73053</w:t>
      </w:r>
      <w:r>
        <w:rPr>
          <w:rFonts w:hint="eastAsia"/>
          <w:szCs w:val="22"/>
        </w:rPr>
        <w:t>—</w:t>
      </w:r>
      <w:r>
        <w:rPr>
          <w:rFonts w:hint="eastAsia"/>
        </w:rPr>
        <w:t>2015《针织羽绒服装》</w:t>
      </w:r>
    </w:p>
    <w:p>
      <w:pPr>
        <w:snapToGrid w:val="0"/>
        <w:spacing w:line="440" w:lineRule="exact"/>
        <w:ind w:firstLine="420" w:firstLineChars="200"/>
        <w:rPr>
          <w:color w:val="000000"/>
          <w:szCs w:val="21"/>
        </w:rPr>
      </w:pPr>
      <w:r>
        <w:rPr>
          <w:color w:val="000000"/>
          <w:szCs w:val="21"/>
        </w:rPr>
        <w:t>现行有效的企业标准、团体标准、地方标准及产品明示质量要求</w:t>
      </w:r>
    </w:p>
    <w:p>
      <w:pPr>
        <w:snapToGrid w:val="0"/>
        <w:spacing w:line="440" w:lineRule="exact"/>
        <w:rPr>
          <w:color w:val="000000"/>
          <w:szCs w:val="21"/>
        </w:rPr>
      </w:pPr>
      <w:r>
        <w:rPr>
          <w:color w:val="000000"/>
          <w:szCs w:val="21"/>
        </w:rPr>
        <w:t>3.2判定原则</w:t>
      </w:r>
    </w:p>
    <w:p>
      <w:pPr>
        <w:snapToGrid w:val="0"/>
        <w:spacing w:line="440" w:lineRule="exact"/>
        <w:ind w:firstLine="420" w:firstLineChars="200"/>
        <w:rPr>
          <w:szCs w:val="21"/>
        </w:rPr>
      </w:pPr>
      <w:r>
        <w:rPr>
          <w:szCs w:val="21"/>
        </w:rPr>
        <w:t>经检验，检验项目全部合格，判定为被抽查产品所检项目未发现不合格；检验项目中任一项或一项以上不合格，判定为被抽查产品不合格。</w:t>
      </w:r>
    </w:p>
    <w:p>
      <w:pPr>
        <w:snapToGrid w:val="0"/>
        <w:spacing w:line="440" w:lineRule="exact"/>
        <w:ind w:firstLine="420" w:firstLineChars="200"/>
        <w:rPr>
          <w:color w:val="000000"/>
          <w:szCs w:val="21"/>
        </w:rPr>
      </w:pPr>
      <w:r>
        <w:rPr>
          <w:color w:val="000000"/>
          <w:szCs w:val="21"/>
        </w:rPr>
        <w:t>若被检产品明示的质量要求高于本细则中检验项目依据的标准要求时，应按被检产品明示的质量要求判定。</w:t>
      </w:r>
    </w:p>
    <w:p>
      <w:pPr>
        <w:snapToGrid w:val="0"/>
        <w:spacing w:line="440" w:lineRule="exact"/>
        <w:ind w:firstLine="420" w:firstLineChars="200"/>
        <w:rPr>
          <w:color w:val="000000"/>
          <w:szCs w:val="21"/>
        </w:rPr>
      </w:pPr>
      <w:r>
        <w:rPr>
          <w:color w:val="000000"/>
          <w:szCs w:val="21"/>
        </w:rPr>
        <w:t>若被检产品明示的质量要求低于本细则中检验项目依据的强制性标准要求时，应按照强制性标准要求判定。</w:t>
      </w:r>
    </w:p>
    <w:p>
      <w:pPr>
        <w:snapToGrid w:val="0"/>
        <w:spacing w:line="440" w:lineRule="exact"/>
        <w:ind w:firstLine="420" w:firstLineChars="200"/>
        <w:rPr>
          <w:color w:val="000000"/>
          <w:szCs w:val="21"/>
        </w:rPr>
      </w:pPr>
      <w:r>
        <w:rPr>
          <w:color w:val="000000"/>
          <w:szCs w:val="21"/>
        </w:rPr>
        <w:t>若被检产品明示的质量要求低于或包含本细则中检验项目依据的推荐性标准要求时，应以被检产品明示的质量要求判定。</w:t>
      </w:r>
    </w:p>
    <w:p>
      <w:pPr>
        <w:snapToGrid w:val="0"/>
        <w:spacing w:line="440" w:lineRule="exact"/>
        <w:ind w:firstLine="420" w:firstLineChars="200"/>
        <w:rPr>
          <w:color w:val="000000"/>
          <w:szCs w:val="21"/>
        </w:rPr>
      </w:pPr>
      <w:r>
        <w:rPr>
          <w:color w:val="000000"/>
          <w:szCs w:val="21"/>
        </w:rPr>
        <w:t>若被检产品明示的质量要求缺少本细则中检验项目依据的强制性标准要求时，应按照强制性标准要求判定。</w:t>
      </w:r>
    </w:p>
    <w:p>
      <w:pPr>
        <w:snapToGrid w:val="0"/>
        <w:spacing w:line="440" w:lineRule="exact"/>
        <w:ind w:firstLine="420" w:firstLineChars="200"/>
        <w:rPr>
          <w:color w:val="000000"/>
          <w:szCs w:val="21"/>
        </w:rPr>
      </w:pPr>
      <w:r>
        <w:rPr>
          <w:color w:val="000000"/>
          <w:szCs w:val="21"/>
        </w:rPr>
        <w:t>若被检产品明示的质量要求缺少本细则中检验项目依据的推荐性标准要求时，该项目不参与判定。</w:t>
      </w:r>
    </w:p>
    <w:p/>
    <w:sectPr>
      <w:headerReference r:id="rId4" w:type="default"/>
      <w:footerReference r:id="rId5"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宋体" w:cs="Times New Roman"/>
        <w:kern w:val="2"/>
        <w:sz w:val="18"/>
        <w:szCs w:val="18"/>
        <w:lang w:val="en-US" w:eastAsia="zh-CN" w:bidi="ar-SA"/>
      </w:rPr>
      <w:pict>
        <v:rect id="Quad Arrow 1" o:spid="_x0000_s1025" style="position:absolute;left:0;margin-top:0pt;height:10.35pt;width:4.55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49A57FCA"/>
    <w:rsid w:val="33E456F4"/>
    <w:rsid w:val="49A57FCA"/>
    <w:rsid w:val="5B160243"/>
    <w:rsid w:val="6ECE19BF"/>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1304</Words>
  <Characters>2361</Characters>
  <Lines>0</Lines>
  <Paragraphs>0</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2025-05-23T03:09:00Z</dcterms:created>
  <dc:creator>冯伟</dc:creator>
  <cp:lastModifiedBy>孙晓刚</cp:lastModifiedBy>
  <dcterms:modified xsi:type="dcterms:W3CDTF">2025-05-30T03:10:51Z</dcterms:modified>
  <dc:title>2025年北京市东城区羽绒服产品质量监督抽查实施细则</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y fmtid="{D5CDD505-2E9C-101B-9397-08002B2CF9AE}" pid="3" name="ICV">
    <vt:lpwstr>1A47E134BC684343A6C3F28CD90528D3_11</vt:lpwstr>
  </property>
  <property fmtid="{D5CDD505-2E9C-101B-9397-08002B2CF9AE}" pid="4" name="KSOTemplateDocerSaveRecord">
    <vt:lpwstr>eyJoZGlkIjoiMGE0NTk2NGVkNWVmYTVjOTI5ZjBlYThlMGI3YTAxODIiLCJ1c2VySWQiOiIzNjk2MTAwMzIifQ==</vt:lpwstr>
  </property>
</Properties>
</file>