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napToGrid w:val="0"/>
        <w:spacing w:line="440" w:lineRule="exact"/>
        <w:jc w:val="center"/>
        <w:rPr>
          <w:rFonts w:eastAsia="方正小标宋简体"/>
          <w:color w:val="000000"/>
          <w:sz w:val="32"/>
          <w:szCs w:val="32"/>
          <w:highlight w:val="none"/>
        </w:rPr>
      </w:pPr>
      <w:r>
        <w:rPr>
          <w:rFonts w:eastAsia="方正小标宋简体"/>
          <w:color w:val="000000"/>
          <w:sz w:val="32"/>
          <w:szCs w:val="32"/>
          <w:highlight w:val="none"/>
        </w:rPr>
        <w:t>202</w:t>
      </w:r>
      <w:r>
        <w:rPr>
          <w:rFonts w:hint="eastAsia" w:eastAsia="方正小标宋简体"/>
          <w:color w:val="000000"/>
          <w:sz w:val="32"/>
          <w:szCs w:val="32"/>
          <w:highlight w:val="none"/>
          <w:lang w:val="en-US" w:eastAsia="zh-CN"/>
        </w:rPr>
        <w:t>5</w:t>
      </w:r>
      <w:r>
        <w:rPr>
          <w:rFonts w:eastAsia="方正小标宋简体"/>
          <w:color w:val="000000"/>
          <w:sz w:val="32"/>
          <w:szCs w:val="32"/>
          <w:highlight w:val="none"/>
        </w:rPr>
        <w:t>年北京市</w:t>
      </w:r>
      <w:r>
        <w:rPr>
          <w:rFonts w:hint="eastAsia" w:eastAsia="方正小标宋简体"/>
          <w:color w:val="000000"/>
          <w:sz w:val="32"/>
          <w:szCs w:val="32"/>
          <w:highlight w:val="none"/>
          <w:lang w:val="en-US" w:eastAsia="zh-CN"/>
        </w:rPr>
        <w:t>东城区</w:t>
      </w:r>
      <w:bookmarkStart w:id="0" w:name="_GoBack"/>
      <w:bookmarkEnd w:id="0"/>
      <w:r>
        <w:rPr>
          <w:rFonts w:hint="eastAsia" w:eastAsia="方正小标宋简体"/>
          <w:color w:val="000000"/>
          <w:sz w:val="32"/>
          <w:szCs w:val="32"/>
          <w:highlight w:val="none"/>
          <w:lang w:val="en-US" w:eastAsia="zh-CN"/>
        </w:rPr>
        <w:t>成人</w:t>
      </w:r>
      <w:r>
        <w:rPr>
          <w:rFonts w:eastAsia="方正小标宋简体"/>
          <w:color w:val="000000"/>
          <w:sz w:val="32"/>
          <w:szCs w:val="32"/>
          <w:highlight w:val="none"/>
        </w:rPr>
        <w:t>服装产品质量监督抽查实施细则</w:t>
      </w:r>
    </w:p>
    <w:p>
      <w:pPr>
        <w:snapToGrid w:val="0"/>
        <w:spacing w:line="440" w:lineRule="exact"/>
        <w:rPr>
          <w:rFonts w:eastAsia="黑体"/>
          <w:color w:val="000000"/>
          <w:szCs w:val="21"/>
          <w:highlight w:val="none"/>
        </w:rPr>
      </w:pPr>
    </w:p>
    <w:p>
      <w:pPr>
        <w:snapToGrid w:val="0"/>
        <w:spacing w:line="440" w:lineRule="exact"/>
        <w:rPr>
          <w:rFonts w:eastAsia="黑体"/>
          <w:color w:val="000000"/>
          <w:szCs w:val="21"/>
          <w:highlight w:val="none"/>
        </w:rPr>
      </w:pPr>
      <w:r>
        <w:rPr>
          <w:rFonts w:eastAsia="黑体"/>
          <w:color w:val="000000"/>
          <w:szCs w:val="21"/>
          <w:highlight w:val="none"/>
        </w:rPr>
        <w:t>1 抽样方法</w:t>
      </w:r>
    </w:p>
    <w:p>
      <w:pPr>
        <w:snapToGrid w:val="0"/>
        <w:spacing w:line="440" w:lineRule="exact"/>
        <w:ind w:firstLine="420" w:firstLineChars="200"/>
        <w:rPr>
          <w:color w:val="000000"/>
          <w:szCs w:val="21"/>
          <w:highlight w:val="none"/>
        </w:rPr>
      </w:pPr>
      <w:r>
        <w:rPr>
          <w:color w:val="000000"/>
          <w:szCs w:val="21"/>
          <w:highlight w:val="none"/>
        </w:rPr>
        <w:t>以随机抽样的方式在被抽样生产者、销售者的待销产品中抽取。</w:t>
      </w:r>
    </w:p>
    <w:p>
      <w:pPr>
        <w:snapToGrid w:val="0"/>
        <w:spacing w:line="440" w:lineRule="exact"/>
        <w:ind w:firstLine="420" w:firstLineChars="200"/>
        <w:rPr>
          <w:color w:val="000000"/>
          <w:szCs w:val="21"/>
          <w:highlight w:val="none"/>
        </w:rPr>
      </w:pPr>
      <w:r>
        <w:rPr>
          <w:color w:val="000000"/>
          <w:szCs w:val="21"/>
          <w:highlight w:val="none"/>
        </w:rPr>
        <w:t>随机数一般可使用随机数表等方法产生。</w:t>
      </w:r>
    </w:p>
    <w:p>
      <w:pPr>
        <w:snapToGrid w:val="0"/>
        <w:spacing w:line="440" w:lineRule="exact"/>
        <w:ind w:firstLine="420" w:firstLineChars="200"/>
        <w:rPr>
          <w:color w:val="000000"/>
          <w:szCs w:val="21"/>
          <w:highlight w:val="none"/>
        </w:rPr>
      </w:pPr>
      <w:r>
        <w:rPr>
          <w:color w:val="000000"/>
          <w:szCs w:val="21"/>
          <w:highlight w:val="none"/>
        </w:rPr>
        <w:t>抽样基数满足抽样数量即可，抽取样品数量见下表：</w:t>
      </w:r>
    </w:p>
    <w:tbl>
      <w:tblPr>
        <w:tblStyle w:val="5"/>
        <w:tblW w:w="8860" w:type="dxa"/>
        <w:jc w:val="center"/>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0" w:type="dxa"/>
          <w:left w:w="0" w:type="dxa"/>
          <w:bottom w:w="0" w:type="dxa"/>
          <w:right w:w="0" w:type="dxa"/>
        </w:tblCellMar>
      </w:tblPr>
      <w:tblGrid>
        <w:gridCol w:w="671"/>
        <w:gridCol w:w="2282"/>
        <w:gridCol w:w="1969"/>
        <w:gridCol w:w="1969"/>
        <w:gridCol w:w="1969"/>
      </w:tblGrid>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0" w:type="dxa"/>
            <w:left w:w="0" w:type="dxa"/>
            <w:bottom w:w="0" w:type="dxa"/>
            <w:right w:w="0" w:type="dxa"/>
          </w:tblCellMar>
        </w:tblPrEx>
        <w:trPr>
          <w:trHeight w:val="547" w:hRule="atLeast"/>
          <w:jc w:val="center"/>
        </w:trPr>
        <w:tc>
          <w:tcPr>
            <w:tcW w:w="671" w:type="dxa"/>
            <w:tcBorders>
              <w:top w:val="outset" w:color="000000" w:sz="6" w:space="0"/>
              <w:left w:val="outset" w:color="000000" w:sz="6" w:space="0"/>
              <w:bottom w:val="outset" w:color="000000" w:sz="6" w:space="0"/>
              <w:right w:val="outset" w:color="000000" w:sz="6" w:space="0"/>
            </w:tcBorders>
            <w:vAlign w:val="center"/>
          </w:tcPr>
          <w:p>
            <w:pPr>
              <w:jc w:val="center"/>
              <w:rPr>
                <w:highlight w:val="none"/>
              </w:rPr>
            </w:pPr>
            <w:r>
              <w:rPr>
                <w:highlight w:val="none"/>
              </w:rPr>
              <w:t>序号</w:t>
            </w:r>
          </w:p>
        </w:tc>
        <w:tc>
          <w:tcPr>
            <w:tcW w:w="2282" w:type="dxa"/>
            <w:tcBorders>
              <w:top w:val="outset" w:color="000000" w:sz="6" w:space="0"/>
              <w:left w:val="outset" w:color="000000" w:sz="6" w:space="0"/>
              <w:bottom w:val="outset" w:color="000000" w:sz="6" w:space="0"/>
              <w:right w:val="outset" w:color="000000" w:sz="6" w:space="0"/>
            </w:tcBorders>
            <w:vAlign w:val="center"/>
          </w:tcPr>
          <w:p>
            <w:pPr>
              <w:jc w:val="center"/>
              <w:rPr>
                <w:highlight w:val="none"/>
              </w:rPr>
            </w:pPr>
            <w:r>
              <w:rPr>
                <w:highlight w:val="none"/>
              </w:rPr>
              <w:t>产品名称</w:t>
            </w:r>
          </w:p>
        </w:tc>
        <w:tc>
          <w:tcPr>
            <w:tcW w:w="1969" w:type="dxa"/>
            <w:tcBorders>
              <w:top w:val="outset" w:color="000000" w:sz="6" w:space="0"/>
              <w:left w:val="outset" w:color="000000" w:sz="6" w:space="0"/>
              <w:bottom w:val="outset" w:color="000000" w:sz="6" w:space="0"/>
              <w:right w:val="outset" w:color="000000" w:sz="6" w:space="0"/>
            </w:tcBorders>
            <w:vAlign w:val="center"/>
          </w:tcPr>
          <w:p>
            <w:pPr>
              <w:jc w:val="center"/>
              <w:rPr>
                <w:highlight w:val="none"/>
              </w:rPr>
            </w:pPr>
            <w:r>
              <w:rPr>
                <w:highlight w:val="none"/>
              </w:rPr>
              <w:t>抽样数量</w:t>
            </w:r>
          </w:p>
          <w:p>
            <w:pPr>
              <w:jc w:val="center"/>
              <w:rPr>
                <w:highlight w:val="none"/>
              </w:rPr>
            </w:pPr>
            <w:r>
              <w:rPr>
                <w:highlight w:val="none"/>
              </w:rPr>
              <w:t>（件/条/套）</w:t>
            </w:r>
          </w:p>
        </w:tc>
        <w:tc>
          <w:tcPr>
            <w:tcW w:w="1969" w:type="dxa"/>
            <w:tcBorders>
              <w:top w:val="outset" w:color="000000" w:sz="6" w:space="0"/>
              <w:left w:val="outset" w:color="000000" w:sz="6" w:space="0"/>
              <w:bottom w:val="outset" w:color="000000" w:sz="6" w:space="0"/>
              <w:right w:val="outset" w:color="000000" w:sz="6" w:space="0"/>
            </w:tcBorders>
            <w:vAlign w:val="center"/>
          </w:tcPr>
          <w:p>
            <w:pPr>
              <w:jc w:val="center"/>
              <w:rPr>
                <w:highlight w:val="none"/>
              </w:rPr>
            </w:pPr>
            <w:r>
              <w:rPr>
                <w:highlight w:val="none"/>
              </w:rPr>
              <w:t>检验</w:t>
            </w:r>
            <w:r>
              <w:rPr>
                <w:rFonts w:hint="eastAsia"/>
                <w:highlight w:val="none"/>
              </w:rPr>
              <w:t>用</w:t>
            </w:r>
            <w:r>
              <w:rPr>
                <w:highlight w:val="none"/>
              </w:rPr>
              <w:t>样品数量</w:t>
            </w:r>
          </w:p>
          <w:p>
            <w:pPr>
              <w:jc w:val="center"/>
              <w:rPr>
                <w:highlight w:val="none"/>
              </w:rPr>
            </w:pPr>
            <w:r>
              <w:rPr>
                <w:highlight w:val="none"/>
              </w:rPr>
              <w:t>（件/条/套）</w:t>
            </w:r>
          </w:p>
        </w:tc>
        <w:tc>
          <w:tcPr>
            <w:tcW w:w="1969" w:type="dxa"/>
            <w:tcBorders>
              <w:top w:val="outset" w:color="000000" w:sz="6" w:space="0"/>
              <w:left w:val="outset" w:color="000000" w:sz="6" w:space="0"/>
              <w:bottom w:val="outset" w:color="000000" w:sz="6" w:space="0"/>
              <w:right w:val="outset" w:color="000000" w:sz="6" w:space="0"/>
            </w:tcBorders>
            <w:vAlign w:val="center"/>
          </w:tcPr>
          <w:p>
            <w:pPr>
              <w:jc w:val="center"/>
              <w:rPr>
                <w:highlight w:val="none"/>
              </w:rPr>
            </w:pPr>
            <w:r>
              <w:rPr>
                <w:rFonts w:hint="eastAsia"/>
                <w:highlight w:val="none"/>
              </w:rPr>
              <w:t>备用样品</w:t>
            </w:r>
            <w:r>
              <w:rPr>
                <w:highlight w:val="none"/>
              </w:rPr>
              <w:t>数量</w:t>
            </w:r>
          </w:p>
          <w:p>
            <w:pPr>
              <w:jc w:val="center"/>
              <w:rPr>
                <w:highlight w:val="none"/>
              </w:rPr>
            </w:pPr>
            <w:r>
              <w:rPr>
                <w:highlight w:val="none"/>
              </w:rPr>
              <w:t>（件/条/套）</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0" w:type="dxa"/>
            <w:left w:w="0" w:type="dxa"/>
            <w:bottom w:w="0" w:type="dxa"/>
            <w:right w:w="0" w:type="dxa"/>
          </w:tblCellMar>
        </w:tblPrEx>
        <w:trPr>
          <w:trHeight w:val="273" w:hRule="atLeast"/>
          <w:jc w:val="center"/>
        </w:trPr>
        <w:tc>
          <w:tcPr>
            <w:tcW w:w="671" w:type="dxa"/>
            <w:tcBorders>
              <w:top w:val="outset" w:color="000000" w:sz="6" w:space="0"/>
              <w:left w:val="outset" w:color="000000" w:sz="6" w:space="0"/>
              <w:bottom w:val="outset" w:color="000000" w:sz="6" w:space="0"/>
              <w:right w:val="outset" w:color="000000" w:sz="6" w:space="0"/>
            </w:tcBorders>
            <w:vAlign w:val="center"/>
          </w:tcPr>
          <w:p>
            <w:pPr>
              <w:jc w:val="center"/>
              <w:rPr>
                <w:highlight w:val="none"/>
              </w:rPr>
            </w:pPr>
            <w:r>
              <w:rPr>
                <w:highlight w:val="none"/>
              </w:rPr>
              <w:t>1</w:t>
            </w:r>
          </w:p>
        </w:tc>
        <w:tc>
          <w:tcPr>
            <w:tcW w:w="2282" w:type="dxa"/>
            <w:tcBorders>
              <w:top w:val="outset" w:color="000000" w:sz="6" w:space="0"/>
              <w:left w:val="outset" w:color="000000" w:sz="6" w:space="0"/>
              <w:bottom w:val="outset" w:color="000000" w:sz="6" w:space="0"/>
              <w:right w:val="outset" w:color="000000" w:sz="6" w:space="0"/>
            </w:tcBorders>
            <w:vAlign w:val="center"/>
          </w:tcPr>
          <w:p>
            <w:pPr>
              <w:jc w:val="center"/>
              <w:rPr>
                <w:rFonts w:hint="eastAsia" w:eastAsia="宋体"/>
                <w:highlight w:val="none"/>
                <w:lang w:val="en-US" w:eastAsia="zh-CN"/>
              </w:rPr>
            </w:pPr>
            <w:r>
              <w:rPr>
                <w:rFonts w:hint="eastAsia"/>
                <w:highlight w:val="none"/>
                <w:lang w:val="en-US" w:eastAsia="zh-CN"/>
              </w:rPr>
              <w:t>成人服装</w:t>
            </w:r>
          </w:p>
        </w:tc>
        <w:tc>
          <w:tcPr>
            <w:tcW w:w="1969" w:type="dxa"/>
            <w:tcBorders>
              <w:top w:val="outset" w:color="000000" w:sz="6" w:space="0"/>
              <w:left w:val="outset" w:color="000000" w:sz="6" w:space="0"/>
              <w:bottom w:val="outset" w:color="000000" w:sz="6" w:space="0"/>
              <w:right w:val="outset" w:color="000000" w:sz="6" w:space="0"/>
            </w:tcBorders>
            <w:vAlign w:val="center"/>
          </w:tcPr>
          <w:p>
            <w:pPr>
              <w:jc w:val="center"/>
              <w:rPr>
                <w:rFonts w:hint="eastAsia" w:eastAsia="宋体"/>
                <w:highlight w:val="none"/>
                <w:lang w:eastAsia="zh-CN"/>
              </w:rPr>
            </w:pPr>
            <w:r>
              <w:rPr>
                <w:rFonts w:hint="eastAsia"/>
                <w:highlight w:val="none"/>
                <w:lang w:val="en-US" w:eastAsia="zh-CN"/>
              </w:rPr>
              <w:t>2</w:t>
            </w:r>
          </w:p>
        </w:tc>
        <w:tc>
          <w:tcPr>
            <w:tcW w:w="1969" w:type="dxa"/>
            <w:tcBorders>
              <w:top w:val="outset" w:color="000000" w:sz="6" w:space="0"/>
              <w:left w:val="outset" w:color="000000" w:sz="6" w:space="0"/>
              <w:bottom w:val="outset" w:color="000000" w:sz="6" w:space="0"/>
              <w:right w:val="outset" w:color="000000" w:sz="6" w:space="0"/>
            </w:tcBorders>
            <w:vAlign w:val="center"/>
          </w:tcPr>
          <w:p>
            <w:pPr>
              <w:jc w:val="center"/>
              <w:rPr>
                <w:rFonts w:hint="eastAsia" w:eastAsia="宋体"/>
                <w:highlight w:val="none"/>
                <w:lang w:eastAsia="zh-CN"/>
              </w:rPr>
            </w:pPr>
            <w:r>
              <w:rPr>
                <w:rFonts w:hint="eastAsia"/>
                <w:highlight w:val="none"/>
                <w:lang w:val="en-US" w:eastAsia="zh-CN"/>
              </w:rPr>
              <w:t>1</w:t>
            </w:r>
          </w:p>
        </w:tc>
        <w:tc>
          <w:tcPr>
            <w:tcW w:w="1969" w:type="dxa"/>
            <w:tcBorders>
              <w:top w:val="outset" w:color="000000" w:sz="6" w:space="0"/>
              <w:left w:val="outset" w:color="000000" w:sz="6" w:space="0"/>
              <w:bottom w:val="outset" w:color="000000" w:sz="6" w:space="0"/>
              <w:right w:val="outset" w:color="000000" w:sz="6" w:space="0"/>
            </w:tcBorders>
            <w:vAlign w:val="center"/>
          </w:tcPr>
          <w:p>
            <w:pPr>
              <w:jc w:val="center"/>
              <w:rPr>
                <w:highlight w:val="none"/>
              </w:rPr>
            </w:pPr>
            <w:r>
              <w:rPr>
                <w:highlight w:val="none"/>
              </w:rPr>
              <w:t>1</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0" w:type="dxa"/>
            <w:left w:w="0" w:type="dxa"/>
            <w:bottom w:w="0" w:type="dxa"/>
            <w:right w:w="0" w:type="dxa"/>
          </w:tblCellMar>
        </w:tblPrEx>
        <w:trPr>
          <w:trHeight w:val="273" w:hRule="atLeast"/>
          <w:jc w:val="center"/>
        </w:trPr>
        <w:tc>
          <w:tcPr>
            <w:tcW w:w="8860" w:type="dxa"/>
            <w:gridSpan w:val="5"/>
            <w:tcBorders>
              <w:top w:val="outset" w:color="000000" w:sz="6" w:space="0"/>
              <w:left w:val="outset" w:color="000000" w:sz="6" w:space="0"/>
              <w:bottom w:val="outset" w:color="000000" w:sz="6" w:space="0"/>
              <w:right w:val="outset" w:color="000000" w:sz="6" w:space="0"/>
            </w:tcBorders>
            <w:vAlign w:val="center"/>
          </w:tcPr>
          <w:p>
            <w:pPr>
              <w:jc w:val="left"/>
              <w:rPr>
                <w:highlight w:val="none"/>
              </w:rPr>
            </w:pPr>
            <w:r>
              <w:rPr>
                <w:highlight w:val="none"/>
              </w:rPr>
              <w:t>注：如样品</w:t>
            </w:r>
            <w:r>
              <w:rPr>
                <w:rFonts w:hint="eastAsia"/>
                <w:highlight w:val="none"/>
                <w:lang w:val="en-US" w:eastAsia="zh-CN"/>
              </w:rPr>
              <w:t>面积</w:t>
            </w:r>
            <w:r>
              <w:rPr>
                <w:highlight w:val="none"/>
              </w:rPr>
              <w:t>过小，可适当增加抽样数量，但不得超过检验、复检的合理需要。</w:t>
            </w:r>
          </w:p>
        </w:tc>
      </w:tr>
    </w:tbl>
    <w:p>
      <w:pPr>
        <w:widowControl/>
        <w:spacing w:line="360" w:lineRule="auto"/>
        <w:rPr>
          <w:color w:val="000000"/>
          <w:szCs w:val="21"/>
          <w:highlight w:val="none"/>
        </w:rPr>
      </w:pPr>
    </w:p>
    <w:p>
      <w:pPr>
        <w:snapToGrid w:val="0"/>
        <w:spacing w:line="440" w:lineRule="exact"/>
        <w:rPr>
          <w:rFonts w:eastAsia="黑体"/>
          <w:color w:val="000000"/>
          <w:szCs w:val="21"/>
          <w:highlight w:val="none"/>
        </w:rPr>
      </w:pPr>
      <w:r>
        <w:rPr>
          <w:rFonts w:eastAsia="黑体"/>
          <w:color w:val="000000"/>
          <w:szCs w:val="21"/>
          <w:highlight w:val="none"/>
        </w:rPr>
        <w:t>2 检验依据</w:t>
      </w:r>
    </w:p>
    <w:p>
      <w:pPr>
        <w:snapToGrid w:val="0"/>
        <w:spacing w:line="440" w:lineRule="exact"/>
        <w:rPr>
          <w:rFonts w:eastAsia="黑体"/>
          <w:color w:val="000000"/>
          <w:szCs w:val="21"/>
          <w:highlight w:val="none"/>
        </w:rPr>
      </w:pPr>
    </w:p>
    <w:tbl>
      <w:tblPr>
        <w:tblStyle w:val="5"/>
        <w:tblW w:w="8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33"/>
        <w:gridCol w:w="2707"/>
        <w:gridCol w:w="2707"/>
        <w:gridCol w:w="27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blHeader/>
          <w:jc w:val="center"/>
        </w:trPr>
        <w:tc>
          <w:tcPr>
            <w:tcW w:w="733" w:type="dxa"/>
            <w:vAlign w:val="center"/>
          </w:tcPr>
          <w:p>
            <w:pPr>
              <w:jc w:val="center"/>
              <w:rPr>
                <w:rFonts w:hint="default" w:ascii="Times New Roman" w:hAnsi="Times New Roman" w:cs="Times New Roman"/>
                <w:highlight w:val="none"/>
              </w:rPr>
            </w:pPr>
            <w:r>
              <w:rPr>
                <w:rFonts w:hint="default" w:ascii="Times New Roman" w:hAnsi="Times New Roman" w:cs="Times New Roman"/>
                <w:highlight w:val="none"/>
              </w:rPr>
              <w:t>序号</w:t>
            </w:r>
          </w:p>
        </w:tc>
        <w:tc>
          <w:tcPr>
            <w:tcW w:w="2707" w:type="dxa"/>
            <w:vAlign w:val="center"/>
          </w:tcPr>
          <w:p>
            <w:pPr>
              <w:jc w:val="center"/>
              <w:rPr>
                <w:rFonts w:hint="default" w:ascii="Times New Roman" w:hAnsi="Times New Roman" w:cs="Times New Roman"/>
                <w:highlight w:val="none"/>
              </w:rPr>
            </w:pPr>
            <w:r>
              <w:rPr>
                <w:rFonts w:hint="default" w:ascii="Times New Roman" w:hAnsi="Times New Roman" w:cs="Times New Roman"/>
                <w:highlight w:val="none"/>
              </w:rPr>
              <w:t>检验项目</w:t>
            </w:r>
          </w:p>
        </w:tc>
        <w:tc>
          <w:tcPr>
            <w:tcW w:w="2707" w:type="dxa"/>
            <w:vAlign w:val="center"/>
          </w:tcPr>
          <w:p>
            <w:pPr>
              <w:adjustRightInd w:val="0"/>
              <w:snapToGrid w:val="0"/>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检验依据</w:t>
            </w:r>
          </w:p>
        </w:tc>
        <w:tc>
          <w:tcPr>
            <w:tcW w:w="2707" w:type="dxa"/>
            <w:vAlign w:val="center"/>
          </w:tcPr>
          <w:p>
            <w:pPr>
              <w:jc w:val="center"/>
              <w:rPr>
                <w:rFonts w:hint="default" w:ascii="Times New Roman" w:hAnsi="Times New Roman" w:cs="Times New Roman"/>
                <w:highlight w:val="none"/>
              </w:rPr>
            </w:pPr>
            <w:r>
              <w:rPr>
                <w:rFonts w:hint="default" w:ascii="Times New Roman" w:hAnsi="Times New Roman" w:cs="Times New Roman"/>
                <w:highlight w:val="none"/>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jc w:val="center"/>
        </w:trPr>
        <w:tc>
          <w:tcPr>
            <w:tcW w:w="733" w:type="dxa"/>
            <w:shd w:val="clear" w:color="auto" w:fill="auto"/>
            <w:vAlign w:val="center"/>
          </w:tcPr>
          <w:p>
            <w:pPr>
              <w:jc w:val="center"/>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1</w:t>
            </w:r>
          </w:p>
        </w:tc>
        <w:tc>
          <w:tcPr>
            <w:tcW w:w="2707" w:type="dxa"/>
            <w:shd w:val="clear" w:color="auto" w:fill="auto"/>
            <w:vAlign w:val="center"/>
          </w:tcPr>
          <w:p>
            <w:pPr>
              <w:jc w:val="center"/>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纤维成分及含量</w:t>
            </w:r>
          </w:p>
        </w:tc>
        <w:tc>
          <w:tcPr>
            <w:tcW w:w="2707" w:type="dxa"/>
            <w:shd w:val="clear" w:color="auto" w:fill="auto"/>
            <w:vAlign w:val="center"/>
          </w:tcPr>
          <w:p>
            <w:pPr>
              <w:jc w:val="center"/>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GB/T 29862—2013</w:t>
            </w:r>
          </w:p>
          <w:p>
            <w:pPr>
              <w:jc w:val="center"/>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相应产品标准</w:t>
            </w:r>
          </w:p>
        </w:tc>
        <w:tc>
          <w:tcPr>
            <w:tcW w:w="2707" w:type="dxa"/>
            <w:shd w:val="clear" w:color="auto" w:fill="FFFFFF"/>
            <w:vAlign w:val="center"/>
          </w:tcPr>
          <w:p>
            <w:pPr>
              <w:jc w:val="center"/>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FZ/T 01057.1—2007</w:t>
            </w:r>
          </w:p>
          <w:p>
            <w:pPr>
              <w:jc w:val="center"/>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FZ/T 01057.2—2007</w:t>
            </w:r>
          </w:p>
          <w:p>
            <w:pPr>
              <w:jc w:val="center"/>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FZ/T 01057.3—2007</w:t>
            </w:r>
          </w:p>
          <w:p>
            <w:pPr>
              <w:jc w:val="center"/>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FZ/T 01057.4—2007</w:t>
            </w:r>
          </w:p>
          <w:p>
            <w:pPr>
              <w:jc w:val="center"/>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FZ/T 01057.6—2007</w:t>
            </w:r>
          </w:p>
          <w:p>
            <w:pPr>
              <w:jc w:val="center"/>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GB/T 2910.1—2009</w:t>
            </w:r>
          </w:p>
          <w:p>
            <w:pPr>
              <w:jc w:val="center"/>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GB/T 2910.2—2009</w:t>
            </w:r>
          </w:p>
          <w:p>
            <w:pPr>
              <w:jc w:val="center"/>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GB/T 2910.3—2009</w:t>
            </w:r>
          </w:p>
          <w:p>
            <w:pPr>
              <w:jc w:val="center"/>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GB/T 2910.4—2022</w:t>
            </w:r>
          </w:p>
          <w:p>
            <w:pPr>
              <w:jc w:val="center"/>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GB/T 2910.6—2009</w:t>
            </w:r>
          </w:p>
          <w:p>
            <w:pPr>
              <w:jc w:val="center"/>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GB/T 2910.7—2009</w:t>
            </w:r>
          </w:p>
          <w:p>
            <w:pPr>
              <w:jc w:val="center"/>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GB/T 2910.8—2009</w:t>
            </w:r>
          </w:p>
          <w:p>
            <w:pPr>
              <w:jc w:val="center"/>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GB/T 2910.11—2009</w:t>
            </w:r>
          </w:p>
          <w:p>
            <w:pPr>
              <w:jc w:val="center"/>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GB/T 2910.12—2023</w:t>
            </w:r>
          </w:p>
          <w:p>
            <w:pPr>
              <w:jc w:val="center"/>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GB/T 2910.18—2009</w:t>
            </w:r>
          </w:p>
          <w:p>
            <w:pPr>
              <w:jc w:val="center"/>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GB/T 2910.20—2009</w:t>
            </w:r>
          </w:p>
          <w:p>
            <w:pPr>
              <w:jc w:val="center"/>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GB/T 2910.22—2009</w:t>
            </w:r>
          </w:p>
          <w:p>
            <w:pPr>
              <w:jc w:val="center"/>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GB/T 2910.1</w:t>
            </w:r>
            <w:r>
              <w:rPr>
                <w:rFonts w:hint="eastAsia" w:cs="Times New Roman"/>
                <w:highlight w:val="none"/>
                <w:lang w:val="en-US" w:eastAsia="zh-CN"/>
              </w:rPr>
              <w:t>01</w:t>
            </w:r>
            <w:r>
              <w:rPr>
                <w:rFonts w:hint="default" w:ascii="Times New Roman" w:hAnsi="Times New Roman" w:cs="Times New Roman"/>
                <w:highlight w:val="none"/>
                <w:lang w:val="en-US" w:eastAsia="zh-CN"/>
              </w:rPr>
              <w:t>—2009</w:t>
            </w:r>
          </w:p>
          <w:p>
            <w:pPr>
              <w:jc w:val="center"/>
              <w:rPr>
                <w:rFonts w:hint="default" w:ascii="Times New Roman" w:hAnsi="Times New Roman" w:cs="Times New Roman"/>
                <w:highlight w:val="none"/>
                <w:lang w:val="en-US" w:eastAsia="zh-CN"/>
              </w:rPr>
            </w:pPr>
            <w:r>
              <w:rPr>
                <w:rStyle w:val="4"/>
                <w:rFonts w:ascii="Times New Roman" w:hAnsi="Times New Roman" w:eastAsia="宋体" w:cs="Times New Roman"/>
                <w:i w:val="0"/>
                <w:iCs w:val="0"/>
                <w:caps w:val="0"/>
                <w:color w:val="auto"/>
                <w:spacing w:val="0"/>
                <w:sz w:val="21"/>
                <w:szCs w:val="24"/>
                <w:highlight w:val="none"/>
                <w:shd w:val="clear" w:color="0A0000" w:fill="auto"/>
              </w:rPr>
              <w:t>GB/T 38015</w:t>
            </w:r>
            <w:r>
              <w:rPr>
                <w:rFonts w:hint="eastAsia" w:cs="Times New Roman"/>
                <w:i w:val="0"/>
                <w:iCs w:val="0"/>
                <w:caps w:val="0"/>
                <w:spacing w:val="0"/>
                <w:sz w:val="21"/>
                <w:szCs w:val="24"/>
                <w:highlight w:val="none"/>
                <w:shd w:val="clear" w:color="080000" w:fill="auto"/>
                <w:lang w:eastAsia="zh-CN"/>
              </w:rPr>
              <w:t>—</w:t>
            </w:r>
            <w:r>
              <w:rPr>
                <w:rStyle w:val="4"/>
                <w:rFonts w:ascii="Times New Roman" w:hAnsi="Times New Roman" w:eastAsia="宋体" w:cs="Times New Roman"/>
                <w:i w:val="0"/>
                <w:iCs w:val="0"/>
                <w:caps w:val="0"/>
                <w:color w:val="auto"/>
                <w:spacing w:val="0"/>
                <w:sz w:val="21"/>
                <w:szCs w:val="24"/>
                <w:highlight w:val="none"/>
                <w:shd w:val="clear" w:color="0A0000" w:fill="auto"/>
              </w:rPr>
              <w:t>2019</w:t>
            </w:r>
          </w:p>
          <w:p>
            <w:pPr>
              <w:jc w:val="center"/>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FZ/T 01101—2008</w:t>
            </w:r>
          </w:p>
          <w:p>
            <w:pPr>
              <w:jc w:val="center"/>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FZ/T 01112—2012</w:t>
            </w:r>
          </w:p>
          <w:p>
            <w:pPr>
              <w:jc w:val="center"/>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FZ/T 01026—2017</w:t>
            </w:r>
          </w:p>
          <w:p>
            <w:pPr>
              <w:jc w:val="center"/>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FZ/T 30003—2009</w:t>
            </w:r>
          </w:p>
          <w:p>
            <w:pPr>
              <w:jc w:val="center"/>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GB/T 16988—2013等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jc w:val="center"/>
        </w:trPr>
        <w:tc>
          <w:tcPr>
            <w:tcW w:w="733" w:type="dxa"/>
            <w:vAlign w:val="center"/>
          </w:tcPr>
          <w:p>
            <w:pPr>
              <w:jc w:val="center"/>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2</w:t>
            </w:r>
          </w:p>
        </w:tc>
        <w:tc>
          <w:tcPr>
            <w:tcW w:w="2707" w:type="dxa"/>
            <w:vAlign w:val="center"/>
          </w:tcPr>
          <w:p>
            <w:pPr>
              <w:jc w:val="center"/>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甲醛含量</w:t>
            </w:r>
          </w:p>
        </w:tc>
        <w:tc>
          <w:tcPr>
            <w:tcW w:w="2707" w:type="dxa"/>
            <w:vAlign w:val="center"/>
          </w:tcPr>
          <w:p>
            <w:pPr>
              <w:jc w:val="center"/>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GB 18401</w:t>
            </w:r>
            <w:r>
              <w:rPr>
                <w:rFonts w:hint="eastAsia" w:cs="Times New Roman"/>
                <w:highlight w:val="none"/>
                <w:lang w:val="en-US" w:eastAsia="zh-CN"/>
              </w:rPr>
              <w:t>—2010</w:t>
            </w:r>
          </w:p>
          <w:p>
            <w:pPr>
              <w:jc w:val="center"/>
              <w:rPr>
                <w:rFonts w:hint="default" w:ascii="Times New Roman" w:hAnsi="Times New Roman" w:cs="Times New Roman"/>
                <w:highlight w:val="none"/>
                <w:lang w:val="en-US" w:eastAsia="zh-CN"/>
              </w:rPr>
            </w:pPr>
            <w:r>
              <w:rPr>
                <w:rFonts w:hint="default" w:ascii="Times New Roman" w:hAnsi="Times New Roman" w:cs="Times New Roman"/>
                <w:color w:val="auto"/>
                <w:szCs w:val="21"/>
                <w:highlight w:val="none"/>
              </w:rPr>
              <w:t>相应产品标准</w:t>
            </w:r>
          </w:p>
        </w:tc>
        <w:tc>
          <w:tcPr>
            <w:tcW w:w="2707" w:type="dxa"/>
            <w:vAlign w:val="center"/>
          </w:tcPr>
          <w:p>
            <w:pPr>
              <w:jc w:val="center"/>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GB/T 2912.1—2009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jc w:val="center"/>
        </w:trPr>
        <w:tc>
          <w:tcPr>
            <w:tcW w:w="733" w:type="dxa"/>
            <w:vAlign w:val="center"/>
          </w:tcPr>
          <w:p>
            <w:pPr>
              <w:jc w:val="center"/>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3</w:t>
            </w:r>
          </w:p>
        </w:tc>
        <w:tc>
          <w:tcPr>
            <w:tcW w:w="2707" w:type="dxa"/>
            <w:vAlign w:val="center"/>
          </w:tcPr>
          <w:p>
            <w:pPr>
              <w:jc w:val="center"/>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pH值</w:t>
            </w:r>
          </w:p>
        </w:tc>
        <w:tc>
          <w:tcPr>
            <w:tcW w:w="2707" w:type="dxa"/>
            <w:vAlign w:val="center"/>
          </w:tcPr>
          <w:p>
            <w:pPr>
              <w:jc w:val="center"/>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GB 18401</w:t>
            </w:r>
            <w:r>
              <w:rPr>
                <w:rFonts w:hint="eastAsia" w:cs="Times New Roman"/>
                <w:highlight w:val="none"/>
                <w:lang w:val="en-US" w:eastAsia="zh-CN"/>
              </w:rPr>
              <w:t>—2010</w:t>
            </w:r>
          </w:p>
          <w:p>
            <w:pPr>
              <w:jc w:val="center"/>
              <w:rPr>
                <w:rFonts w:hint="default" w:ascii="Times New Roman" w:hAnsi="Times New Roman" w:cs="Times New Roman"/>
                <w:highlight w:val="none"/>
                <w:lang w:val="en-US" w:eastAsia="zh-CN"/>
              </w:rPr>
            </w:pPr>
            <w:r>
              <w:rPr>
                <w:rFonts w:hint="default" w:ascii="Times New Roman" w:hAnsi="Times New Roman" w:cs="Times New Roman"/>
                <w:color w:val="auto"/>
                <w:szCs w:val="21"/>
                <w:highlight w:val="none"/>
              </w:rPr>
              <w:t>相应产品标准</w:t>
            </w:r>
          </w:p>
        </w:tc>
        <w:tc>
          <w:tcPr>
            <w:tcW w:w="2707" w:type="dxa"/>
            <w:vAlign w:val="center"/>
          </w:tcPr>
          <w:p>
            <w:pPr>
              <w:jc w:val="center"/>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GB/T 7573—2009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jc w:val="center"/>
        </w:trPr>
        <w:tc>
          <w:tcPr>
            <w:tcW w:w="733" w:type="dxa"/>
            <w:vAlign w:val="center"/>
          </w:tcPr>
          <w:p>
            <w:pPr>
              <w:jc w:val="center"/>
              <w:rPr>
                <w:rFonts w:hint="default" w:ascii="Times New Roman" w:hAnsi="Times New Roman" w:eastAsia="宋体" w:cs="Times New Roman"/>
                <w:kern w:val="2"/>
                <w:sz w:val="21"/>
                <w:szCs w:val="24"/>
                <w:highlight w:val="none"/>
                <w:lang w:val="en-US" w:eastAsia="zh-CN" w:bidi="ar-SA"/>
              </w:rPr>
            </w:pPr>
            <w:r>
              <w:rPr>
                <w:rFonts w:hint="default" w:ascii="Times New Roman" w:hAnsi="Times New Roman" w:cs="Times New Roman"/>
                <w:highlight w:val="none"/>
                <w:lang w:val="en-US" w:eastAsia="zh-CN"/>
              </w:rPr>
              <w:t>4</w:t>
            </w:r>
          </w:p>
        </w:tc>
        <w:tc>
          <w:tcPr>
            <w:tcW w:w="2707" w:type="dxa"/>
            <w:vAlign w:val="center"/>
          </w:tcPr>
          <w:p>
            <w:pPr>
              <w:jc w:val="center"/>
              <w:rPr>
                <w:rFonts w:hint="default" w:ascii="Times New Roman" w:hAnsi="Times New Roman" w:eastAsia="宋体" w:cs="Times New Roman"/>
                <w:kern w:val="2"/>
                <w:sz w:val="21"/>
                <w:szCs w:val="24"/>
                <w:highlight w:val="none"/>
                <w:lang w:val="en-US" w:eastAsia="zh-CN" w:bidi="ar-SA"/>
              </w:rPr>
            </w:pPr>
            <w:r>
              <w:rPr>
                <w:rFonts w:hint="default" w:ascii="Times New Roman" w:hAnsi="Times New Roman" w:cs="Times New Roman"/>
                <w:highlight w:val="none"/>
                <w:lang w:val="en-US" w:eastAsia="zh-CN"/>
              </w:rPr>
              <w:t>可分解致癌芳香胺染料</w:t>
            </w:r>
          </w:p>
        </w:tc>
        <w:tc>
          <w:tcPr>
            <w:tcW w:w="2707" w:type="dxa"/>
            <w:vAlign w:val="center"/>
          </w:tcPr>
          <w:p>
            <w:pPr>
              <w:jc w:val="center"/>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GB 18401</w:t>
            </w:r>
            <w:r>
              <w:rPr>
                <w:rFonts w:hint="eastAsia" w:cs="Times New Roman"/>
                <w:highlight w:val="none"/>
                <w:lang w:val="en-US" w:eastAsia="zh-CN"/>
              </w:rPr>
              <w:t>—2010</w:t>
            </w:r>
          </w:p>
          <w:p>
            <w:pPr>
              <w:jc w:val="center"/>
              <w:rPr>
                <w:rFonts w:hint="default" w:ascii="Times New Roman" w:hAnsi="Times New Roman" w:eastAsia="宋体" w:cs="Times New Roman"/>
                <w:kern w:val="2"/>
                <w:sz w:val="21"/>
                <w:szCs w:val="24"/>
                <w:highlight w:val="none"/>
                <w:lang w:val="en-US" w:eastAsia="zh-CN" w:bidi="ar-SA"/>
              </w:rPr>
            </w:pPr>
            <w:r>
              <w:rPr>
                <w:rFonts w:hint="default" w:ascii="Times New Roman" w:hAnsi="Times New Roman" w:cs="Times New Roman"/>
                <w:color w:val="auto"/>
                <w:szCs w:val="21"/>
                <w:highlight w:val="none"/>
              </w:rPr>
              <w:t>相应产品标准</w:t>
            </w:r>
          </w:p>
        </w:tc>
        <w:tc>
          <w:tcPr>
            <w:tcW w:w="2707" w:type="dxa"/>
            <w:vAlign w:val="center"/>
          </w:tcPr>
          <w:p>
            <w:pPr>
              <w:jc w:val="center"/>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 xml:space="preserve">GB/T 23344—2009 </w:t>
            </w:r>
          </w:p>
          <w:p>
            <w:pPr>
              <w:jc w:val="center"/>
              <w:rPr>
                <w:rFonts w:hint="default" w:ascii="Times New Roman" w:hAnsi="Times New Roman" w:eastAsia="宋体" w:cs="Times New Roman"/>
                <w:kern w:val="2"/>
                <w:sz w:val="21"/>
                <w:szCs w:val="24"/>
                <w:highlight w:val="none"/>
                <w:lang w:val="en-US" w:eastAsia="zh-CN" w:bidi="ar-SA"/>
              </w:rPr>
            </w:pPr>
            <w:r>
              <w:rPr>
                <w:rFonts w:hint="default" w:ascii="Times New Roman" w:hAnsi="Times New Roman" w:cs="Times New Roman"/>
                <w:highlight w:val="none"/>
                <w:lang w:val="en-US" w:eastAsia="zh-CN"/>
              </w:rPr>
              <w:t>GB/T 17592—20</w:t>
            </w:r>
            <w:r>
              <w:rPr>
                <w:rFonts w:hint="eastAsia" w:cs="Times New Roman"/>
                <w:highlight w:val="none"/>
                <w:lang w:val="en-US" w:eastAsia="zh-CN"/>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jc w:val="center"/>
        </w:trPr>
        <w:tc>
          <w:tcPr>
            <w:tcW w:w="733" w:type="dxa"/>
            <w:vAlign w:val="center"/>
          </w:tcPr>
          <w:p>
            <w:pPr>
              <w:jc w:val="center"/>
              <w:rPr>
                <w:rFonts w:hint="default" w:ascii="Times New Roman" w:hAnsi="Times New Roman" w:eastAsia="宋体" w:cs="Times New Roman"/>
                <w:kern w:val="2"/>
                <w:sz w:val="21"/>
                <w:szCs w:val="24"/>
                <w:highlight w:val="none"/>
                <w:lang w:val="en-US" w:eastAsia="zh-CN" w:bidi="ar-SA"/>
              </w:rPr>
            </w:pPr>
            <w:r>
              <w:rPr>
                <w:rFonts w:hint="default" w:ascii="Times New Roman" w:hAnsi="Times New Roman" w:cs="Times New Roman"/>
                <w:highlight w:val="none"/>
                <w:lang w:val="en-US" w:eastAsia="zh-CN"/>
              </w:rPr>
              <w:t>5</w:t>
            </w:r>
          </w:p>
        </w:tc>
        <w:tc>
          <w:tcPr>
            <w:tcW w:w="2707" w:type="dxa"/>
            <w:vAlign w:val="center"/>
          </w:tcPr>
          <w:p>
            <w:pPr>
              <w:jc w:val="center"/>
              <w:rPr>
                <w:rFonts w:hint="default" w:ascii="Times New Roman" w:hAnsi="Times New Roman" w:eastAsia="宋体" w:cs="Times New Roman"/>
                <w:kern w:val="2"/>
                <w:sz w:val="21"/>
                <w:szCs w:val="24"/>
                <w:highlight w:val="none"/>
                <w:lang w:val="en-US" w:eastAsia="zh-CN" w:bidi="ar-SA"/>
              </w:rPr>
            </w:pPr>
            <w:r>
              <w:rPr>
                <w:rFonts w:hint="eastAsia" w:cs="Times New Roman"/>
                <w:highlight w:val="none"/>
                <w:lang w:val="en-US" w:eastAsia="zh-CN"/>
              </w:rPr>
              <w:t>异味</w:t>
            </w:r>
          </w:p>
        </w:tc>
        <w:tc>
          <w:tcPr>
            <w:tcW w:w="2707" w:type="dxa"/>
            <w:vAlign w:val="center"/>
          </w:tcPr>
          <w:p>
            <w:pPr>
              <w:jc w:val="center"/>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GB 18401</w:t>
            </w:r>
          </w:p>
          <w:p>
            <w:pPr>
              <w:jc w:val="center"/>
              <w:rPr>
                <w:rFonts w:hint="default" w:ascii="Times New Roman" w:hAnsi="Times New Roman" w:eastAsia="宋体" w:cs="Times New Roman"/>
                <w:kern w:val="2"/>
                <w:sz w:val="21"/>
                <w:szCs w:val="24"/>
                <w:highlight w:val="none"/>
                <w:lang w:val="en-US" w:eastAsia="zh-CN" w:bidi="ar-SA"/>
              </w:rPr>
            </w:pPr>
            <w:r>
              <w:rPr>
                <w:rFonts w:hint="default" w:ascii="Times New Roman" w:hAnsi="Times New Roman" w:cs="Times New Roman"/>
                <w:color w:val="auto"/>
                <w:szCs w:val="21"/>
                <w:highlight w:val="none"/>
              </w:rPr>
              <w:t>相应产品标准</w:t>
            </w:r>
          </w:p>
        </w:tc>
        <w:tc>
          <w:tcPr>
            <w:tcW w:w="2707" w:type="dxa"/>
            <w:vAlign w:val="center"/>
          </w:tcPr>
          <w:p>
            <w:pPr>
              <w:jc w:val="center"/>
              <w:rPr>
                <w:rFonts w:hint="default" w:ascii="Times New Roman" w:hAnsi="Times New Roman" w:eastAsia="宋体" w:cs="Times New Roman"/>
                <w:kern w:val="2"/>
                <w:sz w:val="21"/>
                <w:szCs w:val="24"/>
                <w:highlight w:val="none"/>
                <w:lang w:val="en-US" w:eastAsia="zh-CN" w:bidi="ar-SA"/>
              </w:rPr>
            </w:pPr>
            <w:r>
              <w:rPr>
                <w:rFonts w:hint="default" w:ascii="Times New Roman" w:hAnsi="Times New Roman" w:cs="Times New Roman"/>
                <w:highlight w:val="none"/>
                <w:lang w:val="en-US" w:eastAsia="zh-CN"/>
              </w:rPr>
              <w:t>GB 18401</w:t>
            </w:r>
            <w:r>
              <w:rPr>
                <w:rFonts w:hint="eastAsia" w:cs="Times New Roman"/>
                <w:highlight w:val="none"/>
                <w:lang w:val="en-US" w:eastAsia="zh-CN"/>
              </w:rPr>
              <w:t xml:space="preserve">—2010  </w:t>
            </w:r>
            <w:r>
              <w:rPr>
                <w:rFonts w:hint="default" w:ascii="Times New Roman" w:hAnsi="Times New Roman" w:cs="Times New Roman"/>
                <w:highlight w:val="none"/>
                <w:lang w:val="en-US" w:eastAsia="zh-CN"/>
              </w:rPr>
              <w:t>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jc w:val="center"/>
        </w:trPr>
        <w:tc>
          <w:tcPr>
            <w:tcW w:w="733" w:type="dxa"/>
            <w:vAlign w:val="center"/>
          </w:tcPr>
          <w:p>
            <w:pPr>
              <w:jc w:val="center"/>
              <w:rPr>
                <w:rFonts w:hint="default" w:ascii="Times New Roman" w:hAnsi="Times New Roman" w:eastAsia="宋体" w:cs="Times New Roman"/>
                <w:kern w:val="2"/>
                <w:sz w:val="21"/>
                <w:szCs w:val="24"/>
                <w:highlight w:val="none"/>
                <w:lang w:val="en-US" w:eastAsia="zh-CN" w:bidi="ar-SA"/>
              </w:rPr>
            </w:pPr>
            <w:r>
              <w:rPr>
                <w:rFonts w:hint="default" w:ascii="Times New Roman" w:hAnsi="Times New Roman" w:cs="Times New Roman"/>
                <w:highlight w:val="none"/>
                <w:lang w:val="en-US" w:eastAsia="zh-CN"/>
              </w:rPr>
              <w:t>6</w:t>
            </w:r>
          </w:p>
        </w:tc>
        <w:tc>
          <w:tcPr>
            <w:tcW w:w="2707" w:type="dxa"/>
            <w:vAlign w:val="center"/>
          </w:tcPr>
          <w:p>
            <w:pPr>
              <w:jc w:val="center"/>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耐水色牢度</w:t>
            </w:r>
          </w:p>
        </w:tc>
        <w:tc>
          <w:tcPr>
            <w:tcW w:w="2707" w:type="dxa"/>
            <w:vAlign w:val="center"/>
          </w:tcPr>
          <w:p>
            <w:pPr>
              <w:jc w:val="center"/>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GB 18401</w:t>
            </w:r>
            <w:r>
              <w:rPr>
                <w:rFonts w:hint="eastAsia" w:cs="Times New Roman"/>
                <w:highlight w:val="none"/>
                <w:lang w:val="en-US" w:eastAsia="zh-CN"/>
              </w:rPr>
              <w:t>—2010</w:t>
            </w:r>
          </w:p>
          <w:p>
            <w:pPr>
              <w:jc w:val="center"/>
              <w:rPr>
                <w:rFonts w:hint="default" w:ascii="Times New Roman" w:hAnsi="Times New Roman" w:cs="Times New Roman"/>
                <w:highlight w:val="none"/>
                <w:lang w:val="en-US" w:eastAsia="zh-CN"/>
              </w:rPr>
            </w:pPr>
            <w:r>
              <w:rPr>
                <w:rFonts w:hint="default" w:ascii="Times New Roman" w:hAnsi="Times New Roman" w:cs="Times New Roman"/>
                <w:color w:val="auto"/>
                <w:szCs w:val="21"/>
                <w:highlight w:val="none"/>
              </w:rPr>
              <w:t>相应产品标准</w:t>
            </w:r>
          </w:p>
        </w:tc>
        <w:tc>
          <w:tcPr>
            <w:tcW w:w="2707" w:type="dxa"/>
            <w:vAlign w:val="center"/>
          </w:tcPr>
          <w:p>
            <w:pPr>
              <w:jc w:val="center"/>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GB/T 5713—2013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jc w:val="center"/>
        </w:trPr>
        <w:tc>
          <w:tcPr>
            <w:tcW w:w="733" w:type="dxa"/>
            <w:vAlign w:val="center"/>
          </w:tcPr>
          <w:p>
            <w:pPr>
              <w:jc w:val="center"/>
              <w:rPr>
                <w:rFonts w:hint="default" w:ascii="Times New Roman" w:hAnsi="Times New Roman" w:eastAsia="宋体" w:cs="Times New Roman"/>
                <w:kern w:val="2"/>
                <w:sz w:val="21"/>
                <w:szCs w:val="24"/>
                <w:highlight w:val="none"/>
                <w:lang w:val="en-US" w:eastAsia="zh-CN" w:bidi="ar-SA"/>
              </w:rPr>
            </w:pPr>
            <w:r>
              <w:rPr>
                <w:rFonts w:hint="default" w:ascii="Times New Roman" w:hAnsi="Times New Roman" w:cs="Times New Roman"/>
                <w:highlight w:val="none"/>
                <w:lang w:val="en-US" w:eastAsia="zh-CN"/>
              </w:rPr>
              <w:t>7</w:t>
            </w:r>
          </w:p>
        </w:tc>
        <w:tc>
          <w:tcPr>
            <w:tcW w:w="2707" w:type="dxa"/>
            <w:vAlign w:val="center"/>
          </w:tcPr>
          <w:p>
            <w:pPr>
              <w:jc w:val="center"/>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耐酸汗渍色牢度</w:t>
            </w:r>
          </w:p>
        </w:tc>
        <w:tc>
          <w:tcPr>
            <w:tcW w:w="2707" w:type="dxa"/>
            <w:vAlign w:val="center"/>
          </w:tcPr>
          <w:p>
            <w:pPr>
              <w:jc w:val="center"/>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GB 18401</w:t>
            </w:r>
            <w:r>
              <w:rPr>
                <w:rFonts w:hint="eastAsia" w:cs="Times New Roman"/>
                <w:highlight w:val="none"/>
                <w:lang w:val="en-US" w:eastAsia="zh-CN"/>
              </w:rPr>
              <w:t>—2010</w:t>
            </w:r>
          </w:p>
          <w:p>
            <w:pPr>
              <w:jc w:val="center"/>
              <w:rPr>
                <w:rFonts w:hint="default" w:ascii="Times New Roman" w:hAnsi="Times New Roman" w:cs="Times New Roman"/>
                <w:highlight w:val="none"/>
                <w:lang w:val="en-US" w:eastAsia="zh-CN"/>
              </w:rPr>
            </w:pPr>
            <w:r>
              <w:rPr>
                <w:rFonts w:hint="default" w:ascii="Times New Roman" w:hAnsi="Times New Roman" w:cs="Times New Roman"/>
                <w:color w:val="auto"/>
                <w:szCs w:val="21"/>
                <w:highlight w:val="none"/>
              </w:rPr>
              <w:t>相应产品标准</w:t>
            </w:r>
          </w:p>
        </w:tc>
        <w:tc>
          <w:tcPr>
            <w:tcW w:w="2707" w:type="dxa"/>
            <w:vAlign w:val="center"/>
          </w:tcPr>
          <w:p>
            <w:pPr>
              <w:jc w:val="center"/>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GB/T 3922—2013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jc w:val="center"/>
        </w:trPr>
        <w:tc>
          <w:tcPr>
            <w:tcW w:w="733" w:type="dxa"/>
            <w:vAlign w:val="center"/>
          </w:tcPr>
          <w:p>
            <w:pPr>
              <w:jc w:val="center"/>
              <w:rPr>
                <w:rFonts w:hint="default" w:ascii="Times New Roman" w:hAnsi="Times New Roman" w:eastAsia="宋体" w:cs="Times New Roman"/>
                <w:kern w:val="2"/>
                <w:sz w:val="21"/>
                <w:szCs w:val="24"/>
                <w:highlight w:val="none"/>
                <w:lang w:val="en-US" w:eastAsia="zh-CN" w:bidi="ar-SA"/>
              </w:rPr>
            </w:pPr>
            <w:r>
              <w:rPr>
                <w:rFonts w:hint="default" w:ascii="Times New Roman" w:hAnsi="Times New Roman" w:cs="Times New Roman"/>
                <w:highlight w:val="none"/>
                <w:lang w:val="en-US" w:eastAsia="zh-CN"/>
              </w:rPr>
              <w:t>8</w:t>
            </w:r>
          </w:p>
        </w:tc>
        <w:tc>
          <w:tcPr>
            <w:tcW w:w="2707" w:type="dxa"/>
            <w:vAlign w:val="center"/>
          </w:tcPr>
          <w:p>
            <w:pPr>
              <w:jc w:val="center"/>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耐碱汗渍色牢度</w:t>
            </w:r>
          </w:p>
        </w:tc>
        <w:tc>
          <w:tcPr>
            <w:tcW w:w="2707" w:type="dxa"/>
            <w:vAlign w:val="center"/>
          </w:tcPr>
          <w:p>
            <w:pPr>
              <w:jc w:val="center"/>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GB 18401</w:t>
            </w:r>
            <w:r>
              <w:rPr>
                <w:rFonts w:hint="eastAsia" w:cs="Times New Roman"/>
                <w:highlight w:val="none"/>
                <w:lang w:val="en-US" w:eastAsia="zh-CN"/>
              </w:rPr>
              <w:t>—2010</w:t>
            </w:r>
          </w:p>
          <w:p>
            <w:pPr>
              <w:jc w:val="center"/>
              <w:rPr>
                <w:rFonts w:hint="default" w:ascii="Times New Roman" w:hAnsi="Times New Roman" w:cs="Times New Roman"/>
                <w:highlight w:val="none"/>
                <w:lang w:val="en-US" w:eastAsia="zh-CN"/>
              </w:rPr>
            </w:pPr>
            <w:r>
              <w:rPr>
                <w:rFonts w:hint="default" w:ascii="Times New Roman" w:hAnsi="Times New Roman" w:cs="Times New Roman"/>
                <w:color w:val="auto"/>
                <w:szCs w:val="21"/>
                <w:highlight w:val="none"/>
              </w:rPr>
              <w:t>相应产品标准</w:t>
            </w:r>
          </w:p>
        </w:tc>
        <w:tc>
          <w:tcPr>
            <w:tcW w:w="2707" w:type="dxa"/>
            <w:vAlign w:val="center"/>
          </w:tcPr>
          <w:p>
            <w:pPr>
              <w:jc w:val="center"/>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GB/T 3922—2013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jc w:val="center"/>
        </w:trPr>
        <w:tc>
          <w:tcPr>
            <w:tcW w:w="733" w:type="dxa"/>
            <w:vAlign w:val="center"/>
          </w:tcPr>
          <w:p>
            <w:pPr>
              <w:jc w:val="center"/>
              <w:rPr>
                <w:rFonts w:hint="default" w:ascii="Times New Roman" w:hAnsi="Times New Roman" w:eastAsia="宋体" w:cs="Times New Roman"/>
                <w:kern w:val="2"/>
                <w:sz w:val="21"/>
                <w:szCs w:val="24"/>
                <w:highlight w:val="none"/>
                <w:lang w:val="en-US" w:eastAsia="zh-CN" w:bidi="ar-SA"/>
              </w:rPr>
            </w:pPr>
            <w:r>
              <w:rPr>
                <w:rFonts w:hint="default" w:ascii="Times New Roman" w:hAnsi="Times New Roman" w:cs="Times New Roman"/>
                <w:highlight w:val="none"/>
                <w:lang w:val="en-US" w:eastAsia="zh-CN"/>
              </w:rPr>
              <w:t>9</w:t>
            </w:r>
          </w:p>
        </w:tc>
        <w:tc>
          <w:tcPr>
            <w:tcW w:w="2707" w:type="dxa"/>
            <w:vAlign w:val="center"/>
          </w:tcPr>
          <w:p>
            <w:pPr>
              <w:jc w:val="center"/>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耐干摩擦色牢度</w:t>
            </w:r>
          </w:p>
        </w:tc>
        <w:tc>
          <w:tcPr>
            <w:tcW w:w="2707" w:type="dxa"/>
            <w:vAlign w:val="center"/>
          </w:tcPr>
          <w:p>
            <w:pPr>
              <w:jc w:val="center"/>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GB 18401</w:t>
            </w:r>
            <w:r>
              <w:rPr>
                <w:rFonts w:hint="eastAsia" w:cs="Times New Roman"/>
                <w:highlight w:val="none"/>
                <w:lang w:val="en-US" w:eastAsia="zh-CN"/>
              </w:rPr>
              <w:t>—2010</w:t>
            </w:r>
          </w:p>
          <w:p>
            <w:pPr>
              <w:jc w:val="center"/>
              <w:rPr>
                <w:rFonts w:hint="default" w:ascii="Times New Roman" w:hAnsi="Times New Roman" w:cs="Times New Roman"/>
                <w:highlight w:val="none"/>
                <w:lang w:val="en-US" w:eastAsia="zh-CN"/>
              </w:rPr>
            </w:pPr>
            <w:r>
              <w:rPr>
                <w:rFonts w:hint="default" w:ascii="Times New Roman" w:hAnsi="Times New Roman" w:cs="Times New Roman"/>
                <w:color w:val="auto"/>
                <w:szCs w:val="21"/>
                <w:highlight w:val="none"/>
              </w:rPr>
              <w:t>相应产品标准</w:t>
            </w:r>
          </w:p>
        </w:tc>
        <w:tc>
          <w:tcPr>
            <w:tcW w:w="2707" w:type="dxa"/>
            <w:vAlign w:val="center"/>
          </w:tcPr>
          <w:p>
            <w:pPr>
              <w:jc w:val="center"/>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GB/T 3920—2008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jc w:val="center"/>
        </w:trPr>
        <w:tc>
          <w:tcPr>
            <w:tcW w:w="733" w:type="dxa"/>
            <w:vAlign w:val="center"/>
          </w:tcPr>
          <w:p>
            <w:pPr>
              <w:jc w:val="center"/>
              <w:rPr>
                <w:rFonts w:hint="default" w:ascii="Times New Roman" w:hAnsi="Times New Roman" w:eastAsia="宋体" w:cs="Times New Roman"/>
                <w:kern w:val="2"/>
                <w:sz w:val="21"/>
                <w:szCs w:val="24"/>
                <w:highlight w:val="none"/>
                <w:lang w:val="en-US" w:eastAsia="zh-CN" w:bidi="ar-SA"/>
              </w:rPr>
            </w:pPr>
            <w:r>
              <w:rPr>
                <w:rFonts w:hint="eastAsia" w:cs="Times New Roman"/>
                <w:highlight w:val="none"/>
                <w:lang w:val="en-US" w:eastAsia="zh-CN"/>
              </w:rPr>
              <w:t>10</w:t>
            </w:r>
          </w:p>
        </w:tc>
        <w:tc>
          <w:tcPr>
            <w:tcW w:w="2707" w:type="dxa"/>
            <w:vAlign w:val="center"/>
          </w:tcPr>
          <w:p>
            <w:pPr>
              <w:jc w:val="center"/>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耐湿摩擦色牢度</w:t>
            </w:r>
          </w:p>
        </w:tc>
        <w:tc>
          <w:tcPr>
            <w:tcW w:w="2707" w:type="dxa"/>
            <w:vAlign w:val="center"/>
          </w:tcPr>
          <w:p>
            <w:pPr>
              <w:jc w:val="center"/>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GB 18401</w:t>
            </w:r>
            <w:r>
              <w:rPr>
                <w:rFonts w:hint="eastAsia" w:cs="Times New Roman"/>
                <w:highlight w:val="none"/>
                <w:lang w:val="en-US" w:eastAsia="zh-CN"/>
              </w:rPr>
              <w:t>—2010</w:t>
            </w:r>
          </w:p>
          <w:p>
            <w:pPr>
              <w:jc w:val="center"/>
              <w:rPr>
                <w:rFonts w:hint="default" w:ascii="Times New Roman" w:hAnsi="Times New Roman" w:cs="Times New Roman"/>
                <w:highlight w:val="none"/>
                <w:lang w:val="en-US" w:eastAsia="zh-CN"/>
              </w:rPr>
            </w:pPr>
            <w:r>
              <w:rPr>
                <w:rFonts w:hint="default" w:ascii="Times New Roman" w:hAnsi="Times New Roman" w:cs="Times New Roman"/>
                <w:color w:val="auto"/>
                <w:szCs w:val="21"/>
                <w:highlight w:val="none"/>
              </w:rPr>
              <w:t>相应产品标准</w:t>
            </w:r>
          </w:p>
        </w:tc>
        <w:tc>
          <w:tcPr>
            <w:tcW w:w="2707" w:type="dxa"/>
            <w:vAlign w:val="center"/>
          </w:tcPr>
          <w:p>
            <w:pPr>
              <w:jc w:val="center"/>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GB/T 3920—2008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jc w:val="center"/>
        </w:trPr>
        <w:tc>
          <w:tcPr>
            <w:tcW w:w="733" w:type="dxa"/>
            <w:vAlign w:val="center"/>
          </w:tcPr>
          <w:p>
            <w:pPr>
              <w:jc w:val="center"/>
              <w:rPr>
                <w:rFonts w:hint="default" w:ascii="Times New Roman" w:hAnsi="Times New Roman" w:cs="Times New Roman"/>
                <w:highlight w:val="none"/>
                <w:lang w:val="en-US" w:eastAsia="zh-CN"/>
              </w:rPr>
            </w:pPr>
            <w:r>
              <w:rPr>
                <w:rFonts w:hint="eastAsia" w:cs="Times New Roman"/>
                <w:highlight w:val="none"/>
                <w:lang w:val="en-US" w:eastAsia="zh-CN"/>
              </w:rPr>
              <w:t>11</w:t>
            </w:r>
          </w:p>
        </w:tc>
        <w:tc>
          <w:tcPr>
            <w:tcW w:w="2707" w:type="dxa"/>
            <w:vAlign w:val="center"/>
          </w:tcPr>
          <w:p>
            <w:pPr>
              <w:jc w:val="center"/>
              <w:rPr>
                <w:rFonts w:hint="default" w:cs="Times New Roman"/>
                <w:highlight w:val="none"/>
                <w:lang w:val="en-US" w:eastAsia="zh-CN"/>
              </w:rPr>
            </w:pPr>
            <w:r>
              <w:rPr>
                <w:rFonts w:hint="eastAsia" w:cs="Times New Roman"/>
                <w:highlight w:val="none"/>
                <w:lang w:val="en-US" w:eastAsia="zh-CN"/>
              </w:rPr>
              <w:t>耐皂洗色牢度</w:t>
            </w:r>
          </w:p>
        </w:tc>
        <w:tc>
          <w:tcPr>
            <w:tcW w:w="2707" w:type="dxa"/>
            <w:vAlign w:val="center"/>
          </w:tcPr>
          <w:p>
            <w:pPr>
              <w:snapToGrid w:val="0"/>
              <w:jc w:val="center"/>
              <w:rPr>
                <w:rFonts w:hint="default" w:ascii="Times New Roman" w:hAnsi="Times New Roman" w:cs="Times New Roman"/>
                <w:highlight w:val="none"/>
                <w:lang w:val="en-US" w:eastAsia="zh-CN"/>
              </w:rPr>
            </w:pPr>
            <w:r>
              <w:rPr>
                <w:rFonts w:hint="default" w:ascii="Times New Roman" w:hAnsi="Times New Roman" w:cs="Times New Roman"/>
                <w:color w:val="auto"/>
                <w:szCs w:val="21"/>
                <w:highlight w:val="none"/>
              </w:rPr>
              <w:t>相应产品标准</w:t>
            </w:r>
          </w:p>
        </w:tc>
        <w:tc>
          <w:tcPr>
            <w:tcW w:w="2707" w:type="dxa"/>
            <w:vAlign w:val="center"/>
          </w:tcPr>
          <w:p>
            <w:pPr>
              <w:snapToGrid w:val="0"/>
              <w:jc w:val="center"/>
              <w:rPr>
                <w:rFonts w:hint="default" w:ascii="Times New Roman" w:hAnsi="Times New Roman" w:cs="Times New Roman"/>
                <w:highlight w:val="none"/>
                <w:lang w:val="en-US" w:eastAsia="zh-CN"/>
              </w:rPr>
            </w:pPr>
            <w:r>
              <w:rPr>
                <w:rFonts w:hint="default" w:ascii="Times New Roman" w:hAnsi="Times New Roman" w:eastAsia="宋体" w:cs="Times New Roman"/>
                <w:color w:val="auto"/>
                <w:szCs w:val="21"/>
                <w:highlight w:val="none"/>
              </w:rPr>
              <w:t>GB/T 3921</w:t>
            </w:r>
            <w:r>
              <w:rPr>
                <w:rFonts w:hint="default" w:ascii="Times New Roman" w:hAnsi="Times New Roman" w:eastAsia="宋体" w:cs="Times New Roman"/>
                <w:color w:val="auto"/>
                <w:szCs w:val="21"/>
                <w:highlight w:val="none"/>
                <w:lang w:eastAsia="zh-CN"/>
              </w:rPr>
              <w:t>—</w:t>
            </w:r>
            <w:r>
              <w:rPr>
                <w:rFonts w:hint="default" w:ascii="Times New Roman" w:hAnsi="Times New Roman" w:eastAsia="宋体" w:cs="Times New Roman"/>
                <w:color w:val="auto"/>
                <w:szCs w:val="21"/>
                <w:highlight w:val="none"/>
              </w:rPr>
              <w:t>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jc w:val="center"/>
        </w:trPr>
        <w:tc>
          <w:tcPr>
            <w:tcW w:w="733" w:type="dxa"/>
            <w:vAlign w:val="center"/>
          </w:tcPr>
          <w:p>
            <w:pPr>
              <w:jc w:val="center"/>
              <w:rPr>
                <w:rFonts w:hint="default" w:ascii="Times New Roman" w:hAnsi="Times New Roman" w:cs="Times New Roman"/>
                <w:highlight w:val="none"/>
                <w:lang w:val="en-US" w:eastAsia="zh-CN"/>
              </w:rPr>
            </w:pPr>
            <w:r>
              <w:rPr>
                <w:rFonts w:hint="eastAsia" w:cs="Times New Roman"/>
                <w:highlight w:val="none"/>
                <w:lang w:val="en-US" w:eastAsia="zh-CN"/>
              </w:rPr>
              <w:t>12</w:t>
            </w:r>
          </w:p>
        </w:tc>
        <w:tc>
          <w:tcPr>
            <w:tcW w:w="2707" w:type="dxa"/>
            <w:vAlign w:val="center"/>
          </w:tcPr>
          <w:p>
            <w:pPr>
              <w:jc w:val="center"/>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起毛起球</w:t>
            </w:r>
          </w:p>
        </w:tc>
        <w:tc>
          <w:tcPr>
            <w:tcW w:w="2707" w:type="dxa"/>
            <w:vAlign w:val="center"/>
          </w:tcPr>
          <w:p>
            <w:pPr>
              <w:jc w:val="center"/>
              <w:rPr>
                <w:rFonts w:hint="default" w:ascii="Times New Roman" w:hAnsi="Times New Roman" w:cs="Times New Roman"/>
                <w:highlight w:val="none"/>
                <w:lang w:val="en-US" w:eastAsia="zh-CN"/>
              </w:rPr>
            </w:pPr>
            <w:r>
              <w:rPr>
                <w:rFonts w:hint="default" w:ascii="Times New Roman" w:hAnsi="Times New Roman" w:cs="Times New Roman"/>
                <w:color w:val="auto"/>
                <w:szCs w:val="21"/>
                <w:highlight w:val="none"/>
              </w:rPr>
              <w:t>相应产品标准</w:t>
            </w:r>
          </w:p>
        </w:tc>
        <w:tc>
          <w:tcPr>
            <w:tcW w:w="2707" w:type="dxa"/>
            <w:vAlign w:val="center"/>
          </w:tcPr>
          <w:p>
            <w:pPr>
              <w:jc w:val="center"/>
              <w:rPr>
                <w:rFonts w:hint="eastAsia" w:cs="Times New Roman"/>
                <w:highlight w:val="none"/>
                <w:lang w:val="en-US" w:eastAsia="zh-CN"/>
              </w:rPr>
            </w:pPr>
            <w:r>
              <w:rPr>
                <w:rFonts w:hint="default" w:ascii="Times New Roman" w:hAnsi="Times New Roman" w:cs="Times New Roman"/>
                <w:highlight w:val="none"/>
                <w:lang w:val="en-US" w:eastAsia="zh-CN"/>
              </w:rPr>
              <w:t>GB/T 4802</w:t>
            </w:r>
            <w:r>
              <w:rPr>
                <w:rFonts w:hint="eastAsia" w:cs="Times New Roman"/>
                <w:highlight w:val="none"/>
                <w:lang w:val="en-US" w:eastAsia="zh-CN"/>
              </w:rPr>
              <w:t>.1—2008</w:t>
            </w:r>
          </w:p>
          <w:p>
            <w:pPr>
              <w:jc w:val="center"/>
              <w:rPr>
                <w:rFonts w:hint="default" w:cs="Times New Roman"/>
                <w:highlight w:val="none"/>
                <w:lang w:val="en-US" w:eastAsia="zh-CN"/>
              </w:rPr>
            </w:pPr>
            <w:r>
              <w:rPr>
                <w:rFonts w:hint="default" w:ascii="Times New Roman" w:hAnsi="Times New Roman" w:cs="Times New Roman"/>
                <w:highlight w:val="none"/>
                <w:lang w:val="en-US" w:eastAsia="zh-CN"/>
              </w:rPr>
              <w:t>GB/T 4802</w:t>
            </w:r>
            <w:r>
              <w:rPr>
                <w:rFonts w:hint="eastAsia" w:cs="Times New Roman"/>
                <w:highlight w:val="none"/>
                <w:lang w:val="en-US" w:eastAsia="zh-CN"/>
              </w:rPr>
              <w:t>.3—2008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jc w:val="center"/>
        </w:trPr>
        <w:tc>
          <w:tcPr>
            <w:tcW w:w="733" w:type="dxa"/>
            <w:vAlign w:val="center"/>
          </w:tcPr>
          <w:p>
            <w:pPr>
              <w:jc w:val="center"/>
              <w:rPr>
                <w:rFonts w:hint="default" w:ascii="Times New Roman" w:hAnsi="Times New Roman" w:cs="Times New Roman"/>
                <w:highlight w:val="none"/>
                <w:lang w:val="en-US" w:eastAsia="zh-CN"/>
              </w:rPr>
            </w:pPr>
            <w:r>
              <w:rPr>
                <w:rFonts w:hint="eastAsia" w:cs="Times New Roman"/>
                <w:highlight w:val="none"/>
                <w:lang w:val="en-US" w:eastAsia="zh-CN"/>
              </w:rPr>
              <w:t>13</w:t>
            </w:r>
          </w:p>
        </w:tc>
        <w:tc>
          <w:tcPr>
            <w:tcW w:w="2707" w:type="dxa"/>
            <w:vAlign w:val="center"/>
          </w:tcPr>
          <w:p>
            <w:pPr>
              <w:jc w:val="center"/>
              <w:rPr>
                <w:rFonts w:hint="default" w:ascii="Times New Roman" w:hAnsi="Times New Roman" w:cs="Times New Roman"/>
                <w:highlight w:val="none"/>
                <w:lang w:val="en-US" w:eastAsia="zh-CN"/>
              </w:rPr>
            </w:pPr>
            <w:r>
              <w:rPr>
                <w:rFonts w:hint="eastAsia" w:ascii="Times New Roman" w:hAnsi="Times New Roman" w:cs="Times New Roman"/>
                <w:highlight w:val="none"/>
                <w:lang w:val="en-US" w:eastAsia="zh-CN"/>
              </w:rPr>
              <w:t>耐光色牢度</w:t>
            </w:r>
          </w:p>
        </w:tc>
        <w:tc>
          <w:tcPr>
            <w:tcW w:w="2707" w:type="dxa"/>
            <w:vAlign w:val="center"/>
          </w:tcPr>
          <w:p>
            <w:pPr>
              <w:jc w:val="center"/>
              <w:rPr>
                <w:rFonts w:hint="default" w:ascii="Times New Roman" w:hAnsi="Times New Roman" w:cs="Times New Roman"/>
                <w:highlight w:val="none"/>
                <w:lang w:val="en-US" w:eastAsia="zh-CN"/>
              </w:rPr>
            </w:pPr>
            <w:r>
              <w:rPr>
                <w:rFonts w:hint="default" w:ascii="Times New Roman" w:hAnsi="Times New Roman" w:cs="Times New Roman"/>
                <w:color w:val="auto"/>
                <w:szCs w:val="21"/>
                <w:highlight w:val="none"/>
              </w:rPr>
              <w:t>相应产品标准</w:t>
            </w:r>
          </w:p>
        </w:tc>
        <w:tc>
          <w:tcPr>
            <w:tcW w:w="2707" w:type="dxa"/>
            <w:vAlign w:val="center"/>
          </w:tcPr>
          <w:p>
            <w:pPr>
              <w:jc w:val="center"/>
              <w:rPr>
                <w:rFonts w:hint="eastAsia" w:cs="Times New Roman"/>
                <w:highlight w:val="none"/>
                <w:lang w:val="en-US" w:eastAsia="zh-CN"/>
              </w:rPr>
            </w:pPr>
            <w:r>
              <w:rPr>
                <w:rFonts w:hint="eastAsia" w:ascii="Times New Roman" w:hAnsi="Times New Roman" w:cs="Times New Roman"/>
                <w:highlight w:val="none"/>
                <w:lang w:val="en-US" w:eastAsia="zh-CN"/>
              </w:rPr>
              <w:t>GB/T 8427</w:t>
            </w:r>
            <w:r>
              <w:rPr>
                <w:rFonts w:hint="eastAsia" w:cs="Times New Roman"/>
                <w:highlight w:val="none"/>
                <w:lang w:val="en-US" w:eastAsia="zh-CN"/>
              </w:rPr>
              <w:t>—2008</w:t>
            </w:r>
          </w:p>
          <w:p>
            <w:pPr>
              <w:jc w:val="center"/>
              <w:rPr>
                <w:rFonts w:hint="default" w:cs="Times New Roman"/>
                <w:highlight w:val="none"/>
                <w:lang w:val="en-US" w:eastAsia="zh-CN"/>
              </w:rPr>
            </w:pPr>
            <w:r>
              <w:rPr>
                <w:rFonts w:hint="eastAsia" w:ascii="Times New Roman" w:hAnsi="Times New Roman" w:cs="Times New Roman"/>
                <w:highlight w:val="none"/>
                <w:lang w:val="en-US" w:eastAsia="zh-CN"/>
              </w:rPr>
              <w:t>GB/T 8427</w:t>
            </w:r>
            <w:r>
              <w:rPr>
                <w:rFonts w:hint="eastAsia" w:cs="Times New Roman"/>
                <w:highlight w:val="none"/>
                <w:lang w:val="en-US" w:eastAsia="zh-CN"/>
              </w:rPr>
              <w:t>—2019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jc w:val="center"/>
        </w:trPr>
        <w:tc>
          <w:tcPr>
            <w:tcW w:w="733" w:type="dxa"/>
            <w:vAlign w:val="center"/>
          </w:tcPr>
          <w:p>
            <w:pPr>
              <w:jc w:val="center"/>
              <w:rPr>
                <w:rFonts w:hint="default" w:cs="Times New Roman"/>
                <w:highlight w:val="none"/>
                <w:lang w:val="en-US" w:eastAsia="zh-CN"/>
              </w:rPr>
            </w:pPr>
            <w:r>
              <w:rPr>
                <w:rFonts w:hint="eastAsia" w:cs="Times New Roman"/>
                <w:highlight w:val="none"/>
                <w:lang w:val="en-US" w:eastAsia="zh-CN"/>
              </w:rPr>
              <w:t>14</w:t>
            </w:r>
          </w:p>
        </w:tc>
        <w:tc>
          <w:tcPr>
            <w:tcW w:w="2707" w:type="dxa"/>
            <w:vAlign w:val="center"/>
          </w:tcPr>
          <w:p>
            <w:pPr>
              <w:jc w:val="center"/>
              <w:rPr>
                <w:rFonts w:hint="default" w:ascii="Times New Roman" w:hAnsi="Times New Roman" w:cs="Times New Roman"/>
                <w:highlight w:val="none"/>
                <w:lang w:val="en-US" w:eastAsia="zh-CN"/>
              </w:rPr>
            </w:pPr>
            <w:r>
              <w:rPr>
                <w:rFonts w:hint="eastAsia" w:cs="Times New Roman"/>
                <w:highlight w:val="none"/>
                <w:lang w:val="en-US" w:eastAsia="zh-CN"/>
              </w:rPr>
              <w:t>耐光、汗复合色牢度</w:t>
            </w:r>
          </w:p>
        </w:tc>
        <w:tc>
          <w:tcPr>
            <w:tcW w:w="2707" w:type="dxa"/>
            <w:vAlign w:val="center"/>
          </w:tcPr>
          <w:p>
            <w:pPr>
              <w:snapToGrid w:val="0"/>
              <w:jc w:val="center"/>
              <w:rPr>
                <w:rFonts w:hint="eastAsia" w:ascii="Times New Roman" w:hAnsi="Times New Roman" w:cs="Times New Roman"/>
                <w:highlight w:val="none"/>
                <w:lang w:val="en-US" w:eastAsia="zh-CN"/>
              </w:rPr>
            </w:pPr>
            <w:r>
              <w:rPr>
                <w:rFonts w:hint="default" w:ascii="Times New Roman" w:hAnsi="Times New Roman" w:cs="Times New Roman"/>
                <w:color w:val="auto"/>
                <w:szCs w:val="21"/>
                <w:highlight w:val="none"/>
              </w:rPr>
              <w:t>相应产品标准</w:t>
            </w:r>
          </w:p>
        </w:tc>
        <w:tc>
          <w:tcPr>
            <w:tcW w:w="2707" w:type="dxa"/>
            <w:vAlign w:val="center"/>
          </w:tcPr>
          <w:p>
            <w:pPr>
              <w:snapToGrid w:val="0"/>
              <w:jc w:val="center"/>
              <w:rPr>
                <w:rFonts w:hint="default" w:ascii="Times New Roman" w:hAnsi="Times New Roman" w:eastAsia="宋体" w:cs="Times New Roman"/>
                <w:highlight w:val="none"/>
                <w:lang w:val="en-US" w:eastAsia="zh-CN"/>
              </w:rPr>
            </w:pPr>
            <w:r>
              <w:rPr>
                <w:rFonts w:hint="default" w:ascii="Times New Roman" w:hAnsi="Times New Roman" w:cs="Times New Roman"/>
                <w:color w:val="auto"/>
                <w:szCs w:val="21"/>
                <w:highlight w:val="none"/>
              </w:rPr>
              <w:t>GB/T 14576</w:t>
            </w:r>
            <w:r>
              <w:rPr>
                <w:rFonts w:hint="eastAsia" w:cs="Times New Roman"/>
                <w:color w:val="auto"/>
                <w:szCs w:val="21"/>
                <w:highlight w:val="none"/>
                <w:lang w:eastAsia="zh-CN"/>
              </w:rPr>
              <w:t>—</w:t>
            </w:r>
            <w:r>
              <w:rPr>
                <w:rFonts w:hint="eastAsia" w:cs="Times New Roman"/>
                <w:color w:val="auto"/>
                <w:szCs w:val="21"/>
                <w:highlight w:val="none"/>
                <w:lang w:val="en-US" w:eastAsia="zh-CN"/>
              </w:rPr>
              <w:t>2009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jc w:val="center"/>
        </w:trPr>
        <w:tc>
          <w:tcPr>
            <w:tcW w:w="733" w:type="dxa"/>
            <w:vAlign w:val="center"/>
          </w:tcPr>
          <w:p>
            <w:pPr>
              <w:jc w:val="center"/>
              <w:rPr>
                <w:rFonts w:hint="default" w:ascii="Times New Roman" w:hAnsi="Times New Roman" w:cs="Times New Roman"/>
                <w:highlight w:val="none"/>
                <w:lang w:val="en-US" w:eastAsia="zh-CN"/>
              </w:rPr>
            </w:pPr>
            <w:r>
              <w:rPr>
                <w:rFonts w:hint="eastAsia" w:cs="Times New Roman"/>
                <w:highlight w:val="none"/>
                <w:lang w:val="en-US" w:eastAsia="zh-CN"/>
              </w:rPr>
              <w:t>15</w:t>
            </w:r>
          </w:p>
        </w:tc>
        <w:tc>
          <w:tcPr>
            <w:tcW w:w="2707" w:type="dxa"/>
            <w:vAlign w:val="center"/>
          </w:tcPr>
          <w:p>
            <w:pPr>
              <w:jc w:val="center"/>
              <w:rPr>
                <w:rFonts w:hint="default" w:ascii="Times New Roman" w:hAnsi="Times New Roman" w:cs="Times New Roman"/>
                <w:highlight w:val="none"/>
                <w:lang w:val="en-US" w:eastAsia="zh-CN"/>
              </w:rPr>
            </w:pPr>
            <w:r>
              <w:rPr>
                <w:rFonts w:hint="eastAsia" w:ascii="Times New Roman" w:hAnsi="Times New Roman" w:cs="Times New Roman"/>
                <w:highlight w:val="none"/>
                <w:lang w:val="en-US" w:eastAsia="zh-CN"/>
              </w:rPr>
              <w:t>耐磨性能</w:t>
            </w:r>
          </w:p>
        </w:tc>
        <w:tc>
          <w:tcPr>
            <w:tcW w:w="2707" w:type="dxa"/>
            <w:vAlign w:val="center"/>
          </w:tcPr>
          <w:p>
            <w:pPr>
              <w:jc w:val="center"/>
              <w:rPr>
                <w:rFonts w:hint="default" w:ascii="Times New Roman" w:hAnsi="Times New Roman" w:cs="Times New Roman"/>
                <w:highlight w:val="none"/>
                <w:lang w:val="en-US" w:eastAsia="zh-CN"/>
              </w:rPr>
            </w:pPr>
            <w:r>
              <w:rPr>
                <w:rFonts w:hint="default" w:ascii="Times New Roman" w:hAnsi="Times New Roman" w:cs="Times New Roman"/>
                <w:color w:val="auto"/>
                <w:szCs w:val="21"/>
                <w:highlight w:val="none"/>
              </w:rPr>
              <w:t>相应产品标准</w:t>
            </w:r>
          </w:p>
        </w:tc>
        <w:tc>
          <w:tcPr>
            <w:tcW w:w="2707" w:type="dxa"/>
            <w:vAlign w:val="center"/>
          </w:tcPr>
          <w:p>
            <w:pPr>
              <w:jc w:val="center"/>
              <w:rPr>
                <w:rFonts w:hint="default" w:ascii="Times New Roman" w:hAnsi="Times New Roman" w:cs="Times New Roman"/>
                <w:highlight w:val="none"/>
                <w:lang w:val="en-US" w:eastAsia="zh-CN"/>
              </w:rPr>
            </w:pPr>
            <w:r>
              <w:rPr>
                <w:rFonts w:hint="eastAsia" w:ascii="Times New Roman" w:hAnsi="Times New Roman" w:cs="Times New Roman"/>
                <w:highlight w:val="none"/>
                <w:lang w:val="en-US" w:eastAsia="zh-CN"/>
              </w:rPr>
              <w:t>GB/T</w:t>
            </w:r>
            <w:r>
              <w:rPr>
                <w:rFonts w:hint="default" w:ascii="Times New Roman" w:hAnsi="Times New Roman" w:cs="Times New Roman"/>
                <w:highlight w:val="none"/>
                <w:lang w:val="en-US" w:eastAsia="zh-CN"/>
              </w:rPr>
              <w:t xml:space="preserve"> 21196.2</w:t>
            </w:r>
            <w:r>
              <w:rPr>
                <w:rFonts w:hint="eastAsia" w:cs="Times New Roman"/>
                <w:highlight w:val="none"/>
                <w:lang w:val="en-US" w:eastAsia="zh-CN"/>
              </w:rPr>
              <w:t>—2007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jc w:val="center"/>
        </w:trPr>
        <w:tc>
          <w:tcPr>
            <w:tcW w:w="733" w:type="dxa"/>
            <w:vAlign w:val="center"/>
          </w:tcPr>
          <w:p>
            <w:pPr>
              <w:jc w:val="center"/>
              <w:rPr>
                <w:rFonts w:hint="default" w:ascii="Times New Roman" w:hAnsi="Times New Roman" w:cs="Times New Roman"/>
                <w:highlight w:val="none"/>
                <w:lang w:val="en-US" w:eastAsia="zh-CN"/>
              </w:rPr>
            </w:pPr>
            <w:r>
              <w:rPr>
                <w:rFonts w:hint="eastAsia" w:cs="Times New Roman"/>
                <w:highlight w:val="none"/>
                <w:lang w:val="en-US" w:eastAsia="zh-CN"/>
              </w:rPr>
              <w:t>16</w:t>
            </w:r>
          </w:p>
        </w:tc>
        <w:tc>
          <w:tcPr>
            <w:tcW w:w="2707" w:type="dxa"/>
            <w:vAlign w:val="center"/>
          </w:tcPr>
          <w:p>
            <w:pPr>
              <w:jc w:val="center"/>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产品使用说明</w:t>
            </w:r>
          </w:p>
        </w:tc>
        <w:tc>
          <w:tcPr>
            <w:tcW w:w="2707" w:type="dxa"/>
            <w:vAlign w:val="center"/>
          </w:tcPr>
          <w:p>
            <w:pPr>
              <w:jc w:val="center"/>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GB/T 5296.4</w:t>
            </w:r>
            <w:r>
              <w:rPr>
                <w:rFonts w:hint="eastAsia" w:cs="Times New Roman"/>
                <w:highlight w:val="none"/>
                <w:lang w:val="en-US" w:eastAsia="zh-CN"/>
              </w:rPr>
              <w:t>—</w:t>
            </w:r>
            <w:r>
              <w:rPr>
                <w:rFonts w:hint="default" w:ascii="Times New Roman" w:hAnsi="Times New Roman" w:cs="Times New Roman"/>
                <w:highlight w:val="none"/>
                <w:lang w:val="en-US" w:eastAsia="zh-CN"/>
              </w:rPr>
              <w:t>2012</w:t>
            </w:r>
          </w:p>
          <w:p>
            <w:pPr>
              <w:jc w:val="center"/>
              <w:rPr>
                <w:rFonts w:hint="default" w:ascii="Times New Roman" w:hAnsi="Times New Roman" w:cs="Times New Roman"/>
                <w:highlight w:val="none"/>
                <w:lang w:val="en-US" w:eastAsia="zh-CN"/>
              </w:rPr>
            </w:pPr>
            <w:r>
              <w:rPr>
                <w:rFonts w:hint="default" w:ascii="Times New Roman" w:hAnsi="Times New Roman" w:cs="Times New Roman"/>
                <w:color w:val="auto"/>
                <w:szCs w:val="21"/>
                <w:highlight w:val="none"/>
              </w:rPr>
              <w:t>相应产品标准</w:t>
            </w:r>
          </w:p>
        </w:tc>
        <w:tc>
          <w:tcPr>
            <w:tcW w:w="2707" w:type="dxa"/>
            <w:vAlign w:val="center"/>
          </w:tcPr>
          <w:p>
            <w:pPr>
              <w:jc w:val="center"/>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GB/T 5296.4</w:t>
            </w:r>
            <w:r>
              <w:rPr>
                <w:rFonts w:hint="eastAsia" w:cs="Times New Roman"/>
                <w:highlight w:val="none"/>
                <w:lang w:val="en-US" w:eastAsia="zh-CN"/>
              </w:rPr>
              <w:t>—</w:t>
            </w:r>
            <w:r>
              <w:rPr>
                <w:rFonts w:hint="default" w:ascii="Times New Roman" w:hAnsi="Times New Roman" w:cs="Times New Roman"/>
                <w:highlight w:val="none"/>
                <w:lang w:val="en-US" w:eastAsia="zh-CN"/>
              </w:rPr>
              <w:t>2012</w:t>
            </w:r>
          </w:p>
          <w:p>
            <w:pPr>
              <w:jc w:val="center"/>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相应产品标准</w:t>
            </w:r>
          </w:p>
        </w:tc>
      </w:tr>
    </w:tbl>
    <w:p>
      <w:pPr>
        <w:snapToGrid w:val="0"/>
        <w:spacing w:line="440" w:lineRule="exact"/>
        <w:ind w:firstLine="420" w:firstLineChars="200"/>
        <w:rPr>
          <w:color w:val="000000"/>
          <w:szCs w:val="21"/>
          <w:highlight w:val="none"/>
        </w:rPr>
      </w:pPr>
      <w:r>
        <w:rPr>
          <w:color w:val="000000"/>
          <w:szCs w:val="21"/>
          <w:highlight w:val="none"/>
        </w:rPr>
        <w:t>执行企业标准、团体标准、地方标准的产品，检验项目参照上述内容执行。</w:t>
      </w:r>
    </w:p>
    <w:p>
      <w:pPr>
        <w:snapToGrid w:val="0"/>
        <w:spacing w:line="440" w:lineRule="exact"/>
        <w:ind w:firstLine="420" w:firstLineChars="200"/>
        <w:rPr>
          <w:color w:val="000000"/>
          <w:szCs w:val="21"/>
          <w:highlight w:val="none"/>
        </w:rPr>
      </w:pPr>
      <w:r>
        <w:rPr>
          <w:color w:val="000000"/>
          <w:szCs w:val="21"/>
          <w:highlight w:val="none"/>
        </w:rPr>
        <w:t>凡是注日期的文件，其随后所有的修改单（不包括勘误的内容）或修订版不适用于本细则。凡是不注日期的文件，其最新版本适用于本细则。</w:t>
      </w:r>
    </w:p>
    <w:p>
      <w:pPr>
        <w:spacing w:line="440" w:lineRule="exact"/>
        <w:rPr>
          <w:rFonts w:eastAsia="黑体"/>
          <w:color w:val="000000"/>
          <w:szCs w:val="21"/>
          <w:highlight w:val="none"/>
        </w:rPr>
      </w:pPr>
    </w:p>
    <w:p>
      <w:pPr>
        <w:spacing w:line="440" w:lineRule="exact"/>
        <w:rPr>
          <w:rFonts w:eastAsia="黑体"/>
          <w:color w:val="000000"/>
          <w:szCs w:val="21"/>
          <w:highlight w:val="none"/>
        </w:rPr>
      </w:pPr>
      <w:r>
        <w:rPr>
          <w:rFonts w:eastAsia="黑体"/>
          <w:color w:val="000000"/>
          <w:szCs w:val="21"/>
          <w:highlight w:val="none"/>
        </w:rPr>
        <w:t>3 判定规则</w:t>
      </w:r>
    </w:p>
    <w:p>
      <w:pPr>
        <w:snapToGrid w:val="0"/>
        <w:spacing w:line="440" w:lineRule="exact"/>
        <w:rPr>
          <w:color w:val="000000"/>
          <w:szCs w:val="21"/>
          <w:highlight w:val="none"/>
        </w:rPr>
      </w:pPr>
      <w:r>
        <w:rPr>
          <w:color w:val="000000"/>
          <w:szCs w:val="21"/>
          <w:highlight w:val="none"/>
        </w:rPr>
        <w:t>3.1依据标准</w:t>
      </w:r>
    </w:p>
    <w:p>
      <w:pPr>
        <w:snapToGrid w:val="0"/>
        <w:spacing w:line="440" w:lineRule="exact"/>
        <w:ind w:firstLine="420" w:firstLineChars="200"/>
        <w:rPr>
          <w:rFonts w:hint="eastAsia" w:eastAsia="宋体"/>
          <w:color w:val="000000"/>
          <w:szCs w:val="21"/>
          <w:highlight w:val="none"/>
          <w:lang w:eastAsia="zh-CN"/>
        </w:rPr>
      </w:pPr>
      <w:r>
        <w:rPr>
          <w:color w:val="000000"/>
          <w:szCs w:val="21"/>
          <w:highlight w:val="none"/>
        </w:rPr>
        <w:t>GB/T 29862—2013</w:t>
      </w:r>
      <w:r>
        <w:rPr>
          <w:rFonts w:hint="eastAsia"/>
          <w:color w:val="000000"/>
          <w:szCs w:val="21"/>
          <w:highlight w:val="none"/>
          <w:lang w:eastAsia="zh-CN"/>
        </w:rPr>
        <w:t>《</w:t>
      </w:r>
      <w:r>
        <w:rPr>
          <w:color w:val="000000"/>
          <w:szCs w:val="21"/>
          <w:highlight w:val="none"/>
        </w:rPr>
        <w:t>纺织品 纤维含量的标识</w:t>
      </w:r>
      <w:r>
        <w:rPr>
          <w:rFonts w:hint="eastAsia"/>
          <w:color w:val="000000"/>
          <w:szCs w:val="21"/>
          <w:highlight w:val="none"/>
          <w:lang w:eastAsia="zh-CN"/>
        </w:rPr>
        <w:t>》</w:t>
      </w:r>
    </w:p>
    <w:p>
      <w:pPr>
        <w:snapToGrid w:val="0"/>
        <w:spacing w:line="440" w:lineRule="exact"/>
        <w:ind w:firstLine="420" w:firstLineChars="200"/>
        <w:rPr>
          <w:rFonts w:hint="eastAsia" w:eastAsia="宋体"/>
          <w:color w:val="000000"/>
          <w:szCs w:val="21"/>
          <w:highlight w:val="none"/>
          <w:lang w:eastAsia="zh-CN"/>
        </w:rPr>
      </w:pPr>
      <w:r>
        <w:rPr>
          <w:rFonts w:hint="eastAsia"/>
          <w:color w:val="000000"/>
          <w:szCs w:val="21"/>
          <w:highlight w:val="none"/>
        </w:rPr>
        <w:t>GB 18401</w:t>
      </w:r>
      <w:r>
        <w:rPr>
          <w:color w:val="000000"/>
          <w:szCs w:val="21"/>
          <w:highlight w:val="none"/>
        </w:rPr>
        <w:t>—</w:t>
      </w:r>
      <w:r>
        <w:rPr>
          <w:rFonts w:hint="eastAsia"/>
          <w:color w:val="000000"/>
          <w:szCs w:val="21"/>
          <w:highlight w:val="none"/>
          <w:lang w:val="en-US" w:eastAsia="zh-CN"/>
        </w:rPr>
        <w:t>2010《</w:t>
      </w:r>
      <w:r>
        <w:rPr>
          <w:rFonts w:hint="eastAsia"/>
          <w:color w:val="000000"/>
          <w:szCs w:val="21"/>
          <w:highlight w:val="none"/>
        </w:rPr>
        <w:t>国家纺织产品基本安全技术规范</w:t>
      </w:r>
      <w:r>
        <w:rPr>
          <w:rFonts w:hint="eastAsia"/>
          <w:color w:val="000000"/>
          <w:szCs w:val="21"/>
          <w:highlight w:val="none"/>
          <w:lang w:eastAsia="zh-CN"/>
        </w:rPr>
        <w:t>》</w:t>
      </w:r>
    </w:p>
    <w:p>
      <w:pPr>
        <w:snapToGrid w:val="0"/>
        <w:spacing w:line="440" w:lineRule="exact"/>
        <w:ind w:firstLine="420" w:firstLineChars="200"/>
        <w:rPr>
          <w:rFonts w:hint="default"/>
          <w:highlight w:val="none"/>
          <w:lang w:val="en-US" w:eastAsia="zh-CN"/>
        </w:rPr>
      </w:pPr>
      <w:r>
        <w:rPr>
          <w:highlight w:val="none"/>
        </w:rPr>
        <w:t>GB/T 5296.4</w:t>
      </w:r>
      <w:r>
        <w:rPr>
          <w:color w:val="000000"/>
          <w:szCs w:val="21"/>
          <w:highlight w:val="none"/>
        </w:rPr>
        <w:t>—</w:t>
      </w:r>
      <w:r>
        <w:rPr>
          <w:rFonts w:hint="eastAsia"/>
          <w:highlight w:val="none"/>
          <w:lang w:val="en-US" w:eastAsia="zh-CN"/>
        </w:rPr>
        <w:t>2012</w:t>
      </w:r>
      <w:r>
        <w:rPr>
          <w:rFonts w:hint="eastAsia"/>
          <w:color w:val="000000"/>
          <w:szCs w:val="21"/>
          <w:highlight w:val="none"/>
          <w:lang w:val="en-US" w:eastAsia="zh-CN"/>
        </w:rPr>
        <w:t>《</w:t>
      </w:r>
      <w:r>
        <w:rPr>
          <w:rFonts w:hint="eastAsia"/>
          <w:highlight w:val="none"/>
          <w:lang w:val="en-US" w:eastAsia="zh-CN"/>
        </w:rPr>
        <w:t>消费品使用说明 第4部分：纺织品和服装》</w:t>
      </w:r>
    </w:p>
    <w:p>
      <w:pPr>
        <w:snapToGrid w:val="0"/>
        <w:spacing w:line="440" w:lineRule="exact"/>
        <w:ind w:firstLine="420" w:firstLineChars="200"/>
        <w:rPr>
          <w:color w:val="000000"/>
          <w:szCs w:val="21"/>
          <w:highlight w:val="none"/>
        </w:rPr>
      </w:pPr>
      <w:r>
        <w:rPr>
          <w:color w:val="000000"/>
          <w:szCs w:val="21"/>
          <w:highlight w:val="none"/>
        </w:rPr>
        <w:t>现行有效的企业标准、团体标准、地方标准及产品明示质量要求</w:t>
      </w:r>
    </w:p>
    <w:p>
      <w:pPr>
        <w:snapToGrid w:val="0"/>
        <w:spacing w:line="440" w:lineRule="exact"/>
        <w:rPr>
          <w:color w:val="000000"/>
          <w:szCs w:val="21"/>
          <w:highlight w:val="none"/>
        </w:rPr>
      </w:pPr>
      <w:r>
        <w:rPr>
          <w:color w:val="000000"/>
          <w:szCs w:val="21"/>
          <w:highlight w:val="none"/>
        </w:rPr>
        <w:t>3.2判定原则</w:t>
      </w:r>
    </w:p>
    <w:p>
      <w:pPr>
        <w:snapToGrid w:val="0"/>
        <w:spacing w:line="440" w:lineRule="exact"/>
        <w:ind w:firstLine="420" w:firstLineChars="200"/>
        <w:rPr>
          <w:szCs w:val="21"/>
          <w:highlight w:val="none"/>
        </w:rPr>
      </w:pPr>
      <w:r>
        <w:rPr>
          <w:szCs w:val="21"/>
          <w:highlight w:val="none"/>
        </w:rPr>
        <w:t>经检验，检验项目全部合格，判定为被抽查产品所检项目未发现不合格；检验项目中任一项或一项以上不合格，判定为被抽查产品不合格。</w:t>
      </w:r>
    </w:p>
    <w:p>
      <w:pPr>
        <w:snapToGrid w:val="0"/>
        <w:spacing w:line="440" w:lineRule="exact"/>
        <w:ind w:firstLine="420" w:firstLineChars="200"/>
        <w:rPr>
          <w:color w:val="000000"/>
          <w:szCs w:val="21"/>
          <w:highlight w:val="none"/>
        </w:rPr>
      </w:pPr>
      <w:r>
        <w:rPr>
          <w:color w:val="000000"/>
          <w:szCs w:val="21"/>
          <w:highlight w:val="none"/>
        </w:rPr>
        <w:t>若被检产品明示的质量要求高于本细则中检验项目依据的标准要求时，应按被检产品明示的质量要求判定。</w:t>
      </w:r>
    </w:p>
    <w:p>
      <w:pPr>
        <w:snapToGrid w:val="0"/>
        <w:spacing w:line="440" w:lineRule="exact"/>
        <w:ind w:firstLine="420" w:firstLineChars="200"/>
        <w:rPr>
          <w:color w:val="000000"/>
          <w:szCs w:val="21"/>
          <w:highlight w:val="none"/>
        </w:rPr>
      </w:pPr>
      <w:r>
        <w:rPr>
          <w:color w:val="000000"/>
          <w:szCs w:val="21"/>
          <w:highlight w:val="none"/>
        </w:rPr>
        <w:t>若被检产品明示的质量要求低于本细则中检验项目依据的强制性标准要求时，应按照强制性标准要求判定。</w:t>
      </w:r>
    </w:p>
    <w:p>
      <w:pPr>
        <w:snapToGrid w:val="0"/>
        <w:spacing w:line="440" w:lineRule="exact"/>
        <w:ind w:firstLine="420" w:firstLineChars="200"/>
        <w:rPr>
          <w:color w:val="000000"/>
          <w:szCs w:val="21"/>
          <w:highlight w:val="none"/>
        </w:rPr>
      </w:pPr>
      <w:r>
        <w:rPr>
          <w:color w:val="000000"/>
          <w:szCs w:val="21"/>
          <w:highlight w:val="none"/>
        </w:rPr>
        <w:t>若被检产品明示的质量要求低于或包含本细则中检验项目依据的推荐性标准要求时，应以被检产品明示的质量要求判定。</w:t>
      </w:r>
    </w:p>
    <w:p>
      <w:pPr>
        <w:snapToGrid w:val="0"/>
        <w:spacing w:line="440" w:lineRule="exact"/>
        <w:ind w:firstLine="420" w:firstLineChars="200"/>
        <w:rPr>
          <w:color w:val="000000"/>
          <w:szCs w:val="21"/>
          <w:highlight w:val="none"/>
        </w:rPr>
      </w:pPr>
      <w:r>
        <w:rPr>
          <w:color w:val="000000"/>
          <w:szCs w:val="21"/>
          <w:highlight w:val="none"/>
        </w:rPr>
        <w:t>若被检产品明示的质量要求缺少本细则中检验项目依据的强制性标准要求时，应按照强制性标准要求判定。</w:t>
      </w:r>
    </w:p>
    <w:p>
      <w:pPr>
        <w:snapToGrid w:val="0"/>
        <w:spacing w:line="440" w:lineRule="exact"/>
        <w:ind w:firstLine="420" w:firstLineChars="200"/>
        <w:rPr>
          <w:color w:val="000000"/>
          <w:szCs w:val="21"/>
          <w:highlight w:val="none"/>
        </w:rPr>
      </w:pPr>
      <w:r>
        <w:rPr>
          <w:color w:val="000000"/>
          <w:szCs w:val="21"/>
          <w:highlight w:val="none"/>
        </w:rPr>
        <w:t>若被检产品明示的质量要求缺少本细则中检验项目依据的推荐性标准要求时，该项目不参与判定。</w:t>
      </w:r>
    </w:p>
    <w:p/>
    <w:sectPr>
      <w:headerReference r:id="rId4" w:type="default"/>
      <w:footerReference r:id="rId5" w:type="default"/>
      <w:pgSz w:w="11906" w:h="16838"/>
      <w:pgMar w:top="2098" w:right="1474" w:bottom="1985"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
    </w:pPr>
    <w:r>
      <w:rPr>
        <w:rFonts w:ascii="Times New Roman" w:hAnsi="Times New Roman" w:eastAsia="宋体" w:cs="Times New Roman"/>
        <w:kern w:val="2"/>
        <w:sz w:val="18"/>
        <w:szCs w:val="18"/>
        <w:lang w:val="en-US" w:eastAsia="zh-CN" w:bidi="ar-SA"/>
      </w:rPr>
      <w:pict>
        <v:rect id="Quad Arrow 1" o:spid="_x0000_s1025" style="position:absolute;left:0;margin-top:0pt;height:144pt;width:144pt;mso-position-horizontal:center;mso-position-horizontal-relative:margin;mso-wrap-style:none;rotation:0f;z-index:251658240;"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v:textbox>
        </v:rect>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1"/>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65592FC7"/>
    <w:rsid w:val="499A3D5A"/>
    <w:rsid w:val="65592FC7"/>
  </w:rsids>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5">
    <w:name w:val="Normal Table"/>
    <w:semiHidden/>
    <w:uiPriority w:val="0"/>
    <w:tblPr>
      <w:tblStyle w:val="5"/>
      <w:tblLayout w:type="fixed"/>
      <w:tblCellMar>
        <w:top w:w="0" w:type="dxa"/>
        <w:left w:w="108" w:type="dxa"/>
        <w:bottom w:w="0" w:type="dxa"/>
        <w:right w:w="108" w:type="dxa"/>
      </w:tblCellMar>
    </w:tblPr>
    <w:tcPr>
      <w:textDirection w:val="lrTb"/>
    </w:tc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ScaleCrop>false</ScaleCrop>
  <LinksUpToDate>false</LinksUpToDate>
  <CharactersWithSpaces>0</CharactersWithSpaces>
  <Application>WPS Office 专业版_9.1.0.5012_F1E327BC-269C-435d-A152-05C5408002CA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2025-05-23T02:51:00Z</dcterms:created>
  <dc:creator>冯伟</dc:creator>
  <cp:lastModifiedBy>孙晓刚</cp:lastModifiedBy>
  <dcterms:modified xsi:type="dcterms:W3CDTF">2025-05-30T01:21:03Z</dcterms:modified>
  <dc:title>2025年北京市东城区成人服装产品质量监督抽查实施细则</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2052-9.1.0.5012</vt:lpwstr>
  </property>
  <property fmtid="{D5CDD505-2E9C-101B-9397-08002B2CF9AE}" pid="3" name="ICV">
    <vt:lpwstr>DEB692CE9B594CE0AD81F55460EBDF1D_11</vt:lpwstr>
  </property>
  <property fmtid="{D5CDD505-2E9C-101B-9397-08002B2CF9AE}" pid="4" name="KSOTemplateDocerSaveRecord">
    <vt:lpwstr>eyJoZGlkIjoiMGE0NTk2NGVkNWVmYTVjOTI5ZjBlYThlMGI3YTAxODIiLCJ1c2VySWQiOiIzNjk2MTAwMzIifQ==</vt:lpwstr>
  </property>
</Properties>
</file>