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04" w:rsidRDefault="00975D04">
      <w:pPr>
        <w:pStyle w:val="a5"/>
        <w:widowControl/>
        <w:spacing w:beforeAutospacing="0" w:afterAutospacing="0" w:line="68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bookmarkStart w:id="0" w:name="_GoBack"/>
      <w:bookmarkEnd w:id="0"/>
    </w:p>
    <w:p w:rsidR="00975D04" w:rsidRDefault="00975D04">
      <w:pPr>
        <w:pStyle w:val="a5"/>
        <w:widowControl/>
        <w:spacing w:beforeAutospacing="0" w:afterAutospacing="0" w:line="68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975D04" w:rsidRDefault="00975D04">
      <w:pPr>
        <w:pStyle w:val="a5"/>
        <w:widowControl/>
        <w:spacing w:beforeAutospacing="0" w:afterAutospacing="0" w:line="68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975D04" w:rsidRDefault="00975D04">
      <w:pPr>
        <w:pStyle w:val="a5"/>
        <w:widowControl/>
        <w:spacing w:beforeAutospacing="0" w:afterAutospacing="0" w:line="68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975D04" w:rsidRDefault="00975D04">
      <w:pPr>
        <w:pStyle w:val="a5"/>
        <w:widowControl/>
        <w:spacing w:beforeAutospacing="0" w:afterAutospacing="0" w:line="68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975D04" w:rsidRDefault="00975D04">
      <w:pPr>
        <w:pStyle w:val="a5"/>
        <w:widowControl/>
        <w:spacing w:beforeAutospacing="0" w:afterAutospacing="0" w:line="68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975D04" w:rsidRDefault="00975D04">
      <w:pPr>
        <w:pStyle w:val="a5"/>
        <w:widowControl/>
        <w:spacing w:beforeAutospacing="0" w:afterAutospacing="0" w:line="68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975D04" w:rsidRDefault="00975D04">
      <w:pPr>
        <w:pStyle w:val="a5"/>
        <w:widowControl/>
        <w:spacing w:beforeAutospacing="0" w:afterAutospacing="0" w:line="68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975D04" w:rsidRDefault="00975D04">
      <w:pPr>
        <w:pStyle w:val="a5"/>
        <w:widowControl/>
        <w:spacing w:beforeAutospacing="0" w:afterAutospacing="0" w:line="68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975D04" w:rsidRDefault="00975D04">
      <w:pPr>
        <w:pStyle w:val="a5"/>
        <w:widowControl/>
        <w:spacing w:beforeAutospacing="0" w:afterAutospacing="0" w:line="68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975D04" w:rsidRDefault="001B29CB">
      <w:pPr>
        <w:pStyle w:val="a5"/>
        <w:widowControl/>
        <w:spacing w:beforeAutospacing="0" w:afterAutospacing="0" w:line="68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京人社保发〔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〕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14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号</w:t>
      </w:r>
    </w:p>
    <w:p w:rsidR="00975D04" w:rsidRDefault="00975D04">
      <w:pPr>
        <w:pStyle w:val="a5"/>
        <w:widowControl/>
        <w:spacing w:beforeAutospacing="0" w:afterAutospacing="0" w:line="64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2"/>
          <w:szCs w:val="32"/>
          <w:shd w:val="clear" w:color="auto" w:fill="FFFFFF"/>
        </w:rPr>
      </w:pPr>
    </w:p>
    <w:p w:rsidR="00975D04" w:rsidRDefault="00975D04">
      <w:pPr>
        <w:pStyle w:val="a5"/>
        <w:widowControl/>
        <w:spacing w:beforeAutospacing="0" w:afterAutospacing="0" w:line="64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2"/>
          <w:szCs w:val="32"/>
          <w:shd w:val="clear" w:color="auto" w:fill="FFFFFF"/>
        </w:rPr>
      </w:pPr>
    </w:p>
    <w:p w:rsidR="00975D04" w:rsidRDefault="001B29CB">
      <w:pPr>
        <w:pStyle w:val="a5"/>
        <w:widowControl/>
        <w:spacing w:beforeAutospacing="0" w:afterAutospacing="0" w:line="52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-28"/>
          <w:sz w:val="44"/>
          <w:szCs w:val="44"/>
          <w:shd w:val="clear" w:color="auto" w:fill="FFFFFF"/>
        </w:rPr>
        <w:t>北京市人力资源和社会保障局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-28"/>
          <w:sz w:val="44"/>
          <w:szCs w:val="44"/>
          <w:shd w:val="clear" w:color="auto" w:fill="FFFFFF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-28"/>
          <w:sz w:val="44"/>
          <w:szCs w:val="44"/>
          <w:shd w:val="clear" w:color="auto" w:fill="FFFFFF"/>
        </w:rPr>
        <w:t>国家税务总局北京市税务局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-28"/>
          <w:sz w:val="44"/>
          <w:szCs w:val="44"/>
          <w:shd w:val="clear" w:color="auto" w:fill="FFFFFF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-28"/>
          <w:sz w:val="44"/>
          <w:szCs w:val="44"/>
          <w:shd w:val="clear" w:color="auto" w:fill="FFFFFF"/>
        </w:rPr>
        <w:t>北京市医疗保障局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-28"/>
          <w:sz w:val="44"/>
          <w:szCs w:val="44"/>
          <w:shd w:val="clear" w:color="auto" w:fill="FFFFFF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-28"/>
          <w:sz w:val="44"/>
          <w:szCs w:val="44"/>
          <w:shd w:val="clear" w:color="auto" w:fill="FFFFFF"/>
        </w:rPr>
        <w:t>北京住房公积金管理中心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>关于合并申报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>2023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>年度“五险一金”</w:t>
      </w:r>
    </w:p>
    <w:p w:rsidR="00975D04" w:rsidRDefault="001B29CB">
      <w:pPr>
        <w:pStyle w:val="a5"/>
        <w:widowControl/>
        <w:spacing w:beforeAutospacing="0" w:afterAutospacing="0" w:line="52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>缴费工资有关问题的通知</w:t>
      </w:r>
    </w:p>
    <w:p w:rsidR="00975D04" w:rsidRDefault="00975D04">
      <w:pPr>
        <w:pStyle w:val="a5"/>
        <w:widowControl/>
        <w:spacing w:beforeAutospacing="0" w:afterAutospacing="0" w:line="420" w:lineRule="atLeas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975D04" w:rsidRDefault="001B29CB">
      <w:pPr>
        <w:pStyle w:val="a5"/>
        <w:widowControl/>
        <w:spacing w:beforeAutospacing="0" w:afterAutospacing="0" w:line="420" w:lineRule="atLeas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各区人力资源和社会保障局、医疗保障局，北京经济技术开发区社会事业局、社会保险保障中心，国家税务总局北京市各区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（地区）税务局、北京住房公积金管理中心各管理部、各社会保险代办机构，各相关参保单位：</w:t>
      </w:r>
    </w:p>
    <w:p w:rsidR="00975D04" w:rsidRDefault="001B29CB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为确保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年度各项社会保险（养老、医疗、失业、工伤、生育）与住房公积金（以下简称“五险一金”）收缴工作正常进行，提升服务便利度，按照“一数一源、信息共享、一步办理”的原则，现就申报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年度各项社会保险与住房公积金缴费工资的有关问题通知如下：</w:t>
      </w:r>
    </w:p>
    <w:p w:rsidR="00975D04" w:rsidRDefault="001B29CB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一、本市社会保险费由人力社保部门、医保部门管理，税务部门征收，住房公积金由北京住房公积金管理中心管理征收。为了方便用人单位，简化办理流程，提高服务效率，统一入口、统一标准、统一口径，用人单位（包括机关事业单位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年度“五险一金”缴费工资申报工作在北京市人力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资源和社会保障局政府网站合并办理，申报完成后由市级人力社保部门将相关数据传递给税务部门、医保部门与公积金部门。</w:t>
      </w:r>
    </w:p>
    <w:p w:rsidR="00975D04" w:rsidRDefault="001B29CB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二、申报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年度“五险一金”缴费工资的期限为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日。</w:t>
      </w:r>
    </w:p>
    <w:p w:rsidR="00975D04" w:rsidRDefault="001B29CB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三、用人单位以职工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年度（自然年度）月平均工资作为申报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度“五险一金”缴费工资的依据。申报时，不对月平均工资做上下限限制；人力社保部门、医保部门和公积金部门核定缴费工资时，按照本市“五险一金”上下限规定分别核定缴费基数。用人单位应当如实申报职工上一年度月平均工资，不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得瞒报、漏报。自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月份开始，用人单位和职工按核定后的基数确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定缴费金额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并缴费。</w:t>
      </w:r>
    </w:p>
    <w:p w:rsidR="00975D04" w:rsidRDefault="001B29CB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四、按照《中华人民共和国社会保险法》第六十二条的有关规定，用人单位未按时申报社会保险缴费工资的，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月起将按照单位上月缴费额的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110%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确定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年度社会保险缴费工资。</w:t>
      </w:r>
    </w:p>
    <w:p w:rsidR="00975D04" w:rsidRDefault="001B29CB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五、用人单位可通过北京市人力资源和社会保障局政府网站（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http://rsj.beijing.gov.cn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）申报“五险一金”缴费工资，网上提交，即时生效，无需提供纸介材料。</w:t>
      </w:r>
    </w:p>
    <w:p w:rsidR="00975D04" w:rsidRDefault="001B29CB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用人单位也可以使用“北京市社会保险系统企业管理子系统”（以下简称“企业版”）软件申报社会保险缴费工资。如通过企业版申报社会保险缴费工资，需打印《北京市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年社会保险缴费工资申报汇总表》一式两份，用人单位加盖公章并签字后，持汇总表和报盘文件到社保经（代）办机构办理。</w:t>
      </w:r>
    </w:p>
    <w:p w:rsidR="00975D04" w:rsidRDefault="001B29CB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六、已参加机关事业基本养老保险的单位，需按照人力资源社会保障部、财政部《关于贯彻落实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&lt;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国务院关于机关事业单位工作人员养老保险制度改革的决定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的通知》（人社部发〔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号）规定，通过北京市人力资源和社会保障局政府网站申报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年度“五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险一金”以及机关事业基本养老保险和职业年金缴费工资。</w:t>
      </w:r>
    </w:p>
    <w:p w:rsidR="00975D04" w:rsidRDefault="001B29CB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通过“机关事业养老保险单机版”申报各项社会保险缴费工资的，需打印《北京市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年机关事业单位社会保险缴费工资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申报汇总表》一式两份，加盖主管部门印章后由用人单位和社保经办机构各留存一份。</w:t>
      </w:r>
    </w:p>
    <w:p w:rsidR="00975D04" w:rsidRDefault="001B29CB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七、通过北京市人力资源和社会保障局政府网站申报“五险一金”缴费工资的用人单位，社会保险费申报结果可随时查询；住房公积金申报结果可于本单位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月份委托收款日后查询，非委托收款单位可于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日后查询。住房公积金调整不成功的，可通过住房公积金管理部门再次申报。</w:t>
      </w:r>
    </w:p>
    <w:p w:rsidR="00975D04" w:rsidRDefault="001B29CB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八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用人单位在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办理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五项社会保险缴费工资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业务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时如有疑问，可以拨打社会保险咨询热线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12333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；用人单位在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办理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住房公积金缴费工资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业务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时如有疑问，可以拨打公积金咨询热线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12329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。</w:t>
      </w:r>
    </w:p>
    <w:p w:rsidR="00975D04" w:rsidRDefault="00975D04">
      <w:pPr>
        <w:pStyle w:val="a5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975D04" w:rsidRDefault="00975D04">
      <w:pPr>
        <w:pStyle w:val="a5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975D04" w:rsidRDefault="00975D04">
      <w:pPr>
        <w:pStyle w:val="a5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975D04" w:rsidRDefault="001B29CB">
      <w:pPr>
        <w:pStyle w:val="a5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color w:val="000000" w:themeColor="text1"/>
          <w:w w:val="9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w w:val="90"/>
          <w:sz w:val="32"/>
          <w:szCs w:val="32"/>
        </w:rPr>
        <w:t>北京市人力资源和社会保障局</w:t>
      </w:r>
      <w:r>
        <w:rPr>
          <w:rFonts w:ascii="Calibri" w:eastAsia="仿宋_GB2312" w:hAnsi="Calibri" w:cs="Calibri"/>
          <w:color w:val="000000" w:themeColor="text1"/>
          <w:w w:val="90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color w:val="000000" w:themeColor="text1"/>
          <w:w w:val="9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w w:val="90"/>
          <w:sz w:val="32"/>
          <w:szCs w:val="32"/>
        </w:rPr>
        <w:t xml:space="preserve"> </w:t>
      </w:r>
      <w:r>
        <w:rPr>
          <w:rFonts w:ascii="Calibri" w:eastAsia="仿宋_GB2312" w:hAnsi="Calibri" w:cs="Calibri"/>
          <w:color w:val="000000" w:themeColor="text1"/>
          <w:w w:val="90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color w:val="000000" w:themeColor="text1"/>
          <w:w w:val="9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 w:themeColor="text1"/>
          <w:w w:val="9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w w:val="90"/>
          <w:sz w:val="32"/>
          <w:szCs w:val="32"/>
        </w:rPr>
        <w:t>国家税务总局北京市税务局</w:t>
      </w:r>
    </w:p>
    <w:p w:rsidR="00975D04" w:rsidRDefault="00975D04">
      <w:pPr>
        <w:pStyle w:val="a5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color w:val="000000" w:themeColor="text1"/>
          <w:w w:val="90"/>
          <w:sz w:val="32"/>
          <w:szCs w:val="32"/>
        </w:rPr>
      </w:pPr>
    </w:p>
    <w:p w:rsidR="00975D04" w:rsidRDefault="00975D04">
      <w:pPr>
        <w:pStyle w:val="a5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color w:val="000000" w:themeColor="text1"/>
          <w:w w:val="90"/>
          <w:sz w:val="32"/>
          <w:szCs w:val="32"/>
        </w:rPr>
      </w:pPr>
    </w:p>
    <w:p w:rsidR="00975D04" w:rsidRDefault="00975D04">
      <w:pPr>
        <w:pStyle w:val="a5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color w:val="000000" w:themeColor="text1"/>
          <w:w w:val="90"/>
          <w:sz w:val="32"/>
          <w:szCs w:val="32"/>
        </w:rPr>
      </w:pPr>
    </w:p>
    <w:p w:rsidR="00975D04" w:rsidRDefault="001B29CB">
      <w:pPr>
        <w:pStyle w:val="a5"/>
        <w:widowControl/>
        <w:spacing w:beforeAutospacing="0" w:afterAutospacing="0" w:line="560" w:lineRule="exact"/>
        <w:ind w:firstLineChars="200" w:firstLine="575"/>
        <w:jc w:val="both"/>
        <w:rPr>
          <w:rFonts w:ascii="仿宋_GB2312" w:eastAsia="仿宋_GB2312" w:hAnsi="仿宋_GB2312" w:cs="仿宋_GB2312"/>
          <w:color w:val="000000" w:themeColor="text1"/>
          <w:w w:val="9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w w:val="90"/>
          <w:sz w:val="32"/>
          <w:szCs w:val="32"/>
        </w:rPr>
        <w:t>北京市医疗保障局</w:t>
      </w:r>
      <w:r>
        <w:rPr>
          <w:rFonts w:ascii="Calibri" w:eastAsia="仿宋_GB2312" w:hAnsi="Calibri" w:cs="Calibri"/>
          <w:color w:val="000000" w:themeColor="text1"/>
          <w:w w:val="90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color w:val="000000" w:themeColor="text1"/>
          <w:w w:val="90"/>
          <w:sz w:val="32"/>
          <w:szCs w:val="32"/>
        </w:rPr>
        <w:t xml:space="preserve"> </w:t>
      </w:r>
      <w:r>
        <w:rPr>
          <w:rFonts w:ascii="Calibri" w:eastAsia="仿宋_GB2312" w:hAnsi="Calibri" w:cs="Calibri"/>
          <w:color w:val="000000" w:themeColor="text1"/>
          <w:w w:val="90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color w:val="000000" w:themeColor="text1"/>
          <w:w w:val="9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 w:themeColor="text1"/>
          <w:w w:val="90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color w:val="000000" w:themeColor="text1"/>
          <w:w w:val="90"/>
          <w:sz w:val="32"/>
          <w:szCs w:val="32"/>
        </w:rPr>
        <w:t>北京住房公积金管理中心</w:t>
      </w:r>
    </w:p>
    <w:p w:rsidR="00975D04" w:rsidRDefault="001B29CB">
      <w:pPr>
        <w:pStyle w:val="a5"/>
        <w:widowControl/>
        <w:spacing w:beforeAutospacing="0" w:afterAutospacing="0" w:line="560" w:lineRule="exact"/>
        <w:ind w:rightChars="611" w:right="1283" w:firstLineChars="200" w:firstLine="640"/>
        <w:jc w:val="righ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6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</w:t>
      </w:r>
    </w:p>
    <w:p w:rsidR="00975D04" w:rsidRDefault="00975D04">
      <w:pPr>
        <w:pStyle w:val="a5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975D04" w:rsidRDefault="001B29CB">
      <w:pPr>
        <w:pStyle w:val="a5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（此件主动公开）</w:t>
      </w:r>
    </w:p>
    <w:p w:rsidR="00975D04" w:rsidRDefault="001B29CB">
      <w:pPr>
        <w:pStyle w:val="a5"/>
        <w:widowControl/>
        <w:pBdr>
          <w:top w:val="single" w:sz="4" w:space="0" w:color="auto"/>
          <w:bottom w:val="single" w:sz="4" w:space="0" w:color="auto"/>
        </w:pBdr>
        <w:spacing w:beforeAutospacing="0" w:afterAutospacing="0" w:line="560" w:lineRule="exact"/>
        <w:ind w:firstLineChars="100" w:firstLine="28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北京市人力资源和社会保障局办公室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       2023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日印发</w:t>
      </w:r>
    </w:p>
    <w:sectPr w:rsidR="00975D04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B29CB">
      <w:r>
        <w:separator/>
      </w:r>
    </w:p>
  </w:endnote>
  <w:endnote w:type="continuationSeparator" w:id="0">
    <w:p w:rsidR="00000000" w:rsidRDefault="001B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D04" w:rsidRDefault="001B29C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5D04" w:rsidRDefault="001B29CB">
                          <w:pPr>
                            <w:pStyle w:val="a3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975D04" w:rsidRDefault="001B29CB">
                    <w:pPr>
                      <w:pStyle w:val="a3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B29CB">
      <w:r>
        <w:separator/>
      </w:r>
    </w:p>
  </w:footnote>
  <w:footnote w:type="continuationSeparator" w:id="0">
    <w:p w:rsidR="00000000" w:rsidRDefault="001B2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mNzJjZTcxOWQ1OGZkMThmZDUwNzlhYTJhYzRjNjgifQ=="/>
  </w:docVars>
  <w:rsids>
    <w:rsidRoot w:val="FF4EBB65"/>
    <w:rsid w:val="D7FBDF35"/>
    <w:rsid w:val="E773A4F3"/>
    <w:rsid w:val="FDA40806"/>
    <w:rsid w:val="FDFB00BF"/>
    <w:rsid w:val="FF4EBB65"/>
    <w:rsid w:val="FFF6CCE4"/>
    <w:rsid w:val="000E5758"/>
    <w:rsid w:val="00164825"/>
    <w:rsid w:val="001B29CB"/>
    <w:rsid w:val="002233BC"/>
    <w:rsid w:val="003A00E9"/>
    <w:rsid w:val="0045645E"/>
    <w:rsid w:val="004E2907"/>
    <w:rsid w:val="0062435F"/>
    <w:rsid w:val="0066494C"/>
    <w:rsid w:val="00975D04"/>
    <w:rsid w:val="009E3753"/>
    <w:rsid w:val="00AB31BF"/>
    <w:rsid w:val="00C40F6E"/>
    <w:rsid w:val="00D856DD"/>
    <w:rsid w:val="00DB6801"/>
    <w:rsid w:val="00EA29E5"/>
    <w:rsid w:val="00FF26DD"/>
    <w:rsid w:val="05E83F44"/>
    <w:rsid w:val="12F4760A"/>
    <w:rsid w:val="13B367A1"/>
    <w:rsid w:val="15AA1C3F"/>
    <w:rsid w:val="17BBCE2A"/>
    <w:rsid w:val="19C527FC"/>
    <w:rsid w:val="22134AB7"/>
    <w:rsid w:val="29DA19EE"/>
    <w:rsid w:val="2BEA8ED5"/>
    <w:rsid w:val="2F71F21C"/>
    <w:rsid w:val="2F9F89C9"/>
    <w:rsid w:val="3C6E6D1E"/>
    <w:rsid w:val="44091892"/>
    <w:rsid w:val="48872B1F"/>
    <w:rsid w:val="4C3FF21B"/>
    <w:rsid w:val="4FD0136E"/>
    <w:rsid w:val="53351B99"/>
    <w:rsid w:val="5BEB0C79"/>
    <w:rsid w:val="696C7675"/>
    <w:rsid w:val="6A833B4A"/>
    <w:rsid w:val="6AA03ECD"/>
    <w:rsid w:val="6AD0D71F"/>
    <w:rsid w:val="6E0F345F"/>
    <w:rsid w:val="6EFB4EFF"/>
    <w:rsid w:val="6F521E35"/>
    <w:rsid w:val="6FCF6DCC"/>
    <w:rsid w:val="775C694F"/>
    <w:rsid w:val="7ADDB638"/>
    <w:rsid w:val="7B5FE45D"/>
    <w:rsid w:val="7B935E4B"/>
    <w:rsid w:val="7BBE3BCB"/>
    <w:rsid w:val="7BF60483"/>
    <w:rsid w:val="7D5441A2"/>
    <w:rsid w:val="7DB52CAF"/>
    <w:rsid w:val="7DDEB67F"/>
    <w:rsid w:val="7DEB3451"/>
    <w:rsid w:val="7EDB5BC7"/>
    <w:rsid w:val="7FBDB4B1"/>
    <w:rsid w:val="7FBF50A6"/>
    <w:rsid w:val="9FFB3A41"/>
    <w:rsid w:val="A3BE48D1"/>
    <w:rsid w:val="B75F4856"/>
    <w:rsid w:val="BED66DE8"/>
    <w:rsid w:val="BFDE6157"/>
    <w:rsid w:val="C7F78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2361074E-E162-49B3-AF5E-30F1EC7F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0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1473</Words>
  <Characters>173</Characters>
  <Application>Microsoft Office Word</Application>
  <DocSecurity>0</DocSecurity>
  <Lines>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yubaibai</dc:creator>
  <cp:lastModifiedBy>翟晴晴</cp:lastModifiedBy>
  <cp:revision>2</cp:revision>
  <cp:lastPrinted>2023-06-09T09:44:00Z</cp:lastPrinted>
  <dcterms:created xsi:type="dcterms:W3CDTF">2023-06-12T08:30:00Z</dcterms:created>
  <dcterms:modified xsi:type="dcterms:W3CDTF">2023-06-12T08:30:00Z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3CAF32271E084C9ABD6AA9E31D091D00</vt:lpwstr>
  </property>
</Properties>
</file>