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5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燕保·北焦家园公租房项目基本情况介绍</w:t>
            </w:r>
          </w:p>
          <w:p>
            <w:pPr>
              <w:spacing w:line="420" w:lineRule="exact"/>
              <w:ind w:firstLine="628" w:firstLineChars="196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>
            <w:pPr>
              <w:spacing w:line="420" w:lineRule="exact"/>
              <w:ind w:firstLine="630" w:firstLineChars="196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一、基本信息</w:t>
            </w:r>
          </w:p>
          <w:p>
            <w:pPr>
              <w:spacing w:line="420" w:lineRule="exact"/>
              <w:ind w:firstLine="627" w:firstLineChars="196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楼盘类型：公共租赁住房</w:t>
            </w:r>
          </w:p>
          <w:p>
            <w:pPr>
              <w:spacing w:line="420" w:lineRule="exact"/>
              <w:ind w:firstLine="627" w:firstLineChars="196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项目位置：北京市朝阳区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化工路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70号院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垡头街道燕保·北焦家园</w:t>
            </w:r>
          </w:p>
          <w:p>
            <w:pPr>
              <w:spacing w:line="420" w:lineRule="exact"/>
              <w:ind w:firstLine="627" w:firstLineChars="196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装修标准：精装修</w:t>
            </w:r>
          </w:p>
          <w:p>
            <w:pPr>
              <w:spacing w:line="420" w:lineRule="exact"/>
              <w:ind w:firstLine="627" w:firstLineChars="196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租金单价：60元/建筑平米·月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32"/>
                <w:szCs w:val="32"/>
              </w:rPr>
              <w:t>（不分楼层、朝向）</w:t>
            </w:r>
          </w:p>
          <w:p>
            <w:pPr>
              <w:spacing w:line="420" w:lineRule="exact"/>
              <w:ind w:firstLine="627" w:firstLineChars="196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价格说明：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租金单价中包含物业费，不包含供暖费、水费、电费、燃气费、电话费、上网费、有线电视初装费及收视费等。</w:t>
            </w:r>
          </w:p>
          <w:p>
            <w:pPr>
              <w:spacing w:line="420" w:lineRule="exact"/>
              <w:ind w:firstLine="627" w:firstLineChars="196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供暖方式：集中供暖，30元/建筑平方米·供暖季。</w:t>
            </w:r>
          </w:p>
          <w:p>
            <w:pPr>
              <w:spacing w:line="420" w:lineRule="exact"/>
              <w:ind w:firstLine="627" w:firstLineChars="196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供水：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城市自来水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供水。</w:t>
            </w:r>
          </w:p>
          <w:p>
            <w:pPr>
              <w:spacing w:line="420" w:lineRule="exact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户型面积：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中套型：约50.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-53.35㎡（零居），小套型：约4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4.48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-45.8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㎡（零居）</w:t>
            </w:r>
          </w:p>
          <w:p>
            <w:pPr>
              <w:spacing w:line="420" w:lineRule="exact"/>
              <w:ind w:firstLine="630" w:firstLineChars="196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二、项目配套情况</w:t>
            </w:r>
          </w:p>
          <w:bookmarkEnd w:id="0"/>
          <w:p>
            <w:pPr>
              <w:spacing w:line="420" w:lineRule="exact"/>
              <w:ind w:firstLine="627" w:firstLineChars="196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周边交通：公交348、457、486、637、638(北京焦化厂站)，地铁7号线（焦化厂站）。</w:t>
            </w:r>
          </w:p>
          <w:p>
            <w:pPr>
              <w:spacing w:line="420" w:lineRule="exact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项目内配套情况：地上配套商业面积4.3万㎡，其中包括商业楼、幼儿园、养老院、社区配套用房等。地下商业配套面积8.1万㎡，主要为下沉庭院步行街。</w:t>
            </w:r>
          </w:p>
          <w:p>
            <w:pPr>
              <w:spacing w:line="420" w:lineRule="exact"/>
              <w:ind w:firstLine="627" w:firstLineChars="196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项目周边公共设施：</w:t>
            </w:r>
          </w:p>
          <w:p>
            <w:pPr>
              <w:spacing w:line="420" w:lineRule="exact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教育资源：北京工业技师学院、北京市第五中学（朝阳双合分校）等学校；</w:t>
            </w:r>
          </w:p>
          <w:p>
            <w:pPr>
              <w:spacing w:line="420" w:lineRule="exact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休闲购物：世纪华联超市、喜润家生活超市等小型超市；</w:t>
            </w:r>
          </w:p>
          <w:p>
            <w:pPr>
              <w:spacing w:line="420" w:lineRule="exact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医疗保健：朝阳区垡头街道双合社区卫生服务站、朝阳区王四营地区孛罗营社区卫生服务站等医疗机构。</w:t>
            </w: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燕保·北焦家园户型图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</w:trPr>
        <w:tc>
          <w:tcPr>
            <w:tcW w:w="5294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2400300" cy="41338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41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</w:tcPr>
          <w:p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22860</wp:posOffset>
                  </wp:positionV>
                  <wp:extent cx="2447925" cy="4124325"/>
                  <wp:effectExtent l="0" t="0" r="952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41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4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A</w:t>
            </w:r>
            <w:r>
              <w:rPr>
                <w:rFonts w:ascii="黑体" w:hAnsi="黑体" w:eastAsia="黑体"/>
                <w:sz w:val="32"/>
                <w:szCs w:val="32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ascii="黑体" w:hAnsi="黑体" w:eastAsia="黑体"/>
                <w:sz w:val="32"/>
                <w:szCs w:val="32"/>
              </w:rPr>
              <w:t>A1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反户型（封闭式阳台）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  <w:gridSpan w:val="2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ascii="黑体" w:hAnsi="黑体" w:eastAsia="黑体"/>
                <w:sz w:val="32"/>
                <w:szCs w:val="32"/>
              </w:rPr>
              <w:t>A1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ascii="黑体" w:hAnsi="黑体" w:eastAsia="黑体"/>
                <w:sz w:val="32"/>
                <w:szCs w:val="32"/>
              </w:rPr>
              <w:t>A1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反户型（封闭式阳台）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建筑面积：44.48-45.82㎡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房屋朝向：西南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房屋租金：2668.8-2749.20元/月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466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66" w:type="dxa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（四区2号楼标准层户型平面布局图）</w:t>
            </w:r>
          </w:p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6" w:type="dxa"/>
          </w:tcPr>
          <w:p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6645910" cy="2018030"/>
                  <wp:effectExtent l="0" t="0" r="2540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01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0466" w:type="dxa"/>
            <w:vAlign w:val="bottom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（四区</w:t>
            </w:r>
            <w:r>
              <w:rPr>
                <w:rFonts w:ascii="黑体" w:hAnsi="黑体" w:eastAsia="黑体"/>
                <w:sz w:val="32"/>
                <w:szCs w:val="32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号楼、四区5号楼标准层户型平面布局图）</w:t>
            </w:r>
          </w:p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6" w:type="dxa"/>
          </w:tcPr>
          <w:p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6645910" cy="2796540"/>
                  <wp:effectExtent l="0" t="0" r="2540" b="38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79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0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106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2357755" cy="3562350"/>
                  <wp:effectExtent l="0" t="0" r="4445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81" cy="357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86" w:type="dxa"/>
            <w:vAlign w:val="bottom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A5户型（开放式阳台）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068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户型编号：A5户型（开放式阳台）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建筑面积：50.44-53.35㎡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房屋租金：3026.4-3201元/月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68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（四区</w:t>
            </w:r>
            <w:r>
              <w:rPr>
                <w:rFonts w:ascii="黑体" w:hAnsi="黑体" w:eastAsia="黑体"/>
                <w:sz w:val="32"/>
                <w:szCs w:val="32"/>
              </w:rPr>
              <w:t>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号楼02单元户型平面示意布局图）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6645910" cy="1190625"/>
                  <wp:effectExtent l="0" t="0" r="2540" b="9525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6645910" cy="1019175"/>
                  <wp:effectExtent l="0" t="0" r="2540" b="9525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3MzVmODZhZDFkZTNlYTI4MmNmYzExZTJmNzc2MTYifQ=="/>
  </w:docVars>
  <w:rsids>
    <w:rsidRoot w:val="00D971B1"/>
    <w:rsid w:val="000B2784"/>
    <w:rsid w:val="000E42F7"/>
    <w:rsid w:val="00303BC8"/>
    <w:rsid w:val="006324DE"/>
    <w:rsid w:val="00824477"/>
    <w:rsid w:val="00971E4A"/>
    <w:rsid w:val="00AD71F8"/>
    <w:rsid w:val="00CA0493"/>
    <w:rsid w:val="00CF6CBD"/>
    <w:rsid w:val="00D971B1"/>
    <w:rsid w:val="02E4447B"/>
    <w:rsid w:val="06D84A20"/>
    <w:rsid w:val="089610F7"/>
    <w:rsid w:val="09AC25C5"/>
    <w:rsid w:val="0D2B2CAC"/>
    <w:rsid w:val="16A2047A"/>
    <w:rsid w:val="171C49E1"/>
    <w:rsid w:val="1B9C66EF"/>
    <w:rsid w:val="1D4330A6"/>
    <w:rsid w:val="1E514372"/>
    <w:rsid w:val="24C505EC"/>
    <w:rsid w:val="25951FC5"/>
    <w:rsid w:val="2F2960F2"/>
    <w:rsid w:val="30F524B2"/>
    <w:rsid w:val="351767BE"/>
    <w:rsid w:val="353E3B56"/>
    <w:rsid w:val="3A342902"/>
    <w:rsid w:val="3E310F61"/>
    <w:rsid w:val="42F377E4"/>
    <w:rsid w:val="444435F5"/>
    <w:rsid w:val="4BEB6DA2"/>
    <w:rsid w:val="56D54CE7"/>
    <w:rsid w:val="586C27AA"/>
    <w:rsid w:val="5BE10DB9"/>
    <w:rsid w:val="5EF37398"/>
    <w:rsid w:val="5EF66D52"/>
    <w:rsid w:val="6087659E"/>
    <w:rsid w:val="6364351B"/>
    <w:rsid w:val="66975141"/>
    <w:rsid w:val="69066D52"/>
    <w:rsid w:val="6B160A7F"/>
    <w:rsid w:val="70D66516"/>
    <w:rsid w:val="74575C64"/>
    <w:rsid w:val="79023A24"/>
    <w:rsid w:val="7A212F9C"/>
    <w:rsid w:val="7FFD2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90351-3408-438B-BC2E-8366DED8A2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314</cp:lastModifiedBy>
  <dcterms:modified xsi:type="dcterms:W3CDTF">2023-10-16T08:35:07Z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C9D864FFA9474089B4B33EEBBD913135</vt:lpwstr>
  </property>
</Properties>
</file>