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Calibri" w:eastAsia="方正小标宋简体" w:cs="Times New Roman"/>
          <w:sz w:val="36"/>
          <w:szCs w:val="44"/>
          <w:lang w:eastAsia="zh-CN"/>
        </w:rPr>
      </w:pPr>
    </w:p>
    <w:p>
      <w:pPr>
        <w:spacing w:line="440" w:lineRule="exact"/>
        <w:jc w:val="center"/>
        <w:rPr>
          <w:rFonts w:hint="eastAsia" w:ascii="方正小标宋简体" w:hAnsi="Calibri" w:eastAsia="方正小标宋简体" w:cs="Times New Roman"/>
          <w:sz w:val="36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z w:val="36"/>
          <w:szCs w:val="44"/>
          <w:lang w:eastAsia="zh-CN"/>
        </w:rPr>
        <w:t>燕保·百湾家园公租房项目基本情况介绍</w:t>
      </w:r>
    </w:p>
    <w:p>
      <w:pPr>
        <w:spacing w:line="420" w:lineRule="exact"/>
        <w:ind w:firstLine="472" w:firstLineChars="196"/>
        <w:rPr>
          <w:rFonts w:asciiTheme="minorEastAsia" w:hAnsiTheme="minorEastAsia"/>
          <w:b/>
          <w:sz w:val="24"/>
          <w:szCs w:val="24"/>
        </w:rPr>
      </w:pPr>
    </w:p>
    <w:p>
      <w:pPr>
        <w:widowControl w:val="0"/>
        <w:wordWrap/>
        <w:adjustRightInd/>
        <w:snapToGrid/>
        <w:spacing w:line="560" w:lineRule="atLeast"/>
        <w:ind w:right="0" w:firstLine="627" w:firstLineChars="196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一、基本信息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楼盘类型：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公共租赁住房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项目位置：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北京市朝阳区王四营地区燕保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·百湾家园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装修标准：</w:t>
      </w:r>
      <w:r>
        <w:rPr>
          <w:rFonts w:hint="eastAsia" w:ascii="仿宋_GB2312" w:hAnsi="仿宋_GB2312" w:eastAsia="仿宋_GB2312" w:cs="仿宋_GB2312"/>
          <w:sz w:val="32"/>
          <w:szCs w:val="32"/>
        </w:rPr>
        <w:t>精装修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租金单价：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元/建筑平米·月（不分楼层、朝向）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价格说明：</w:t>
      </w:r>
      <w:r>
        <w:rPr>
          <w:rFonts w:hint="eastAsia" w:ascii="仿宋_GB2312" w:hAnsi="仿宋_GB2312" w:eastAsia="仿宋_GB2312" w:cs="仿宋_GB2312"/>
          <w:sz w:val="32"/>
          <w:szCs w:val="32"/>
        </w:rPr>
        <w:t>租金单价中包含物业费，不包含供暖费、水费、电费、燃气费、电话费、上网费、有线电视初装费及收视费等。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供暖方式：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集中供暖，30元/建筑平方米·供暖季。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房源数量：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本次可配租房源大套型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户型面积：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58.05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㎡（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居）</w:t>
      </w:r>
    </w:p>
    <w:p>
      <w:pPr>
        <w:widowControl w:val="0"/>
        <w:wordWrap/>
        <w:adjustRightInd/>
        <w:snapToGrid/>
        <w:spacing w:line="560" w:lineRule="atLeast"/>
        <w:ind w:right="0" w:firstLine="627" w:firstLineChars="196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二、项目配套情况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周边交通：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公交312路、669路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唐家村站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11路、23路、35路、455路（小海子站），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地铁7号线（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化工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站）。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项目内配套情况：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该项目配建了丰富多样的配套设施，包括了社区综合服务、市政公用、医疗卫生、商业服务、自行车存车处、公共空间等。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项目周边公共设施：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教育资源：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该项目周边教育资源丰富，有赛洛城十七中学、垂杨柳第四小学、北京市第十七中百子湾小区、北京工业大学、北京陈经纶中学（崇实分校）、官庄小学、北京第二实验小学（朝阳学校）、森淼学校。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休闲购物：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首层设有配套商业，项目东侧有物美超市、京客隆，北侧有华联超市、便利店等大型超市等。周边大型商场有永辉超市（百子湾店）、燕莎奥特莱斯购物中心、芳园里IDMALL、合生汇、维吉奥商业广场、远洋未来购物中心、亮度广场等。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医疗保健：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北京四惠中医院、北京世纪晨光医院、北京伟达中医肿瘤医院、民航总医院、高碑店社区卫生服务中心、八里庄第二社区卫生服务中心、垂杨柳医院等。</w:t>
      </w:r>
    </w:p>
    <w:p>
      <w:pPr>
        <w:spacing w:line="420" w:lineRule="exact"/>
        <w:jc w:val="center"/>
        <w:rPr>
          <w:rFonts w:hint="eastAsia" w:ascii="宋体" w:hAnsi="宋体" w:eastAsia="宋体"/>
          <w:b/>
          <w:sz w:val="40"/>
        </w:rPr>
      </w:pPr>
    </w:p>
    <w:p>
      <w:pPr>
        <w:spacing w:line="420" w:lineRule="exact"/>
        <w:jc w:val="center"/>
        <w:rPr>
          <w:rFonts w:hint="eastAsia" w:ascii="宋体" w:hAnsi="宋体" w:eastAsia="宋体"/>
          <w:b/>
          <w:sz w:val="40"/>
        </w:rPr>
      </w:pPr>
    </w:p>
    <w:p>
      <w:pPr>
        <w:spacing w:line="420" w:lineRule="exact"/>
        <w:jc w:val="center"/>
        <w:rPr>
          <w:rFonts w:hint="eastAsia" w:ascii="宋体" w:hAnsi="宋体" w:eastAsia="宋体"/>
          <w:b/>
          <w:sz w:val="40"/>
        </w:rPr>
      </w:pPr>
    </w:p>
    <w:p>
      <w:pPr>
        <w:spacing w:line="420" w:lineRule="exact"/>
        <w:jc w:val="center"/>
        <w:rPr>
          <w:rFonts w:hint="eastAsia" w:ascii="宋体" w:hAnsi="宋体" w:eastAsia="宋体"/>
          <w:b/>
          <w:sz w:val="40"/>
        </w:rPr>
      </w:pPr>
    </w:p>
    <w:p>
      <w:pPr>
        <w:spacing w:line="420" w:lineRule="exact"/>
        <w:jc w:val="center"/>
        <w:rPr>
          <w:rFonts w:hint="eastAsia" w:ascii="宋体" w:hAnsi="宋体" w:eastAsia="宋体"/>
          <w:b/>
          <w:sz w:val="40"/>
        </w:rPr>
      </w:pPr>
    </w:p>
    <w:p>
      <w:pPr>
        <w:spacing w:line="420" w:lineRule="exact"/>
        <w:jc w:val="center"/>
        <w:rPr>
          <w:rFonts w:hint="eastAsia" w:ascii="宋体" w:hAnsi="宋体" w:eastAsia="宋体"/>
          <w:b/>
          <w:sz w:val="40"/>
        </w:rPr>
      </w:pPr>
    </w:p>
    <w:p>
      <w:pPr>
        <w:spacing w:line="420" w:lineRule="exact"/>
        <w:jc w:val="center"/>
        <w:rPr>
          <w:rFonts w:hint="eastAsia" w:ascii="宋体" w:hAnsi="宋体" w:eastAsia="宋体"/>
          <w:b/>
          <w:sz w:val="40"/>
        </w:rPr>
      </w:pPr>
    </w:p>
    <w:p>
      <w:pPr>
        <w:spacing w:line="420" w:lineRule="exact"/>
        <w:jc w:val="center"/>
        <w:rPr>
          <w:rFonts w:hint="eastAsia" w:ascii="宋体" w:hAnsi="宋体" w:eastAsia="宋体"/>
          <w:b/>
          <w:sz w:val="40"/>
        </w:rPr>
      </w:pPr>
    </w:p>
    <w:p>
      <w:pPr>
        <w:spacing w:line="420" w:lineRule="exact"/>
        <w:jc w:val="center"/>
        <w:rPr>
          <w:rFonts w:hint="eastAsia" w:ascii="宋体" w:hAnsi="宋体" w:eastAsia="宋体"/>
          <w:b/>
          <w:sz w:val="40"/>
        </w:rPr>
      </w:pPr>
    </w:p>
    <w:p>
      <w:pPr>
        <w:spacing w:line="420" w:lineRule="exact"/>
        <w:jc w:val="center"/>
        <w:rPr>
          <w:rFonts w:hint="eastAsia" w:ascii="宋体" w:hAnsi="宋体" w:eastAsia="宋体"/>
          <w:b/>
          <w:sz w:val="40"/>
        </w:rPr>
      </w:pPr>
    </w:p>
    <w:p>
      <w:pPr>
        <w:spacing w:line="420" w:lineRule="exact"/>
        <w:jc w:val="center"/>
        <w:rPr>
          <w:rFonts w:hint="eastAsia" w:ascii="宋体" w:hAnsi="宋体" w:eastAsia="宋体"/>
          <w:b/>
          <w:sz w:val="40"/>
        </w:rPr>
      </w:pPr>
    </w:p>
    <w:p>
      <w:pPr>
        <w:spacing w:line="420" w:lineRule="exact"/>
        <w:jc w:val="center"/>
        <w:rPr>
          <w:rFonts w:hint="eastAsia" w:ascii="宋体" w:hAnsi="宋体" w:eastAsia="宋体"/>
          <w:b/>
          <w:sz w:val="40"/>
        </w:rPr>
      </w:pPr>
    </w:p>
    <w:p>
      <w:pPr>
        <w:spacing w:line="420" w:lineRule="exact"/>
        <w:jc w:val="center"/>
        <w:rPr>
          <w:rFonts w:hint="eastAsia" w:ascii="宋体" w:hAnsi="宋体" w:eastAsia="宋体"/>
          <w:b/>
          <w:sz w:val="40"/>
        </w:rPr>
      </w:pPr>
    </w:p>
    <w:p>
      <w:pPr>
        <w:spacing w:line="420" w:lineRule="exact"/>
        <w:jc w:val="center"/>
        <w:rPr>
          <w:rFonts w:hint="eastAsia" w:ascii="宋体" w:hAnsi="宋体" w:eastAsia="宋体"/>
          <w:b/>
          <w:sz w:val="40"/>
        </w:rPr>
      </w:pPr>
    </w:p>
    <w:p>
      <w:pPr>
        <w:spacing w:line="420" w:lineRule="exact"/>
        <w:jc w:val="center"/>
        <w:rPr>
          <w:rFonts w:hint="eastAsia" w:ascii="宋体" w:hAnsi="宋体" w:eastAsia="宋体"/>
          <w:b/>
          <w:sz w:val="40"/>
        </w:rPr>
      </w:pPr>
    </w:p>
    <w:p>
      <w:pPr>
        <w:spacing w:line="420" w:lineRule="exact"/>
        <w:jc w:val="center"/>
        <w:rPr>
          <w:rFonts w:hint="eastAsia" w:ascii="宋体" w:hAnsi="宋体" w:eastAsia="宋体"/>
          <w:b/>
          <w:sz w:val="40"/>
        </w:rPr>
      </w:pPr>
    </w:p>
    <w:p>
      <w:pPr>
        <w:spacing w:line="420" w:lineRule="exact"/>
        <w:jc w:val="center"/>
        <w:rPr>
          <w:rFonts w:hint="eastAsia" w:ascii="宋体" w:hAnsi="宋体" w:cs="仿宋_GB2312"/>
          <w:b/>
          <w:kern w:val="0"/>
          <w:sz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40"/>
        </w:rPr>
        <w:t>燕保·</w:t>
      </w:r>
      <w:r>
        <w:rPr>
          <w:rFonts w:hint="eastAsia" w:ascii="宋体" w:hAnsi="宋体"/>
          <w:b/>
          <w:sz w:val="40"/>
          <w:lang w:eastAsia="zh-CN"/>
        </w:rPr>
        <w:t>百湾</w:t>
      </w:r>
      <w:r>
        <w:rPr>
          <w:rFonts w:hint="eastAsia" w:ascii="宋体" w:hAnsi="宋体" w:eastAsia="宋体"/>
          <w:b/>
          <w:sz w:val="40"/>
        </w:rPr>
        <w:t>家园户型图</w:t>
      </w:r>
    </w:p>
    <w:p>
      <w:pPr>
        <w:spacing w:line="420" w:lineRule="exact"/>
        <w:jc w:val="center"/>
        <w:rPr>
          <w:rFonts w:hint="eastAsia" w:ascii="宋体" w:hAnsi="宋体" w:cs="仿宋_GB2312"/>
          <w:b/>
          <w:kern w:val="0"/>
          <w:sz w:val="24"/>
          <w:lang w:eastAsia="zh-CN"/>
        </w:rPr>
      </w:pPr>
    </w:p>
    <w:p>
      <w:pPr>
        <w:spacing w:line="420" w:lineRule="exact"/>
        <w:jc w:val="center"/>
        <w:rPr>
          <w:rFonts w:ascii="宋体" w:hAnsi="宋体" w:cs="仿宋_GB2312"/>
          <w:b/>
          <w:kern w:val="0"/>
          <w:sz w:val="24"/>
        </w:rPr>
      </w:pPr>
      <w:r>
        <w:rPr>
          <w:rFonts w:hint="eastAsia" w:ascii="宋体" w:hAnsi="宋体" w:cs="仿宋_GB2312"/>
          <w:b/>
          <w:kern w:val="0"/>
          <w:sz w:val="24"/>
          <w:lang w:eastAsia="zh-CN"/>
        </w:rPr>
        <w:t>大</w:t>
      </w:r>
      <w:r>
        <w:rPr>
          <w:rFonts w:hint="eastAsia" w:ascii="宋体" w:hAnsi="宋体" w:cs="仿宋_GB2312"/>
          <w:b/>
          <w:kern w:val="0"/>
          <w:sz w:val="24"/>
        </w:rPr>
        <w:t>套型</w:t>
      </w:r>
    </w:p>
    <w:p>
      <w:pPr>
        <w:pStyle w:val="4"/>
        <w:ind w:firstLineChars="0"/>
        <w:rPr>
          <w:rFonts w:ascii="仿宋_GB2312" w:hAnsi="仿宋_GB2312" w:eastAsia="仿宋_GB2312" w:cs="仿宋_GB2312"/>
          <w:b/>
          <w:kern w:val="0"/>
          <w:sz w:val="24"/>
        </w:rPr>
      </w:pPr>
    </w:p>
    <w:tbl>
      <w:tblPr>
        <w:tblStyle w:val="2"/>
        <w:tblW w:w="90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0"/>
        <w:gridCol w:w="4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5" w:hRule="atLeast"/>
          <w:jc w:val="center"/>
        </w:trPr>
        <w:tc>
          <w:tcPr>
            <w:tcW w:w="449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  <w:p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712720" cy="3780790"/>
                  <wp:effectExtent l="0" t="0" r="11430" b="10160"/>
                  <wp:docPr id="27" name="图片 27" descr="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2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0" cy="378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hint="default" w:ascii="宋体" w:hAnsi="宋体" w:cs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户型编号：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C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建筑面积：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58.05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㎡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房屋朝向：</w:t>
            </w:r>
            <w:r>
              <w:rPr>
                <w:rFonts w:hint="eastAsia" w:ascii="宋体" w:hAnsi="宋体" w:cs="仿宋_GB2312"/>
                <w:kern w:val="0"/>
                <w:sz w:val="28"/>
                <w:lang w:eastAsia="zh-CN"/>
              </w:rPr>
              <w:t>南、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东南、西南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房屋租金：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4063.5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元/月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9064" w:type="dxa"/>
            <w:gridSpan w:val="2"/>
            <w:vAlign w:val="top"/>
          </w:tcPr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ge">
                    <wp:posOffset>-718820</wp:posOffset>
                  </wp:positionV>
                  <wp:extent cx="4732020" cy="3046730"/>
                  <wp:effectExtent l="0" t="0" r="11430" b="1270"/>
                  <wp:wrapTopAndBottom/>
                  <wp:docPr id="5" name="图片 5" descr="3号楼C户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号楼C户型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2020" cy="304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120" w:firstLineChars="50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#楼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户型分布图）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MzFkMGRkZDMwYzc2MjJkYjZmZDE5YTQ0YjQzOTgifQ=="/>
  </w:docVars>
  <w:rsids>
    <w:rsidRoot w:val="4C52643A"/>
    <w:rsid w:val="0B8B40EB"/>
    <w:rsid w:val="4C52643A"/>
    <w:rsid w:val="6A23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57</Characters>
  <Lines>0</Lines>
  <Paragraphs>0</Paragraphs>
  <TotalTime>0</TotalTime>
  <ScaleCrop>false</ScaleCrop>
  <LinksUpToDate>false</LinksUpToDate>
  <CharactersWithSpaces>58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2023-03-03T02:33:00Z</dcterms:created>
  <dc:creator>Administrator</dc:creator>
  <cp:lastModifiedBy>314</cp:lastModifiedBy>
  <dcterms:modified xsi:type="dcterms:W3CDTF">2023-03-06T03:18:40Z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64E42C85D7C44A379F29E519895263D4</vt:lpwstr>
  </property>
</Properties>
</file>