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858C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北京市东城区发展和改革委员会</w:t>
      </w:r>
    </w:p>
    <w:p w14:paraId="05D7117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方正小标宋简体" w:cs="Times New Roman"/>
          <w:color w:val="auto"/>
          <w:sz w:val="44"/>
          <w:szCs w:val="44"/>
          <w:lang w:val="en-US" w:eastAsia="zh-CN"/>
        </w:rPr>
        <w:t>2025年度</w:t>
      </w:r>
      <w:r>
        <w:rPr>
          <w:rFonts w:hint="default" w:ascii="Times New Roman" w:hAnsi="Times New Roman" w:eastAsia="方正小标宋简体" w:cs="Times New Roman"/>
          <w:color w:val="auto"/>
          <w:sz w:val="44"/>
          <w:szCs w:val="44"/>
          <w:lang w:eastAsia="zh-CN"/>
        </w:rPr>
        <w:t>法治政府建设年度情况</w:t>
      </w:r>
      <w:r>
        <w:rPr>
          <w:rFonts w:hint="default" w:ascii="Times New Roman" w:hAnsi="Times New Roman" w:eastAsia="方正小标宋简体" w:cs="Times New Roman"/>
          <w:color w:val="auto"/>
          <w:sz w:val="44"/>
          <w:szCs w:val="44"/>
        </w:rPr>
        <w:t>报告</w:t>
      </w:r>
    </w:p>
    <w:p w14:paraId="33ECBCC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color w:val="auto"/>
          <w:sz w:val="32"/>
          <w:szCs w:val="32"/>
          <w:lang w:val="en-US" w:eastAsia="zh-CN"/>
        </w:rPr>
      </w:pPr>
    </w:p>
    <w:p w14:paraId="76C40D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一、2025年推进法治政府建设的主要举措和成效</w:t>
      </w:r>
    </w:p>
    <w:p w14:paraId="7DE2C341">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（一）本部门开展双随机执法检查情况</w:t>
      </w:r>
    </w:p>
    <w:p w14:paraId="20DBC7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eastAsia="zh-CN"/>
        </w:rPr>
        <w:t>区发改委借助北京市</w:t>
      </w:r>
      <w:r>
        <w:rPr>
          <w:rFonts w:hint="eastAsia" w:ascii="Times New Roman" w:hAnsi="Times New Roman" w:eastAsia="仿宋_GB2312" w:cs="Times New Roman"/>
          <w:color w:val="auto"/>
          <w:sz w:val="32"/>
          <w:szCs w:val="32"/>
          <w:lang w:eastAsia="zh-CN"/>
        </w:rPr>
        <w:t>发展和改革委员会</w:t>
      </w:r>
      <w:r>
        <w:rPr>
          <w:rFonts w:hint="default" w:ascii="Times New Roman" w:hAnsi="Times New Roman" w:eastAsia="仿宋_GB2312" w:cs="Times New Roman"/>
          <w:color w:val="auto"/>
          <w:sz w:val="32"/>
          <w:szCs w:val="32"/>
          <w:lang w:eastAsia="zh-CN"/>
        </w:rPr>
        <w:t>所属的北京市发展改革部门行政执法业务综合管理</w:t>
      </w:r>
      <w:r>
        <w:rPr>
          <w:rFonts w:hint="default" w:ascii="Times New Roman" w:hAnsi="Times New Roman" w:eastAsia="仿宋_GB2312" w:cs="Times New Roman"/>
          <w:color w:val="auto"/>
          <w:sz w:val="32"/>
          <w:szCs w:val="32"/>
          <w:lang w:val="en-US" w:eastAsia="zh-CN"/>
        </w:rPr>
        <w:t>平台作为执法数据录入平台，</w:t>
      </w:r>
      <w:r>
        <w:rPr>
          <w:rFonts w:hint="default" w:ascii="Times New Roman" w:hAnsi="Times New Roman" w:eastAsia="仿宋_GB2312" w:cs="Times New Roman"/>
          <w:color w:val="auto"/>
          <w:sz w:val="32"/>
          <w:szCs w:val="32"/>
        </w:rPr>
        <w:t>按照“谁审批谁监管，谁主管谁监管”的原则，</w:t>
      </w:r>
      <w:r>
        <w:rPr>
          <w:rFonts w:hint="default" w:ascii="Times New Roman" w:hAnsi="Times New Roman" w:eastAsia="仿宋_GB2312" w:cs="Times New Roman"/>
          <w:color w:val="auto"/>
          <w:sz w:val="32"/>
          <w:szCs w:val="32"/>
          <w:lang w:eastAsia="zh-CN"/>
        </w:rPr>
        <w:t>开展行政执法检查工作，在政府投资和社会投资领域所审批、核准、备案的各类项目，作为我委行政执法检查的对象，由</w:t>
      </w:r>
      <w:r>
        <w:rPr>
          <w:rFonts w:hint="default" w:ascii="Times New Roman" w:hAnsi="Times New Roman" w:eastAsia="仿宋_GB2312" w:cs="Times New Roman"/>
          <w:color w:val="auto"/>
          <w:sz w:val="32"/>
          <w:szCs w:val="32"/>
          <w:lang w:val="en-US" w:eastAsia="zh-CN"/>
        </w:rPr>
        <w:t>开展具体的项目类和节能监察类行政执法检查工作。</w:t>
      </w:r>
      <w:r>
        <w:rPr>
          <w:rFonts w:hint="eastAsia" w:ascii="Times New Roman" w:hAnsi="Times New Roman" w:eastAsia="仿宋_GB2312" w:cs="Times New Roman"/>
          <w:color w:val="auto"/>
          <w:sz w:val="32"/>
          <w:szCs w:val="32"/>
          <w:lang w:val="en-US" w:eastAsia="zh-CN"/>
        </w:rPr>
        <w:t>全年</w:t>
      </w:r>
      <w:r>
        <w:rPr>
          <w:rFonts w:hint="default" w:ascii="Times New Roman" w:hAnsi="Times New Roman" w:eastAsia="仿宋_GB2312" w:cs="Times New Roman"/>
          <w:color w:val="auto"/>
          <w:sz w:val="32"/>
          <w:szCs w:val="32"/>
          <w:highlight w:val="none"/>
          <w:lang w:val="en-US" w:eastAsia="zh-CN"/>
        </w:rPr>
        <w:t>合计开展项目类执法检查</w:t>
      </w:r>
      <w:r>
        <w:rPr>
          <w:rFonts w:hint="default" w:ascii="Times New Roman" w:hAnsi="Times New Roman" w:eastAsia="仿宋_GB2312" w:cs="Times New Roman"/>
          <w:b w:val="0"/>
          <w:bCs w:val="0"/>
          <w:color w:val="auto"/>
          <w:sz w:val="32"/>
          <w:szCs w:val="32"/>
          <w:highlight w:val="none"/>
          <w:lang w:val="en-US" w:eastAsia="zh-CN"/>
        </w:rPr>
        <w:t>146个。</w:t>
      </w:r>
    </w:p>
    <w:p w14:paraId="4BE9EC8C">
      <w:pPr>
        <w:pStyle w:val="11"/>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（二）开展跨部门联合双随机执法检查情况</w:t>
      </w:r>
    </w:p>
    <w:p w14:paraId="5889EA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区发改委开展部门联合双随机执法检查工作依托北京市综合监管E码查系统开展，根据区市场监管局下发的《北京市东城区2025年度部门联合双随机抽查工作计划》，</w:t>
      </w:r>
      <w:r>
        <w:rPr>
          <w:rFonts w:hint="default" w:ascii="Times New Roman" w:hAnsi="Times New Roman" w:eastAsia="仿宋_GB2312" w:cs="Times New Roman"/>
          <w:color w:val="auto"/>
          <w:sz w:val="32"/>
          <w:szCs w:val="32"/>
          <w:highlight w:val="none"/>
        </w:rPr>
        <w:t>涉及</w:t>
      </w:r>
      <w:r>
        <w:rPr>
          <w:rFonts w:hint="default" w:ascii="Times New Roman" w:hAnsi="Times New Roman" w:eastAsia="仿宋_GB2312" w:cs="Times New Roman"/>
          <w:color w:val="auto"/>
          <w:sz w:val="32"/>
          <w:szCs w:val="32"/>
          <w:highlight w:val="none"/>
          <w:lang w:eastAsia="zh-CN"/>
        </w:rPr>
        <w:t>我委</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项抽查事项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对节能法律法规和节能标准执行情况的检查</w:t>
      </w:r>
      <w:r>
        <w:rPr>
          <w:rFonts w:hint="default"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lang w:val="en-US" w:eastAsia="zh-CN"/>
        </w:rPr>
        <w:t>区发改委主动发起1批次节能法律法规执行情况检查，与区统计局配合对我区符合年综合能源消费总量2000吨以上不满1万吨标煤的用能单位（市级重点用能单位除外）的节能情况检查，共涉及被检查主体16家，检查结果为合格。2、本年度对粮食经营企业部门联合抽查。</w:t>
      </w:r>
      <w:r>
        <w:rPr>
          <w:rFonts w:hint="default"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lang w:val="en-US" w:eastAsia="zh-CN"/>
        </w:rPr>
        <w:t>区发改委主动发起1批次粮食经营企业经营粮食业务情况联合检查，与区市场监督管理局配合对我区入统粮食经营企业开展经营状况执法检查。共涉及被检查主体6家，检查结果为合格。</w:t>
      </w:r>
      <w:r>
        <w:rPr>
          <w:rFonts w:hint="default" w:ascii="Times New Roman" w:hAnsi="Times New Roman" w:eastAsia="仿宋_GB2312" w:cs="Times New Roman"/>
          <w:color w:val="auto"/>
          <w:sz w:val="32"/>
          <w:szCs w:val="32"/>
          <w:highlight w:val="none"/>
          <w:lang w:eastAsia="zh-CN"/>
        </w:rPr>
        <w:t>在检查中未发现</w:t>
      </w:r>
      <w:r>
        <w:rPr>
          <w:rFonts w:hint="default" w:ascii="Times New Roman" w:hAnsi="Times New Roman" w:eastAsia="仿宋_GB2312" w:cs="Times New Roman"/>
          <w:color w:val="auto"/>
          <w:sz w:val="32"/>
          <w:szCs w:val="32"/>
          <w:highlight w:val="none"/>
          <w:lang w:val="en-US" w:eastAsia="zh-CN"/>
        </w:rPr>
        <w:t>违法失信行为，未实施部门联合惩戒</w:t>
      </w:r>
      <w:r>
        <w:rPr>
          <w:rFonts w:hint="default" w:ascii="Times New Roman" w:hAnsi="Times New Roman" w:eastAsia="仿宋_GB2312" w:cs="Times New Roman"/>
          <w:color w:val="auto"/>
          <w:sz w:val="32"/>
          <w:szCs w:val="32"/>
          <w:highlight w:val="none"/>
          <w:lang w:eastAsia="zh-CN"/>
        </w:rPr>
        <w:t>。</w:t>
      </w:r>
    </w:p>
    <w:p w14:paraId="382AF3EF">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color w:val="auto"/>
          <w:sz w:val="32"/>
          <w:szCs w:val="32"/>
          <w:lang w:val="en-US" w:eastAsia="zh-CN"/>
        </w:rPr>
        <w:t>（三）开展公平竞争审查工作情况</w:t>
      </w:r>
    </w:p>
    <w:p w14:paraId="33F8CFB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color w:val="auto"/>
          <w:sz w:val="32"/>
          <w:szCs w:val="32"/>
          <w:lang w:eastAsia="zh-CN"/>
        </w:rPr>
        <w:t>区发改委严格按照</w:t>
      </w:r>
      <w:r>
        <w:rPr>
          <w:rFonts w:hint="default" w:ascii="Times New Roman" w:hAnsi="Times New Roman" w:eastAsia="仿宋_GB2312" w:cs="Times New Roman"/>
          <w:b w:val="0"/>
          <w:bCs/>
          <w:color w:val="auto"/>
          <w:sz w:val="32"/>
          <w:szCs w:val="32"/>
        </w:rPr>
        <w:t>工作方案的要求，按照高质完成文件清理工作</w:t>
      </w:r>
      <w:r>
        <w:rPr>
          <w:rFonts w:hint="eastAsia"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共按要求清理</w:t>
      </w:r>
      <w:r>
        <w:rPr>
          <w:rFonts w:hint="default" w:ascii="Times New Roman" w:hAnsi="Times New Roman" w:eastAsia="仿宋_GB2312" w:cs="Times New Roman"/>
          <w:color w:val="auto"/>
          <w:sz w:val="32"/>
          <w:szCs w:val="32"/>
        </w:rPr>
        <w:t>存量</w:t>
      </w:r>
      <w:r>
        <w:rPr>
          <w:rFonts w:hint="default" w:ascii="Times New Roman" w:hAnsi="Times New Roman" w:eastAsia="仿宋_GB2312" w:cs="Times New Roman"/>
          <w:color w:val="auto"/>
          <w:sz w:val="32"/>
          <w:szCs w:val="32"/>
          <w:lang w:eastAsia="zh-CN"/>
        </w:rPr>
        <w:t>文件</w:t>
      </w:r>
      <w:r>
        <w:rPr>
          <w:rFonts w:hint="default" w:ascii="Times New Roman" w:hAnsi="Times New Roman" w:eastAsia="仿宋_GB2312" w:cs="Times New Roman"/>
          <w:color w:val="auto"/>
          <w:sz w:val="32"/>
          <w:szCs w:val="32"/>
          <w:lang w:val="en-US" w:eastAsia="zh-CN"/>
        </w:rPr>
        <w:t>69件，</w:t>
      </w:r>
      <w:r>
        <w:rPr>
          <w:rFonts w:hint="default" w:ascii="Times New Roman" w:hAnsi="Times New Roman" w:eastAsia="仿宋_GB2312" w:cs="Times New Roman"/>
          <w:color w:val="auto"/>
          <w:sz w:val="32"/>
          <w:szCs w:val="32"/>
        </w:rPr>
        <w:t>确保了各项政策措施符合法律法规规定和公平竞争审查工作相关要求。</w:t>
      </w:r>
    </w:p>
    <w:p w14:paraId="2BA97F37">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（四）开展规范文件审查工作情况</w:t>
      </w:r>
    </w:p>
    <w:p w14:paraId="5C3BBC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区发改委统一建立审核台账，对已审核的行政规范性文件实行目录化、动态化管理。根据区司法局的安排，2025年</w:t>
      </w:r>
      <w:r>
        <w:rPr>
          <w:rFonts w:hint="default" w:ascii="Times New Roman" w:hAnsi="Times New Roman" w:eastAsia="仿宋_GB2312" w:cs="Times New Roman"/>
          <w:sz w:val="32"/>
          <w:szCs w:val="32"/>
          <w:lang w:eastAsia="zh-CN"/>
        </w:rPr>
        <w:t>对涉及发改委起草的以区政府和区政府办名义制发的，全区现行有效的行政规范性</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开展了</w:t>
      </w:r>
      <w:r>
        <w:rPr>
          <w:rFonts w:hint="default" w:ascii="Times New Roman" w:hAnsi="Times New Roman" w:eastAsia="仿宋_GB2312" w:cs="Times New Roman"/>
          <w:sz w:val="32"/>
          <w:szCs w:val="32"/>
        </w:rPr>
        <w:t>清理</w:t>
      </w:r>
      <w:r>
        <w:rPr>
          <w:rFonts w:hint="default" w:ascii="Times New Roman" w:hAnsi="Times New Roman" w:eastAsia="仿宋_GB2312" w:cs="Times New Roman"/>
          <w:sz w:val="32"/>
          <w:szCs w:val="32"/>
          <w:lang w:eastAsia="zh-CN"/>
        </w:rPr>
        <w:t>工作，共完成清理文件</w:t>
      </w:r>
      <w:r>
        <w:rPr>
          <w:rFonts w:hint="default" w:ascii="Times New Roman" w:hAnsi="Times New Roman" w:eastAsia="仿宋_GB2312" w:cs="Times New Roman"/>
          <w:sz w:val="32"/>
          <w:szCs w:val="32"/>
          <w:lang w:val="en-US" w:eastAsia="zh-CN"/>
        </w:rPr>
        <w:t>13件，其中保留8件，拟废止5件。决定保留5件以区政府名义制发的文件：“</w:t>
      </w: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HYPERLINK "http://zfxxgk.beijing.gov.cn/11A000/zfwj23/2014-04/29/content_463146.shtml" \o "http://zfxxgk.beijing.gov.cn/11A000/zfwj23/2014-04/29/content_463146.shtml" </w:instrText>
      </w:r>
      <w:r>
        <w:rPr>
          <w:rFonts w:hint="default" w:ascii="Times New Roman" w:hAnsi="Times New Roman" w:eastAsia="仿宋_GB2312" w:cs="Times New Roman"/>
          <w:kern w:val="0"/>
          <w:sz w:val="32"/>
          <w:szCs w:val="32"/>
        </w:rPr>
        <w:fldChar w:fldCharType="separate"/>
      </w:r>
      <w:r>
        <w:rPr>
          <w:rStyle w:val="16"/>
          <w:rFonts w:hint="default" w:ascii="Times New Roman" w:hAnsi="Times New Roman" w:eastAsia="仿宋_GB2312" w:cs="Times New Roman"/>
          <w:sz w:val="32"/>
          <w:szCs w:val="32"/>
        </w:rPr>
        <w:t>北京市东城区人民政府关于印发《东城区支持鼓励节约能源暂行办法》的通知</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rPr>
        <w:t>东政发〔2014〕7号</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rPr>
        <w:t>北京市东城区人民政府关于废止《东城区产业指导目录（2018年版）》的通知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东政发〔2020〕10号</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北京市东城区人民政府关于印发《东城区2022年营商环境改革创新工作实施方案》的通知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东政发〔2022〕5号</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北京市东城区人民政府关于印发《东城区碳达峰实施方案》的通知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东政发〔2023〕3号</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北京市东城区人民政府关于印发《东城区政府投资管理办法》的通知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东政发〔2024〕6号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val="en-US" w:eastAsia="zh-CN"/>
        </w:rPr>
        <w:t>决定保留2件以区政府办名义制发的文件：“</w:t>
      </w:r>
      <w:r>
        <w:rPr>
          <w:rFonts w:hint="default" w:ascii="Times New Roman" w:hAnsi="Times New Roman" w:eastAsia="仿宋_GB2312" w:cs="Times New Roman"/>
          <w:color w:val="000000"/>
          <w:kern w:val="0"/>
          <w:sz w:val="32"/>
          <w:szCs w:val="32"/>
        </w:rPr>
        <w:t>北京市东城区人民政府办公室关于印发《北京市东城区关于落实继续加大中小微企业帮扶力度加快困难企业恢复发展的若干措施实施细则》的通知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东政办发〔2022〕7号</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北京市东城区人民政府办公室关于印发《东城区全方位优化营商环境 打造文化创新融合改革示范区工作方案》的通知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东政办发〔2023〕4号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val="en-US" w:eastAsia="zh-CN"/>
        </w:rPr>
        <w:t>决定保留1件以本部门名义制发的文件“</w:t>
      </w:r>
      <w:r>
        <w:rPr>
          <w:rFonts w:hint="default" w:ascii="Times New Roman" w:hAnsi="Times New Roman" w:eastAsia="仿宋_GB2312" w:cs="Times New Roman"/>
          <w:color w:val="auto"/>
          <w:kern w:val="0"/>
          <w:sz w:val="32"/>
          <w:szCs w:val="32"/>
        </w:rPr>
        <w:t>关于印发《关于助企纾困促进消费加快恢复具体措施的实施细则》的通</w:t>
      </w:r>
      <w:r>
        <w:rPr>
          <w:rFonts w:hint="default" w:ascii="Times New Roman" w:hAnsi="Times New Roman" w:eastAsia="仿宋_GB2312" w:cs="Times New Roman"/>
          <w:color w:val="auto"/>
          <w:kern w:val="0"/>
          <w:sz w:val="32"/>
          <w:szCs w:val="32"/>
          <w:lang w:eastAsia="zh-CN"/>
        </w:rPr>
        <w:t>知（</w:t>
      </w:r>
      <w:r>
        <w:rPr>
          <w:rFonts w:hint="default" w:ascii="Times New Roman" w:hAnsi="Times New Roman" w:eastAsia="仿宋_GB2312" w:cs="Times New Roman"/>
          <w:color w:val="auto"/>
          <w:kern w:val="0"/>
          <w:sz w:val="32"/>
          <w:szCs w:val="32"/>
        </w:rPr>
        <w:t>东发改发〔2022〕29号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sz w:val="32"/>
          <w:szCs w:val="32"/>
          <w:lang w:val="en-US" w:eastAsia="zh-CN"/>
        </w:rPr>
        <w:t>”。</w:t>
      </w:r>
    </w:p>
    <w:p w14:paraId="399E1D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决定废止1件以区政府名义制发的文件：“</w:t>
      </w:r>
      <w:r>
        <w:rPr>
          <w:rFonts w:hint="default" w:ascii="Times New Roman" w:hAnsi="Times New Roman" w:eastAsia="仿宋_GB2312" w:cs="Times New Roman"/>
          <w:color w:val="000000"/>
          <w:kern w:val="0"/>
          <w:sz w:val="32"/>
          <w:szCs w:val="32"/>
        </w:rPr>
        <w:t>北京市东城区人民政府北京市地方金融监督管理局关于印发《关于支持建设基础设施领域不动产投资信托基金(REITs)集聚区的若干措施》的通知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东政发〔2022〕4号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lang w:val="en-US" w:eastAsia="zh-CN"/>
        </w:rPr>
        <w:t>决定废止1件以区政府办名义制发的文件：“</w:t>
      </w:r>
      <w:r>
        <w:rPr>
          <w:rFonts w:hint="default" w:ascii="Times New Roman" w:hAnsi="Times New Roman" w:eastAsia="仿宋_GB2312" w:cs="Times New Roman"/>
          <w:color w:val="000000"/>
          <w:kern w:val="0"/>
          <w:sz w:val="32"/>
          <w:szCs w:val="32"/>
        </w:rPr>
        <w:t>北京市东城区人民政府办公室关于印发《东城区关于鼓励企业上市挂牌融资的若干措施》（修订版）的通知东政办发〔2020〕18号</w:t>
      </w:r>
      <w:r>
        <w:rPr>
          <w:rFonts w:hint="default" w:ascii="Times New Roman" w:hAnsi="Times New Roman" w:eastAsia="仿宋_GB2312" w:cs="Times New Roman"/>
          <w:sz w:val="32"/>
          <w:szCs w:val="32"/>
          <w:lang w:val="en-US" w:eastAsia="zh-CN"/>
        </w:rPr>
        <w:t>”。决定废止3件以本部门名义制发的文件：“</w:t>
      </w:r>
      <w:r>
        <w:rPr>
          <w:rFonts w:hint="default" w:ascii="Times New Roman" w:hAnsi="Times New Roman" w:eastAsia="仿宋_GB2312" w:cs="Times New Roman"/>
          <w:color w:val="000000"/>
          <w:kern w:val="0"/>
          <w:sz w:val="32"/>
          <w:szCs w:val="32"/>
        </w:rPr>
        <w:t>东城区金融办关于印发《东城区中小微企业风险补偿专项资金管理办法》的通</w:t>
      </w:r>
      <w:r>
        <w:rPr>
          <w:rFonts w:hint="default" w:ascii="Times New Roman" w:hAnsi="Times New Roman" w:eastAsia="仿宋_GB2312" w:cs="Times New Roman"/>
          <w:color w:val="000000"/>
          <w:kern w:val="0"/>
          <w:sz w:val="32"/>
          <w:szCs w:val="32"/>
          <w:lang w:eastAsia="zh-CN"/>
        </w:rPr>
        <w:t>知（</w:t>
      </w:r>
      <w:r>
        <w:rPr>
          <w:rFonts w:hint="default" w:ascii="Times New Roman" w:hAnsi="Times New Roman" w:eastAsia="仿宋_GB2312" w:cs="Times New Roman"/>
          <w:color w:val="000000"/>
          <w:kern w:val="0"/>
          <w:sz w:val="32"/>
          <w:szCs w:val="32"/>
        </w:rPr>
        <w:t>东金融文〔2020〕7号</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auto"/>
          <w:kern w:val="0"/>
          <w:sz w:val="32"/>
          <w:szCs w:val="32"/>
        </w:rPr>
        <w:t>《北京市东城区发展和改革委员会关于给予疫情防控期间减免中小微企业房租的商务楼宇资金补贴的实施办法》</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东发改函〔2020〕15号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rPr>
        <w:t>关于印发《东城区加快培育引进独角兽企业的若干措施（试行）》的通知</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东发改发〔2021〕17号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lang w:val="en-US" w:eastAsia="zh-CN"/>
        </w:rPr>
        <w:t>”。</w:t>
      </w:r>
    </w:p>
    <w:p w14:paraId="253BCFA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并陆续开展了</w:t>
      </w:r>
      <w:r>
        <w:rPr>
          <w:rFonts w:hint="default" w:ascii="Times New Roman" w:hAnsi="Times New Roman" w:eastAsia="仿宋_GB2312" w:cs="Times New Roman"/>
          <w:sz w:val="32"/>
          <w:szCs w:val="32"/>
        </w:rPr>
        <w:t>与外商投资法</w:t>
      </w:r>
      <w:r>
        <w:rPr>
          <w:rFonts w:hint="default" w:ascii="Times New Roman" w:hAnsi="Times New Roman" w:eastAsia="仿宋_GB2312" w:cs="Times New Roman"/>
          <w:sz w:val="32"/>
          <w:szCs w:val="32"/>
          <w:lang w:eastAsia="zh-CN"/>
        </w:rPr>
        <w:t>、民营经济促进法</w:t>
      </w:r>
      <w:r>
        <w:rPr>
          <w:rFonts w:hint="default" w:ascii="Times New Roman" w:hAnsi="Times New Roman" w:eastAsia="仿宋_GB2312" w:cs="Times New Roman"/>
          <w:sz w:val="32"/>
          <w:szCs w:val="32"/>
        </w:rPr>
        <w:t>不符的地方性法规、政府规章、规范性文件等清理工作</w:t>
      </w:r>
      <w:r>
        <w:rPr>
          <w:rFonts w:hint="default" w:ascii="Times New Roman" w:hAnsi="Times New Roman" w:eastAsia="仿宋_GB2312" w:cs="Times New Roman"/>
          <w:sz w:val="32"/>
          <w:szCs w:val="32"/>
          <w:lang w:eastAsia="zh-CN"/>
        </w:rPr>
        <w:t>，以及党内规范性文件清理等工作。</w:t>
      </w:r>
    </w:p>
    <w:p w14:paraId="3DFCFC02">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（五）行政复议行政诉讼开展情况</w:t>
      </w:r>
    </w:p>
    <w:p w14:paraId="4F008B6C">
      <w:pPr>
        <w:pStyle w:val="1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8"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2025年，东城区发改委涉及区级行政复议案件3件，其中2件维持，1件责令履责。涉及市级行政复议案件2件，均驳回申请人复议请求。</w:t>
      </w:r>
      <w:r>
        <w:rPr>
          <w:rFonts w:hint="default" w:ascii="Times New Roman" w:hAnsi="Times New Roman" w:eastAsia="仿宋_GB2312" w:cs="Times New Roman"/>
          <w:color w:val="auto"/>
          <w:sz w:val="32"/>
          <w:szCs w:val="32"/>
          <w:highlight w:val="none"/>
          <w:lang w:val="en-US" w:eastAsia="zh-CN"/>
        </w:rPr>
        <w:t>涉及行政诉讼案件0件，未收到法律建议书。涉及民事诉讼案件1件，未开庭，原告撤诉。</w:t>
      </w:r>
    </w:p>
    <w:p w14:paraId="60FC0674">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（六）我委牵头的持续优化营商环境的</w:t>
      </w:r>
      <w:r>
        <w:rPr>
          <w:rFonts w:hint="default" w:ascii="Times New Roman" w:hAnsi="Times New Roman" w:eastAsia="楷体_GB2312" w:cs="Times New Roman"/>
          <w:color w:val="auto"/>
          <w:sz w:val="32"/>
          <w:szCs w:val="32"/>
          <w:lang w:eastAsia="zh-CN"/>
        </w:rPr>
        <w:t>主要</w:t>
      </w:r>
      <w:r>
        <w:rPr>
          <w:rFonts w:hint="default" w:ascii="Times New Roman" w:hAnsi="Times New Roman" w:eastAsia="楷体_GB2312" w:cs="Times New Roman"/>
          <w:color w:val="auto"/>
          <w:sz w:val="32"/>
          <w:szCs w:val="32"/>
        </w:rPr>
        <w:t>举措</w:t>
      </w:r>
      <w:r>
        <w:rPr>
          <w:rFonts w:hint="default" w:ascii="Times New Roman" w:hAnsi="Times New Roman" w:eastAsia="楷体_GB2312" w:cs="Times New Roman"/>
          <w:color w:val="auto"/>
          <w:sz w:val="32"/>
          <w:szCs w:val="32"/>
          <w:lang w:eastAsia="zh-CN"/>
        </w:rPr>
        <w:t>和成效</w:t>
      </w:r>
    </w:p>
    <w:p w14:paraId="7CACF4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一是营商环境持续优化升级。</w:t>
      </w:r>
      <w:r>
        <w:rPr>
          <w:rFonts w:hint="default" w:ascii="Times New Roman" w:hAnsi="Times New Roman" w:eastAsia="仿宋_GB2312" w:cs="Times New Roman"/>
          <w:kern w:val="2"/>
          <w:sz w:val="32"/>
          <w:szCs w:val="32"/>
          <w:lang w:val="en-US" w:eastAsia="zh-CN" w:bidi="ar"/>
        </w:rPr>
        <w:t>深化“高效办成一件事”集成服务办理，成功</w:t>
      </w:r>
      <w:r>
        <w:rPr>
          <w:rFonts w:hint="default" w:ascii="Times New Roman" w:hAnsi="Times New Roman" w:eastAsia="仿宋_GB2312" w:cs="Times New Roman"/>
          <w:b w:val="0"/>
          <w:bCs w:val="0"/>
          <w:kern w:val="2"/>
          <w:sz w:val="32"/>
          <w:szCs w:val="32"/>
          <w:lang w:val="en-US" w:eastAsia="zh-CN" w:bidi="ar"/>
        </w:rPr>
        <w:t>为“我与地坛”北京书市办理“举办大型活动”一件事，形成</w:t>
      </w:r>
      <w:r>
        <w:rPr>
          <w:rFonts w:hint="default" w:ascii="Times New Roman" w:hAnsi="Times New Roman" w:eastAsia="仿宋_GB2312" w:cs="Times New Roman"/>
          <w:b w:val="0"/>
          <w:bCs w:val="0"/>
          <w:kern w:val="2"/>
          <w:sz w:val="32"/>
          <w:szCs w:val="32"/>
          <w:lang w:val="en-US" w:eastAsia="zh" w:bidi="ar"/>
        </w:rPr>
        <w:t>45</w:t>
      </w:r>
      <w:r>
        <w:rPr>
          <w:rFonts w:hint="default" w:ascii="Times New Roman" w:hAnsi="Times New Roman" w:eastAsia="仿宋_GB2312" w:cs="Times New Roman"/>
          <w:b w:val="0"/>
          <w:bCs w:val="0"/>
          <w:kern w:val="2"/>
          <w:sz w:val="32"/>
          <w:szCs w:val="32"/>
          <w:lang w:val="en-US" w:eastAsia="zh-CN" w:bidi="ar"/>
        </w:rPr>
        <w:t>个优化营商环境典型案例。打造“一键呼叫”紫金智服线上服务平台，集成38个部门服务资源，配备142名专业服务专员，提供多语言支持服务。平台运行以来，已服务企业89家，解决问题90余项，促成融资1500万元，开展线上会议370余次，服务1573人次。通过“一企一群”服务模式，实现多部门协同响应，为企业提供全天候、专业化服务支持，有效推动政务服务数字化转型。创新构建行政调解与司法确认深</w:t>
      </w:r>
      <w:r>
        <w:rPr>
          <w:rFonts w:hint="default" w:ascii="Times New Roman" w:hAnsi="Times New Roman" w:eastAsia="仿宋_GB2312" w:cs="Times New Roman"/>
          <w:b w:val="0"/>
          <w:bCs w:val="0"/>
          <w:color w:val="000000"/>
          <w:kern w:val="2"/>
          <w:sz w:val="32"/>
          <w:szCs w:val="32"/>
          <w:lang w:val="en-US" w:eastAsia="zh-CN" w:bidi="ar"/>
        </w:rPr>
        <w:t>度融合机制，提升企业维权效率。首创“三方共商、三级联动”协同共治模式，探索新就业形态劳动者权益保障“新路径”。</w:t>
      </w:r>
      <w:r>
        <w:rPr>
          <w:rFonts w:hint="default" w:ascii="Times New Roman" w:hAnsi="Times New Roman" w:eastAsia="仿宋_GB2312" w:cs="Times New Roman"/>
          <w:spacing w:val="0"/>
          <w:kern w:val="2"/>
          <w:sz w:val="32"/>
          <w:szCs w:val="32"/>
          <w:lang w:val="en-US" w:eastAsia="zh-CN" w:bidi="ar"/>
        </w:rPr>
        <w:t>优化不动产业务办理流程，提升业务办理效率。</w:t>
      </w:r>
      <w:r>
        <w:rPr>
          <w:rFonts w:hint="default" w:ascii="Times New Roman" w:hAnsi="Times New Roman" w:eastAsia="仿宋_GB2312" w:cs="Times New Roman"/>
          <w:b w:val="0"/>
          <w:bCs w:val="0"/>
          <w:kern w:val="2"/>
          <w:sz w:val="32"/>
          <w:szCs w:val="32"/>
          <w:lang w:val="en-US" w:eastAsia="zh-CN" w:bidi="ar"/>
        </w:rPr>
        <w:t>推进全区一体化综合监管改革</w:t>
      </w:r>
      <w:r>
        <w:rPr>
          <w:rFonts w:hint="default"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2"/>
          <w:sz w:val="32"/>
          <w:szCs w:val="32"/>
          <w:lang w:val="en-US" w:eastAsia="zh-CN" w:bidi="ar"/>
        </w:rPr>
        <w:t>1.5万余户企业纳入“无事不扰”清单，占本区市场主体比例居全市首位；</w:t>
      </w:r>
      <w:r>
        <w:rPr>
          <w:rFonts w:hint="default" w:ascii="Times New Roman" w:hAnsi="Times New Roman" w:eastAsia="仿宋_GB2312" w:cs="Times New Roman"/>
          <w:b w:val="0"/>
          <w:bCs w:val="0"/>
          <w:kern w:val="0"/>
          <w:sz w:val="32"/>
          <w:szCs w:val="32"/>
          <w:lang w:val="en-US" w:eastAsia="zh-CN" w:bidi="ar"/>
        </w:rPr>
        <w:t>非现场检查占比达到79.98%。</w:t>
      </w:r>
      <w:r>
        <w:rPr>
          <w:rFonts w:hint="default" w:ascii="Times New Roman" w:hAnsi="Times New Roman" w:eastAsia="仿宋_GB2312" w:cs="Times New Roman"/>
          <w:kern w:val="2"/>
          <w:sz w:val="32"/>
          <w:szCs w:val="32"/>
          <w:lang w:val="en-US" w:eastAsia="zh-CN" w:bidi="ar"/>
        </w:rPr>
        <w:t>全市率先试点强制注销，畅通企业退出机制。探索建立“紫金公寓”服务保障机制，为重点企业配租各类周转</w:t>
      </w:r>
      <w:r>
        <w:rPr>
          <w:rFonts w:hint="default" w:ascii="Times New Roman" w:hAnsi="Times New Roman" w:eastAsia="仿宋_GB2312" w:cs="Times New Roman"/>
          <w:kern w:val="2"/>
          <w:sz w:val="32"/>
          <w:szCs w:val="32"/>
          <w:lang w:val="en-US" w:eastAsia="zh" w:bidi="ar"/>
        </w:rPr>
        <w:t>房</w:t>
      </w:r>
      <w:r>
        <w:rPr>
          <w:rFonts w:hint="default" w:ascii="Times New Roman" w:hAnsi="Times New Roman" w:eastAsia="仿宋_GB2312" w:cs="Times New Roman"/>
          <w:spacing w:val="0"/>
          <w:kern w:val="2"/>
          <w:sz w:val="32"/>
          <w:szCs w:val="32"/>
          <w:lang w:val="en-US" w:eastAsia="zh-CN" w:bidi="ar"/>
        </w:rPr>
        <w:t>。开展区级企业满意度调查工作，了解企业对我区营商环境意见建议。</w:t>
      </w:r>
    </w:p>
    <w:p w14:paraId="292E93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bCs/>
          <w:kern w:val="2"/>
          <w:sz w:val="32"/>
          <w:szCs w:val="32"/>
          <w:lang w:val="en-US" w:eastAsia="zh-CN" w:bidi="ar"/>
        </w:rPr>
        <w:t>二是企业走访服务常态化开展。</w:t>
      </w:r>
      <w:r>
        <w:rPr>
          <w:rFonts w:hint="default" w:ascii="Times New Roman" w:hAnsi="Times New Roman" w:eastAsia="仿宋_GB2312" w:cs="Times New Roman"/>
          <w:b w:val="0"/>
          <w:bCs w:val="0"/>
          <w:kern w:val="2"/>
          <w:sz w:val="32"/>
          <w:szCs w:val="32"/>
          <w:lang w:val="en-US" w:eastAsia="zh-CN" w:bidi="ar"/>
        </w:rPr>
        <w:t>立足全区经济发展需要，聚焦十余家央企一级总部、服务包企业、千户规上企业及万户重点税源企业开展走访工作，依托“三级服务管家”体系，</w:t>
      </w:r>
      <w:r>
        <w:rPr>
          <w:rFonts w:hint="default" w:ascii="Times New Roman" w:hAnsi="Times New Roman" w:eastAsia="仿宋_GB2312" w:cs="Times New Roman"/>
          <w:kern w:val="2"/>
          <w:sz w:val="32"/>
          <w:szCs w:val="32"/>
          <w:lang w:val="en-US" w:eastAsia="zh-CN" w:bidi="ar"/>
        </w:rPr>
        <w:t>创新打造</w:t>
      </w:r>
      <w:r>
        <w:rPr>
          <w:rFonts w:hint="default" w:ascii="Times New Roman" w:hAnsi="Times New Roman" w:eastAsia="仿宋_GB2312" w:cs="Times New Roman"/>
          <w:kern w:val="0"/>
          <w:sz w:val="32"/>
          <w:szCs w:val="32"/>
          <w:lang w:val="en-US" w:eastAsia="zh-CN" w:bidi="ar"/>
        </w:rPr>
        <w:t>企业服务“十百千万”走访工程，不断加强政府与企业</w:t>
      </w:r>
      <w:r>
        <w:rPr>
          <w:rFonts w:hint="eastAsia" w:ascii="Times New Roman" w:hAnsi="Times New Roman" w:eastAsia="仿宋_GB2312" w:cs="Times New Roman"/>
          <w:kern w:val="0"/>
          <w:sz w:val="32"/>
          <w:szCs w:val="32"/>
          <w:lang w:val="en-US" w:eastAsia="zh-CN" w:bidi="ar"/>
        </w:rPr>
        <w:t>黏性</w:t>
      </w:r>
      <w:r>
        <w:rPr>
          <w:rFonts w:hint="default" w:ascii="Times New Roman" w:hAnsi="Times New Roman" w:eastAsia="仿宋_GB2312" w:cs="Times New Roman"/>
          <w:kern w:val="0"/>
          <w:sz w:val="32"/>
          <w:szCs w:val="32"/>
          <w:lang w:val="en-US" w:eastAsia="zh-CN" w:bidi="ar"/>
        </w:rPr>
        <w:t>。截至</w:t>
      </w:r>
      <w:r>
        <w:rPr>
          <w:rFonts w:hint="default" w:ascii="Times New Roman" w:hAnsi="Times New Roman" w:eastAsia="仿宋_GB2312" w:cs="Times New Roman"/>
          <w:kern w:val="2"/>
          <w:sz w:val="32"/>
          <w:szCs w:val="32"/>
          <w:lang w:val="en-US" w:eastAsia="zh-CN" w:bidi="ar"/>
        </w:rPr>
        <w:t>目前，全区各单位累计走访企业</w:t>
      </w:r>
      <w:r>
        <w:rPr>
          <w:rFonts w:hint="default" w:ascii="Times New Roman" w:hAnsi="Times New Roman" w:eastAsia="仿宋_GB2312" w:cs="Times New Roman"/>
          <w:kern w:val="2"/>
          <w:sz w:val="32"/>
          <w:szCs w:val="32"/>
          <w:lang w:val="en-US" w:eastAsia="zh" w:bidi="ar"/>
        </w:rPr>
        <w:t>2.5万</w:t>
      </w:r>
      <w:r>
        <w:rPr>
          <w:rFonts w:hint="default" w:ascii="Times New Roman" w:hAnsi="Times New Roman" w:eastAsia="仿宋_GB2312" w:cs="Times New Roman"/>
          <w:kern w:val="2"/>
          <w:sz w:val="32"/>
          <w:szCs w:val="32"/>
          <w:lang w:val="en-US" w:eastAsia="zh-CN" w:bidi="ar"/>
        </w:rPr>
        <w:t>家次，</w:t>
      </w:r>
      <w:r>
        <w:rPr>
          <w:rFonts w:hint="default" w:ascii="Times New Roman" w:hAnsi="Times New Roman" w:eastAsia="仿宋_GB2312" w:cs="Times New Roman"/>
          <w:kern w:val="0"/>
          <w:sz w:val="32"/>
          <w:szCs w:val="32"/>
          <w:lang w:val="en-US" w:eastAsia="zh-CN" w:bidi="ar"/>
        </w:rPr>
        <w:t>解决诉求1522件，解决率99.7%。</w:t>
      </w:r>
      <w:r>
        <w:rPr>
          <w:rFonts w:hint="default" w:ascii="Times New Roman" w:hAnsi="Times New Roman" w:eastAsia="仿宋_GB2312" w:cs="Times New Roman"/>
          <w:kern w:val="2"/>
          <w:sz w:val="32"/>
          <w:szCs w:val="32"/>
          <w:lang w:val="en-US" w:eastAsia="zh-CN" w:bidi="ar"/>
        </w:rPr>
        <w:t>组织四批次重点走访企业，累计795户企业，其中前三批487户已全部走访完成</w:t>
      </w:r>
      <w:r>
        <w:rPr>
          <w:rFonts w:hint="default" w:ascii="Times New Roman" w:hAnsi="Times New Roman" w:eastAsia="仿宋_GB2312" w:cs="Times New Roman"/>
          <w:kern w:val="0"/>
          <w:sz w:val="32"/>
          <w:szCs w:val="32"/>
          <w:lang w:val="en-US" w:eastAsia="zh-CN" w:bidi="ar"/>
        </w:rPr>
        <w:t>，第四批308户走访完成268户，完成率87.01%，预计年底前全部走访完毕。通过“十百千万”工程，</w:t>
      </w:r>
      <w:bookmarkStart w:id="0" w:name="OLE_LINK1"/>
      <w:r>
        <w:rPr>
          <w:rFonts w:hint="default" w:ascii="Times New Roman" w:hAnsi="Times New Roman" w:eastAsia="仿宋_GB2312" w:cs="Times New Roman"/>
          <w:b w:val="0"/>
          <w:bCs w:val="0"/>
          <w:kern w:val="2"/>
          <w:sz w:val="32"/>
          <w:szCs w:val="32"/>
          <w:lang w:val="en-US" w:eastAsia="zh-CN" w:bidi="ar"/>
        </w:rPr>
        <w:t>实现“问题清单化、责任具体化、进度可视化”的闭环落实机制，“说得上话、找得到人、办得上事”的联系逐步建立，“稳存量、挖潜量、扩增量”线索不断增多，为经济高质量发展夯实基础。</w:t>
      </w:r>
    </w:p>
    <w:bookmarkEnd w:id="0"/>
    <w:p w14:paraId="1B1CD9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kern w:val="2"/>
          <w:sz w:val="32"/>
          <w:szCs w:val="32"/>
          <w:lang w:val="en-US" w:eastAsia="zh-CN" w:bidi="ar"/>
        </w:rPr>
        <w:t>三是“紫金服务”内涵不断丰富。</w:t>
      </w:r>
      <w:r>
        <w:rPr>
          <w:rFonts w:hint="default" w:ascii="Times New Roman" w:hAnsi="Times New Roman" w:eastAsia="仿宋_GB2312" w:cs="Times New Roman"/>
          <w:b w:val="0"/>
          <w:bCs w:val="0"/>
          <w:kern w:val="2"/>
          <w:sz w:val="32"/>
          <w:szCs w:val="32"/>
          <w:lang w:val="en-US" w:eastAsia="zh-CN" w:bidi="ar"/>
        </w:rPr>
        <w:t>优化政企常态化交流机制，动态更新紫金服务工作清单，</w:t>
      </w:r>
      <w:r>
        <w:rPr>
          <w:rFonts w:hint="default" w:ascii="Times New Roman" w:hAnsi="Times New Roman" w:eastAsia="仿宋_GB2312" w:cs="Times New Roman"/>
          <w:kern w:val="0"/>
          <w:sz w:val="32"/>
          <w:szCs w:val="32"/>
          <w:lang w:val="en-US" w:eastAsia="zh-CN" w:bidi="ar"/>
        </w:rPr>
        <w:t>统筹全区开展形式多样的政企交流活动，</w:t>
      </w:r>
      <w:r>
        <w:rPr>
          <w:rFonts w:hint="default" w:ascii="Times New Roman" w:hAnsi="Times New Roman" w:eastAsia="仿宋_GB2312" w:cs="Times New Roman"/>
          <w:b w:val="0"/>
          <w:bCs/>
          <w:kern w:val="2"/>
          <w:sz w:val="32"/>
          <w:szCs w:val="32"/>
          <w:lang w:val="en-US" w:eastAsia="zh-CN" w:bidi="ar"/>
        </w:rPr>
        <w:t>开展“故宫以东 政企会客厅”活动12期、</w:t>
      </w:r>
      <w:r>
        <w:rPr>
          <w:rFonts w:hint="default" w:ascii="Times New Roman" w:hAnsi="Times New Roman" w:eastAsia="仿宋_GB2312" w:cs="Times New Roman"/>
          <w:kern w:val="2"/>
          <w:sz w:val="32"/>
          <w:szCs w:val="32"/>
          <w:lang w:val="en-US" w:eastAsia="zh-CN" w:bidi="ar"/>
        </w:rPr>
        <w:t>各类“紫金服务”活动600余场。</w:t>
      </w:r>
      <w:r>
        <w:rPr>
          <w:rFonts w:hint="default" w:ascii="Times New Roman" w:hAnsi="Times New Roman" w:eastAsia="仿宋_GB2312" w:cs="Times New Roman"/>
          <w:kern w:val="0"/>
          <w:sz w:val="32"/>
          <w:szCs w:val="32"/>
          <w:lang w:val="en-US" w:eastAsia="zh-CN" w:bidi="ar"/>
        </w:rPr>
        <w:t>将“紫金服务十大行动”纳入年度营商环境改革任务，推动惠及更多企业。</w:t>
      </w:r>
      <w:r>
        <w:rPr>
          <w:rFonts w:hint="default" w:ascii="Times New Roman" w:hAnsi="Times New Roman" w:eastAsia="仿宋_GB2312" w:cs="Times New Roman"/>
          <w:kern w:val="2"/>
          <w:sz w:val="32"/>
          <w:szCs w:val="32"/>
          <w:lang w:val="en-US" w:eastAsia="zh-CN" w:bidi="ar"/>
        </w:rPr>
        <w:t>做优“紫金健康”子品牌，</w:t>
      </w:r>
      <w:r>
        <w:rPr>
          <w:rFonts w:hint="default" w:ascii="Times New Roman" w:hAnsi="Times New Roman" w:eastAsia="仿宋_GB2312" w:cs="Times New Roman"/>
          <w:b w:val="0"/>
          <w:color w:val="000000"/>
          <w:kern w:val="0"/>
          <w:sz w:val="32"/>
          <w:szCs w:val="32"/>
          <w:lang w:val="en-US" w:eastAsia="zh-CN" w:bidi="ar"/>
        </w:rPr>
        <w:t>健康咨询服务覆盖服务包企业员工70余万人。</w:t>
      </w:r>
      <w:r>
        <w:rPr>
          <w:rFonts w:hint="default" w:ascii="Times New Roman" w:hAnsi="Times New Roman" w:eastAsia="仿宋_GB2312" w:cs="Times New Roman"/>
          <w:kern w:val="2"/>
          <w:sz w:val="32"/>
          <w:szCs w:val="32"/>
          <w:lang w:val="en-US" w:eastAsia="zh-CN" w:bidi="ar"/>
        </w:rPr>
        <w:t>组织“紫金智创 驱动未来”东城区加快培育发展新质生产力政策宣讲活动，不断加大政策宣传推介力度。整合政策、业务、人才、服务等全站式信息，更新升级《紫金服务工作手册》。创新打造</w:t>
      </w:r>
      <w:r>
        <w:rPr>
          <w:rStyle w:val="22"/>
          <w:rFonts w:hint="default" w:ascii="Times New Roman" w:hAnsi="Times New Roman" w:eastAsia="仿宋_GB2312" w:cs="Times New Roman"/>
          <w:sz w:val="32"/>
          <w:szCs w:val="32"/>
        </w:rPr>
        <w:t>“紫金</w:t>
      </w:r>
      <w:r>
        <w:rPr>
          <w:rStyle w:val="22"/>
          <w:rFonts w:hint="eastAsia" w:ascii="Times New Roman" w:hAnsi="Times New Roman" w:eastAsia="仿宋_GB2312" w:cs="Times New Roman"/>
          <w:sz w:val="32"/>
          <w:szCs w:val="32"/>
          <w:lang w:val="en-US" w:eastAsia="zh-CN"/>
        </w:rPr>
        <w:t>·</w:t>
      </w:r>
      <w:r>
        <w:rPr>
          <w:rStyle w:val="22"/>
          <w:rFonts w:hint="default" w:ascii="Times New Roman" w:hAnsi="Times New Roman" w:eastAsia="仿宋_GB2312" w:cs="Times New Roman"/>
          <w:sz w:val="32"/>
          <w:szCs w:val="32"/>
        </w:rPr>
        <w:t>爱相融”</w:t>
      </w:r>
      <w:r>
        <w:rPr>
          <w:rStyle w:val="22"/>
          <w:rFonts w:hint="default" w:ascii="Times New Roman" w:hAnsi="Times New Roman" w:eastAsia="仿宋_GB2312" w:cs="Times New Roman"/>
          <w:sz w:val="32"/>
          <w:szCs w:val="32"/>
          <w:lang w:val="en-US" w:eastAsia="zh-CN"/>
        </w:rPr>
        <w:t>政企青年联谊品牌，统筹团</w:t>
      </w:r>
      <w:r>
        <w:rPr>
          <w:rStyle w:val="22"/>
          <w:rFonts w:hint="default" w:ascii="Times New Roman" w:hAnsi="Times New Roman" w:eastAsia="仿宋_GB2312" w:cs="Times New Roman"/>
          <w:sz w:val="32"/>
          <w:szCs w:val="32"/>
        </w:rPr>
        <w:t>妇联、团委、总工会</w:t>
      </w:r>
      <w:r>
        <w:rPr>
          <w:rStyle w:val="22"/>
          <w:rFonts w:hint="default" w:ascii="Times New Roman" w:hAnsi="Times New Roman" w:eastAsia="仿宋_GB2312" w:cs="Times New Roman"/>
          <w:sz w:val="32"/>
          <w:szCs w:val="32"/>
          <w:lang w:eastAsia="zh-CN"/>
        </w:rPr>
        <w:t>、</w:t>
      </w:r>
      <w:r>
        <w:rPr>
          <w:rStyle w:val="22"/>
          <w:rFonts w:hint="default" w:ascii="Times New Roman" w:hAnsi="Times New Roman" w:eastAsia="仿宋_GB2312" w:cs="Times New Roman"/>
          <w:sz w:val="32"/>
          <w:szCs w:val="32"/>
        </w:rPr>
        <w:t>机关工委、工商联</w:t>
      </w:r>
      <w:r>
        <w:rPr>
          <w:rStyle w:val="22"/>
          <w:rFonts w:hint="default" w:ascii="Times New Roman" w:hAnsi="Times New Roman" w:eastAsia="仿宋_GB2312" w:cs="Times New Roman"/>
          <w:sz w:val="32"/>
          <w:szCs w:val="32"/>
          <w:lang w:val="en-US" w:eastAsia="zh-CN"/>
        </w:rPr>
        <w:t>及各管家单位，开展5+X政企青年联谊活动10余场，拓宽地区青年交友交流渠道。</w:t>
      </w:r>
    </w:p>
    <w:p w14:paraId="04E267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二、2025</w:t>
      </w:r>
      <w:r>
        <w:rPr>
          <w:rFonts w:hint="default" w:ascii="Times New Roman" w:hAnsi="Times New Roman" w:eastAsia="黑体" w:cs="Times New Roman"/>
          <w:color w:val="auto"/>
          <w:kern w:val="0"/>
          <w:sz w:val="32"/>
          <w:szCs w:val="32"/>
        </w:rPr>
        <w:t>年推进法治政府建设存在的不足和原因</w:t>
      </w:r>
    </w:p>
    <w:p w14:paraId="39B19DFD">
      <w:pPr>
        <w:pStyle w:val="11"/>
        <w:keepNext w:val="0"/>
        <w:keepLines w:val="0"/>
        <w:pageBreakBefore w:val="0"/>
        <w:widowControl w:val="0"/>
        <w:kinsoku/>
        <w:wordWrap/>
        <w:overflowPunct/>
        <w:topLinePunct w:val="0"/>
        <w:autoSpaceDE/>
        <w:autoSpaceDN/>
        <w:bidi w:val="0"/>
        <w:adjustRightInd/>
        <w:spacing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（一）“一码检查”执法问题发现率的指标无法实现</w:t>
      </w:r>
    </w:p>
    <w:p w14:paraId="3C9B582C">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目前我委完成的纳入综合监管的执法事项均为我委审批核准备案的项目，因此对这些项目进行监管，发现问题就是在前期审批核准备案过程中的环节程序问题。另外新划入的粮食流通领域监管，也存在无法发现问题的情况，因此无法完成问题发现率的指标。</w:t>
      </w:r>
    </w:p>
    <w:p w14:paraId="6B9CE5D4">
      <w:pPr>
        <w:pStyle w:val="11"/>
        <w:keepNext w:val="0"/>
        <w:keepLines w:val="0"/>
        <w:pageBreakBefore w:val="0"/>
        <w:widowControl w:val="0"/>
        <w:kinsoku/>
        <w:wordWrap/>
        <w:overflowPunct/>
        <w:topLinePunct w:val="0"/>
        <w:autoSpaceDE/>
        <w:autoSpaceDN/>
        <w:bidi w:val="0"/>
        <w:adjustRightInd/>
        <w:spacing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bCs w:val="0"/>
          <w:color w:val="auto"/>
          <w:sz w:val="32"/>
          <w:szCs w:val="32"/>
          <w:lang w:val="en-US" w:eastAsia="zh-CN"/>
        </w:rPr>
        <w:t>（二）跨部门联合抽查比占率无法完成考核</w:t>
      </w:r>
    </w:p>
    <w:p w14:paraId="31EDFE7B">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在部门联合“双随机、一公开”监管工作中，我委目前主动发起开展的只有2项：一是</w:t>
      </w:r>
      <w:r>
        <w:rPr>
          <w:rFonts w:hint="default" w:ascii="Times New Roman" w:hAnsi="Times New Roman" w:eastAsia="仿宋_GB2312" w:cs="Times New Roman"/>
          <w:color w:val="auto"/>
          <w:sz w:val="32"/>
          <w:szCs w:val="32"/>
          <w:highlight w:val="none"/>
        </w:rPr>
        <w:t>对节能法律法规和节能标准执行情况的检查</w:t>
      </w:r>
      <w:r>
        <w:rPr>
          <w:rFonts w:hint="default" w:ascii="Times New Roman" w:hAnsi="Times New Roman" w:eastAsia="仿宋_GB2312" w:cs="Times New Roman"/>
          <w:color w:val="auto"/>
          <w:sz w:val="32"/>
          <w:szCs w:val="32"/>
          <w:highlight w:val="none"/>
          <w:lang w:eastAsia="zh-CN"/>
        </w:rPr>
        <w:t>，与统计局配合，全年按照比例完成</w:t>
      </w:r>
      <w:r>
        <w:rPr>
          <w:rFonts w:hint="default" w:ascii="Times New Roman" w:hAnsi="Times New Roman" w:eastAsia="仿宋_GB2312" w:cs="Times New Roman"/>
          <w:color w:val="auto"/>
          <w:sz w:val="32"/>
          <w:szCs w:val="32"/>
          <w:highlight w:val="none"/>
          <w:lang w:val="en-US" w:eastAsia="zh-CN"/>
        </w:rPr>
        <w:t>16家；</w:t>
      </w:r>
      <w:r>
        <w:rPr>
          <w:rFonts w:hint="default" w:ascii="Times New Roman" w:hAnsi="Times New Roman" w:eastAsia="仿宋_GB2312" w:cs="Times New Roman"/>
          <w:color w:val="auto"/>
          <w:sz w:val="32"/>
          <w:szCs w:val="32"/>
          <w:highlight w:val="none"/>
          <w:lang w:eastAsia="zh-CN"/>
        </w:rPr>
        <w:t>二是</w:t>
      </w:r>
      <w:r>
        <w:rPr>
          <w:rFonts w:hint="default" w:ascii="Times New Roman" w:hAnsi="Times New Roman" w:eastAsia="仿宋_GB2312" w:cs="Times New Roman"/>
          <w:color w:val="auto"/>
          <w:sz w:val="32"/>
          <w:szCs w:val="32"/>
          <w:highlight w:val="none"/>
          <w:lang w:val="en-US" w:eastAsia="zh-CN"/>
        </w:rPr>
        <w:t>本年度对粮食经营企业部门联合抽查，与市场局配合，我区只涉及6家粮食企业；按照市场局的要求跨部门联合抽查占比要达到单部门抽查量的80%以上，2025年我委单部门抽查执法量为146家。无法完成上述的比例数指标。</w:t>
      </w:r>
    </w:p>
    <w:p w14:paraId="709EBEFD">
      <w:pPr>
        <w:pStyle w:val="11"/>
        <w:keepNext w:val="0"/>
        <w:keepLines w:val="0"/>
        <w:pageBreakBefore w:val="0"/>
        <w:widowControl w:val="0"/>
        <w:kinsoku/>
        <w:wordWrap/>
        <w:overflowPunct/>
        <w:topLinePunct w:val="0"/>
        <w:autoSpaceDE/>
        <w:autoSpaceDN/>
        <w:bidi w:val="0"/>
        <w:adjustRightInd/>
        <w:spacing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bCs w:val="0"/>
          <w:color w:val="auto"/>
          <w:sz w:val="32"/>
          <w:szCs w:val="32"/>
          <w:lang w:val="en-US" w:eastAsia="zh-CN"/>
        </w:rPr>
        <w:t>（三）执法人员队伍的匹配问题</w:t>
      </w:r>
    </w:p>
    <w:p w14:paraId="7BC7F360">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东城区发改委未设立与市发改委法规</w:t>
      </w:r>
      <w:r>
        <w:rPr>
          <w:rFonts w:hint="eastAsia" w:ascii="Times New Roman" w:hAnsi="Times New Roman" w:eastAsia="仿宋_GB2312" w:cs="Times New Roman"/>
          <w:color w:val="auto"/>
          <w:sz w:val="32"/>
          <w:szCs w:val="32"/>
          <w:lang w:val="en-US" w:eastAsia="zh-CN"/>
        </w:rPr>
        <w:t>处</w:t>
      </w:r>
      <w:r>
        <w:rPr>
          <w:rFonts w:hint="default" w:ascii="Times New Roman" w:hAnsi="Times New Roman" w:eastAsia="仿宋_GB2312" w:cs="Times New Roman"/>
          <w:color w:val="auto"/>
          <w:sz w:val="32"/>
          <w:szCs w:val="32"/>
          <w:lang w:val="en-US" w:eastAsia="zh-CN"/>
        </w:rPr>
        <w:t>和执法处相对应的</w:t>
      </w:r>
      <w:r>
        <w:rPr>
          <w:rFonts w:hint="eastAsia" w:ascii="Times New Roman" w:hAnsi="Times New Roman" w:eastAsia="仿宋_GB2312" w:cs="Times New Roman"/>
          <w:color w:val="auto"/>
          <w:sz w:val="32"/>
          <w:szCs w:val="32"/>
          <w:lang w:val="en-US" w:eastAsia="zh-CN"/>
        </w:rPr>
        <w:t>法治</w:t>
      </w:r>
      <w:bookmarkStart w:id="1" w:name="_GoBack"/>
      <w:bookmarkEnd w:id="1"/>
      <w:r>
        <w:rPr>
          <w:rFonts w:hint="default" w:ascii="Times New Roman" w:hAnsi="Times New Roman" w:eastAsia="仿宋_GB2312" w:cs="Times New Roman"/>
          <w:color w:val="auto"/>
          <w:sz w:val="32"/>
          <w:szCs w:val="32"/>
          <w:lang w:val="en-US" w:eastAsia="zh-CN"/>
        </w:rPr>
        <w:t>科室及执法科室，现有的执法工作均由各业务科室中有执法资格人员承担，既忙于本科室业务工作，又要承担每月执法任务，由于缺乏专业性执法的队伍，不利于执法工作的开展。</w:t>
      </w:r>
    </w:p>
    <w:p w14:paraId="46BF5E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三、2025年党政主要负责人履行推进法治建设第一责任人职责，加强法治政府建设的有关情况</w:t>
      </w:r>
    </w:p>
    <w:p w14:paraId="5C4239F8">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_GB2312" w:cs="Times New Roman"/>
          <w:color w:val="auto"/>
          <w:sz w:val="32"/>
          <w:szCs w:val="32"/>
          <w:lang w:eastAsia="zh-CN"/>
        </w:rPr>
        <w:t>（一）拟定</w:t>
      </w:r>
      <w:r>
        <w:rPr>
          <w:rFonts w:hint="default" w:ascii="Times New Roman" w:hAnsi="Times New Roman" w:eastAsia="楷体_GB2312" w:cs="Times New Roman"/>
          <w:color w:val="auto"/>
          <w:sz w:val="32"/>
          <w:szCs w:val="32"/>
          <w:vertAlign w:val="baseline"/>
          <w:lang w:val="en-US" w:eastAsia="zh-CN"/>
        </w:rPr>
        <w:t>东城区发改委</w:t>
      </w:r>
      <w:r>
        <w:rPr>
          <w:rFonts w:hint="default" w:ascii="Times New Roman" w:hAnsi="Times New Roman" w:eastAsia="楷体_GB2312" w:cs="Times New Roman"/>
          <w:color w:val="auto"/>
          <w:sz w:val="32"/>
          <w:szCs w:val="32"/>
          <w:lang w:val="en-US" w:eastAsia="zh-CN"/>
        </w:rPr>
        <w:t>述法清单内容</w:t>
      </w:r>
    </w:p>
    <w:p w14:paraId="44360C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区发改委拟定党组书记、主任的述法清单分为六项内容：</w:t>
      </w:r>
      <w:r>
        <w:rPr>
          <w:rFonts w:hint="default" w:ascii="Times New Roman" w:hAnsi="Times New Roman" w:eastAsia="仿宋_GB2312" w:cs="Times New Roman"/>
          <w:b/>
          <w:bCs/>
          <w:color w:val="auto"/>
          <w:sz w:val="32"/>
          <w:szCs w:val="32"/>
          <w:lang w:eastAsia="zh-CN"/>
        </w:rPr>
        <w:t>一是</w:t>
      </w:r>
      <w:r>
        <w:rPr>
          <w:rFonts w:hint="default" w:ascii="Times New Roman" w:hAnsi="Times New Roman" w:eastAsia="仿宋_GB2312" w:cs="Times New Roman"/>
          <w:color w:val="auto"/>
          <w:sz w:val="32"/>
          <w:szCs w:val="32"/>
          <w:lang w:val="en-US" w:eastAsia="zh-CN"/>
        </w:rPr>
        <w:t>积极履行推进法治建设第一责任人职责。学习贯彻落实习近平法治思想、党中央关于全面依法治国的重大决策部署。</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推动落实年度法治建设工作要点及重点工作任务。</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严格执行重大行政决策法定程序、发挥法律顾问作用，落实政务公开工作。</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color w:val="auto"/>
          <w:sz w:val="32"/>
          <w:szCs w:val="32"/>
          <w:lang w:val="en-US" w:eastAsia="zh-CN"/>
        </w:rPr>
        <w:t>严格规范执法文明执法，提高执法人员的法治素养和依法履职能力。</w:t>
      </w:r>
      <w:r>
        <w:rPr>
          <w:rFonts w:hint="default" w:ascii="Times New Roman" w:hAnsi="Times New Roman" w:eastAsia="仿宋_GB2312" w:cs="Times New Roman"/>
          <w:b/>
          <w:bCs/>
          <w:color w:val="auto"/>
          <w:sz w:val="32"/>
          <w:szCs w:val="32"/>
          <w:lang w:val="en-US" w:eastAsia="zh-CN"/>
        </w:rPr>
        <w:t>五是</w:t>
      </w:r>
      <w:r>
        <w:rPr>
          <w:rFonts w:hint="default" w:ascii="Times New Roman" w:hAnsi="Times New Roman" w:eastAsia="仿宋_GB2312" w:cs="Times New Roman"/>
          <w:color w:val="auto"/>
          <w:sz w:val="32"/>
          <w:szCs w:val="32"/>
          <w:lang w:val="en-US" w:eastAsia="zh-CN"/>
        </w:rPr>
        <w:t>认真落实行政机关负责人出庭应诉工作规则、严格执行法院生效判决。</w:t>
      </w:r>
      <w:r>
        <w:rPr>
          <w:rFonts w:hint="default" w:ascii="Times New Roman" w:hAnsi="Times New Roman" w:eastAsia="仿宋_GB2312" w:cs="Times New Roman"/>
          <w:b/>
          <w:bCs/>
          <w:color w:val="auto"/>
          <w:sz w:val="32"/>
          <w:szCs w:val="32"/>
          <w:lang w:val="en-US" w:eastAsia="zh-CN"/>
        </w:rPr>
        <w:t>六是</w:t>
      </w:r>
      <w:r>
        <w:rPr>
          <w:rFonts w:hint="default" w:ascii="Times New Roman" w:hAnsi="Times New Roman" w:eastAsia="仿宋_GB2312" w:cs="Times New Roman"/>
          <w:color w:val="auto"/>
          <w:sz w:val="32"/>
          <w:szCs w:val="32"/>
          <w:lang w:val="en-US" w:eastAsia="zh-CN"/>
        </w:rPr>
        <w:t>积极落实干部学法用法制度，全面落实“谁执法谁普法”的普法责任制。</w:t>
      </w:r>
    </w:p>
    <w:p w14:paraId="5261DF96">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（二）按要求填报</w:t>
      </w:r>
      <w:r>
        <w:rPr>
          <w:rFonts w:hint="default" w:ascii="Times New Roman" w:hAnsi="Times New Roman" w:eastAsia="楷体_GB2312" w:cs="Times New Roman"/>
          <w:color w:val="auto"/>
          <w:sz w:val="32"/>
          <w:szCs w:val="32"/>
          <w:vertAlign w:val="baseline"/>
          <w:lang w:val="en-US" w:eastAsia="zh-CN"/>
        </w:rPr>
        <w:t>东城区发改委</w:t>
      </w:r>
      <w:r>
        <w:rPr>
          <w:rFonts w:hint="default" w:ascii="Times New Roman" w:hAnsi="Times New Roman" w:eastAsia="楷体_GB2312" w:cs="Times New Roman"/>
          <w:color w:val="auto"/>
          <w:sz w:val="32"/>
          <w:szCs w:val="32"/>
          <w:lang w:val="en-US" w:eastAsia="zh-CN"/>
        </w:rPr>
        <w:t>述法工作情况</w:t>
      </w:r>
      <w:r>
        <w:rPr>
          <w:rFonts w:hint="default" w:ascii="Times New Roman" w:hAnsi="Times New Roman" w:eastAsia="楷体_GB2312" w:cs="Times New Roman"/>
          <w:color w:val="auto"/>
          <w:sz w:val="32"/>
          <w:szCs w:val="32"/>
          <w:lang w:eastAsia="zh-CN"/>
        </w:rPr>
        <w:t>材料</w:t>
      </w:r>
    </w:p>
    <w:p w14:paraId="2DDBD1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 xml:space="preserve">区发改委党组书记、主任积极履行推进法治建设第一责任人职责。开展述法工作，将学习贯彻落实习近平法治思想、党中央关于全面依法治国的重大决策部署，推动落实年度法治建设工作要点及重点工作任务，积极落实干部学法用法制度，提高法治素养和依法履职能力等述法内容，在党组述职会议上公开述法，并将述法内容纳入述职报告中，在本单位予以公示。 </w:t>
      </w:r>
    </w:p>
    <w:p w14:paraId="6A0954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四、2026年推进法治政府建设的主要安排</w:t>
      </w:r>
    </w:p>
    <w:p w14:paraId="0831E6F5">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i w:val="0"/>
          <w:iCs w:val="0"/>
          <w:color w:val="auto"/>
          <w:sz w:val="32"/>
          <w:szCs w:val="32"/>
          <w:lang w:val="en-US" w:eastAsia="zh-CN"/>
        </w:rPr>
        <w:t>2026年</w:t>
      </w:r>
      <w:r>
        <w:rPr>
          <w:rFonts w:hint="default" w:ascii="Times New Roman" w:hAnsi="Times New Roman" w:eastAsia="仿宋_GB2312" w:cs="Times New Roman"/>
          <w:b w:val="0"/>
          <w:bCs w:val="0"/>
          <w:i w:val="0"/>
          <w:iCs w:val="0"/>
          <w:color w:val="auto"/>
          <w:sz w:val="32"/>
          <w:szCs w:val="32"/>
          <w:lang w:eastAsia="zh-CN"/>
        </w:rPr>
        <w:t>我委的本部门执法工作继续按照</w:t>
      </w:r>
      <w:r>
        <w:rPr>
          <w:rFonts w:hint="default" w:ascii="Times New Roman" w:hAnsi="Times New Roman" w:eastAsia="仿宋_GB2312" w:cs="Times New Roman"/>
          <w:color w:val="auto"/>
          <w:sz w:val="32"/>
          <w:szCs w:val="32"/>
        </w:rPr>
        <w:t>“谁审批谁监管，谁主管谁监管”的原则</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b w:val="0"/>
          <w:bCs w:val="0"/>
          <w:i w:val="0"/>
          <w:iCs w:val="0"/>
          <w:color w:val="auto"/>
          <w:sz w:val="32"/>
          <w:szCs w:val="32"/>
          <w:lang w:eastAsia="zh-CN"/>
        </w:rPr>
        <w:t>。继续按照区市场监管局的工作要求，一是开展执法监管</w:t>
      </w:r>
      <w:r>
        <w:rPr>
          <w:rFonts w:hint="default" w:ascii="Times New Roman" w:hAnsi="Times New Roman" w:eastAsia="仿宋_GB2312" w:cs="Times New Roman"/>
          <w:color w:val="auto"/>
          <w:sz w:val="32"/>
          <w:szCs w:val="32"/>
          <w:lang w:eastAsia="zh-CN"/>
        </w:rPr>
        <w:t>降量工作，争取法规处和执法处的支持，确保完成我区单部门行政执法量和跨部门抽查量均下降10%的硬性指标要求。二是力争完成“一码检查”综合监管平台中问题发现率的指标。三是力争完成跨部门抽查量占比考核指标。</w:t>
      </w:r>
    </w:p>
    <w:p w14:paraId="6A72D2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p>
    <w:p w14:paraId="7EE5A1F0">
      <w:pPr>
        <w:pStyle w:val="3"/>
        <w:rPr>
          <w:rFonts w:hint="default" w:ascii="Times New Roman" w:hAnsi="Times New Roman" w:eastAsia="仿宋_GB2312" w:cs="Times New Roman"/>
          <w:color w:val="auto"/>
          <w:kern w:val="0"/>
          <w:sz w:val="32"/>
          <w:szCs w:val="32"/>
          <w:lang w:val="en-US" w:eastAsia="zh-CN"/>
        </w:rPr>
      </w:pPr>
    </w:p>
    <w:p w14:paraId="6B17DA53">
      <w:pPr>
        <w:rPr>
          <w:rFonts w:hint="default" w:ascii="Times New Roman" w:hAnsi="Times New Roman" w:eastAsia="仿宋_GB2312" w:cs="Times New Roman"/>
          <w:b w:val="0"/>
          <w:bCs w:val="0"/>
          <w:sz w:val="32"/>
          <w:szCs w:val="32"/>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3C58">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BB742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00BB742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47C4"/>
    <w:rsid w:val="02EE1981"/>
    <w:rsid w:val="06742EBE"/>
    <w:rsid w:val="06911C8D"/>
    <w:rsid w:val="0D9B4DC7"/>
    <w:rsid w:val="0F361C10"/>
    <w:rsid w:val="18142FE0"/>
    <w:rsid w:val="19E24288"/>
    <w:rsid w:val="1A2C295F"/>
    <w:rsid w:val="1C031179"/>
    <w:rsid w:val="27297322"/>
    <w:rsid w:val="2B0E2CD9"/>
    <w:rsid w:val="2D520167"/>
    <w:rsid w:val="300C2650"/>
    <w:rsid w:val="30AE0321"/>
    <w:rsid w:val="348451A6"/>
    <w:rsid w:val="34B1735B"/>
    <w:rsid w:val="37FB06AE"/>
    <w:rsid w:val="432D0638"/>
    <w:rsid w:val="44113E79"/>
    <w:rsid w:val="45E25FF4"/>
    <w:rsid w:val="460D12E1"/>
    <w:rsid w:val="4C1E484F"/>
    <w:rsid w:val="4E38463B"/>
    <w:rsid w:val="55DC695B"/>
    <w:rsid w:val="56561718"/>
    <w:rsid w:val="57DA0DFF"/>
    <w:rsid w:val="57FD2B90"/>
    <w:rsid w:val="5EFD8989"/>
    <w:rsid w:val="63196E01"/>
    <w:rsid w:val="65C3214C"/>
    <w:rsid w:val="6E4E0B95"/>
    <w:rsid w:val="6F296F5D"/>
    <w:rsid w:val="6FBE4808"/>
    <w:rsid w:val="71EFEE73"/>
    <w:rsid w:val="71FA35B8"/>
    <w:rsid w:val="724D2DAF"/>
    <w:rsid w:val="7BCB7BB7"/>
    <w:rsid w:val="7C17748C"/>
    <w:rsid w:val="7D436960"/>
    <w:rsid w:val="7DDD168C"/>
    <w:rsid w:val="7EFE5DAE"/>
    <w:rsid w:val="7FD13EE8"/>
    <w:rsid w:val="7FED711D"/>
    <w:rsid w:val="BBDF8378"/>
    <w:rsid w:val="DBD5F41A"/>
    <w:rsid w:val="EED7A9E6"/>
    <w:rsid w:val="EFB7F764"/>
    <w:rsid w:val="F9FE9448"/>
    <w:rsid w:val="FA4D8936"/>
    <w:rsid w:val="FAFD4FBD"/>
    <w:rsid w:val="FF5D13FF"/>
    <w:rsid w:val="FF9BA458"/>
    <w:rsid w:val="FFF8D426"/>
    <w:rsid w:val="FFFED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outlineLvl w:val="1"/>
    </w:pPr>
    <w:rPr>
      <w:b/>
      <w:bCs/>
    </w:rPr>
  </w:style>
  <w:style w:type="paragraph" w:styleId="3">
    <w:name w:val="heading 3"/>
    <w:basedOn w:val="1"/>
    <w:next w:val="1"/>
    <w:unhideWhenUsed/>
    <w:qFormat/>
    <w:uiPriority w:val="0"/>
    <w:pPr>
      <w:keepNext/>
      <w:keepLines/>
      <w:spacing w:line="560" w:lineRule="exact"/>
      <w:ind w:firstLine="1120" w:firstLineChars="200"/>
      <w:outlineLvl w:val="2"/>
    </w:pPr>
    <w:rPr>
      <w:b/>
      <w:sz w:val="32"/>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line="560" w:lineRule="exact"/>
    </w:pPr>
    <w:rPr>
      <w:rFonts w:ascii="仿宋_GB2312" w:hAnsi="宋体" w:eastAsia="仿宋_GB2312"/>
      <w:sz w:val="32"/>
      <w:szCs w:val="32"/>
    </w:rPr>
  </w:style>
  <w:style w:type="paragraph" w:styleId="6">
    <w:name w:val="toc 3"/>
    <w:basedOn w:val="1"/>
    <w:next w:val="1"/>
    <w:qFormat/>
    <w:uiPriority w:val="0"/>
    <w:pPr>
      <w:ind w:left="840" w:leftChars="400"/>
    </w:pPr>
  </w:style>
  <w:style w:type="paragraph" w:styleId="7">
    <w:name w:val="Plain Text"/>
    <w:next w:val="1"/>
    <w:qFormat/>
    <w:uiPriority w:val="0"/>
    <w:pPr>
      <w:widowControl w:val="0"/>
      <w:spacing w:beforeLines="0" w:afterLines="0"/>
      <w:jc w:val="both"/>
    </w:pPr>
    <w:rPr>
      <w:rFonts w:hint="eastAsia" w:ascii="宋体" w:hAnsi="Courier New" w:eastAsia="宋体" w:cs="Courier New"/>
      <w:kern w:val="2"/>
      <w:sz w:val="21"/>
      <w:szCs w:val="21"/>
      <w:lang w:val="en-US" w:eastAsia="zh-CN"/>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qFormat/>
    <w:uiPriority w:val="0"/>
    <w:rPr>
      <w:rFonts w:ascii="Calibri" w:hAnsi="Calibri" w:eastAsia="宋体" w:cs="Times New Roman"/>
      <w:szCs w:val="24"/>
    </w:rPr>
  </w:style>
  <w:style w:type="paragraph" w:styleId="12">
    <w:name w:val="Body Text First Indent"/>
    <w:basedOn w:val="5"/>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qFormat/>
    <w:uiPriority w:val="0"/>
    <w:rPr>
      <w:color w:val="000000"/>
      <w:u w:val="none"/>
    </w:rPr>
  </w:style>
  <w:style w:type="paragraph" w:customStyle="1" w:styleId="17">
    <w:name w:val="PlainText"/>
    <w:basedOn w:val="1"/>
    <w:next w:val="1"/>
    <w:qFormat/>
    <w:uiPriority w:val="0"/>
    <w:pPr>
      <w:jc w:val="both"/>
      <w:textAlignment w:val="baseline"/>
    </w:pPr>
    <w:rPr>
      <w:rFonts w:ascii="宋体" w:hAnsi="Courier New" w:eastAsia="宋体"/>
      <w:kern w:val="2"/>
      <w:sz w:val="21"/>
      <w:szCs w:val="24"/>
      <w:lang w:val="en-US" w:eastAsia="zh-CN" w:bidi="ar-SA"/>
    </w:rPr>
  </w:style>
  <w:style w:type="paragraph" w:customStyle="1" w:styleId="1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9">
    <w:name w:val="列出段落1"/>
    <w:basedOn w:val="1"/>
    <w:qFormat/>
    <w:uiPriority w:val="0"/>
    <w:pPr>
      <w:ind w:firstLine="420" w:firstLineChars="200"/>
    </w:pPr>
    <w:rPr>
      <w:rFonts w:ascii="Calibri" w:hAnsi="Calibri"/>
      <w:szCs w:val="22"/>
    </w:rPr>
  </w:style>
  <w:style w:type="paragraph" w:customStyle="1" w:styleId="20">
    <w:name w:val="BodyText"/>
    <w:basedOn w:val="1"/>
    <w:next w:val="1"/>
    <w:qFormat/>
    <w:uiPriority w:val="0"/>
    <w:pPr>
      <w:spacing w:after="120"/>
      <w:textAlignment w:val="baseline"/>
    </w:pPr>
  </w:style>
  <w:style w:type="character" w:customStyle="1" w:styleId="21">
    <w:name w:val="fontstyle21"/>
    <w:basedOn w:val="15"/>
    <w:qFormat/>
    <w:uiPriority w:val="0"/>
    <w:rPr>
      <w:rFonts w:ascii="仿宋_GB2312" w:hAnsi="仿宋_GB2312" w:eastAsia="仿宋_GB2312" w:cs="仿宋_GB2312"/>
      <w:color w:val="000000"/>
      <w:sz w:val="32"/>
      <w:szCs w:val="32"/>
    </w:rPr>
  </w:style>
  <w:style w:type="character" w:customStyle="1" w:styleId="22">
    <w:name w:val="NormalCharacter"/>
    <w:link w:val="23"/>
    <w:qFormat/>
    <w:uiPriority w:val="0"/>
    <w:rPr>
      <w:rFonts w:ascii="Times New Roman" w:hAnsi="Times New Roman" w:eastAsia="宋体" w:cs="Times New Roman"/>
    </w:rPr>
  </w:style>
  <w:style w:type="paragraph" w:customStyle="1" w:styleId="23">
    <w:name w:val="UserStyle_1"/>
    <w:basedOn w:val="1"/>
    <w:link w:val="2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648daaff-8d09-4098-9bd5-4149860f750c</errorID>
      <errorWord xmlns="http://schemas.wps.cn/vas-ai-hub/contract-review">，由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20DBC714</paraID>
      <start xmlns="http://schemas.wps.cn/vas-ai-hub/contract-review">131</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9e1e2f88-ad3c-4ab4-8e72-b5ce84d8e7be</errorID>
      <errorWord xmlns="http://schemas.wps.cn/vas-ai-hub/contract-review">实施实施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实施</item>
      </candidateList>
      <explain xmlns="http://schemas.wps.cn/vas-ai-hub/contract-review">〈动〉实行（法令、政策等）：付诸～｜～细则｜～新的办法。</explain>
      <paraID xmlns="http://schemas.wps.cn/vas-ai-hub/contract-review">5889EADA</paraID>
      <start xmlns="http://schemas.wps.cn/vas-ai-hub/contract-review">331</start>
      <end xmlns="http://schemas.wps.cn/vas-ai-hub/contract-review">335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5029a905-6d84-4c59-ad20-a362b37087ed</errorID>
      <errorWord xmlns="http://schemas.wps.cn/vas-ai-hub/contract-review">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质量</item>
      </candidateList>
      <explain xmlns="http://schemas.wps.cn/vas-ai-hub/contract-review">〈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 xmlns="http://schemas.wps.cn/vas-ai-hub/contract-review">33F8CFB7</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eddcf0e8-e046-4ce1-9156-21f89855679b</errorID>
      <errorWord xmlns="http://schemas.wps.cn/vas-ai-hub/contract-review">发改发</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发改委</item>
      </candidateList>
      <explain xmlns="http://schemas.wps.cn/vas-ai-hub/contract-review"/>
      <paraID xmlns="http://schemas.wps.cn/vas-ai-hub/contract-review">5C3BBC32</paraID>
      <start xmlns="http://schemas.wps.cn/vas-ai-hub/contract-review">793</start>
      <end xmlns="http://schemas.wps.cn/vas-ai-hub/contract-review">796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83e0428b-48ad-493c-8647-0c37788af5ae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399E1D45</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a6a749c6-fbf4-45e5-9cb4-ebf60ea71908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399E1D45</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60654514-5dc0-4913-a9e9-5e197b015643</errorID>
      <errorWord xmlns="http://schemas.wps.cn/vas-ai-hub/contract-review">发改发</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发改委</item>
      </candidateList>
      <explain xmlns="http://schemas.wps.cn/vas-ai-hub/contract-review"/>
      <paraID xmlns="http://schemas.wps.cn/vas-ai-hub/contract-review">399E1D45</paraID>
      <start xmlns="http://schemas.wps.cn/vas-ai-hub/contract-review">356</start>
      <end xmlns="http://schemas.wps.cn/vas-ai-hub/contract-review">359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337da3d7-ab10-45c4-836a-acb5229a048a</errorID>
      <errorWord xmlns="http://schemas.wps.cn/vas-ai-hub/contract-review">开展</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召开</item>
      </candidateList>
      <explain xmlns="http://schemas.wps.cn/vas-ai-hub/contract-review">“开展～会议”搭配不当，建议修改为“召开～会议”。</explain>
      <paraID xmlns="http://schemas.wps.cn/vas-ai-hub/contract-review">7CACF418</paraID>
      <start xmlns="http://schemas.wps.cn/vas-ai-hub/contract-review">164</start>
      <end xmlns="http://schemas.wps.cn/vas-ai-hub/contract-review">166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b158b72c-4580-42d2-9834-a24f456774ef</errorID>
      <errorWord xmlns="http://schemas.wps.cn/vas-ai-hub/contract-review">百千万”工程</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“百千万工程”</item>
      </candidateList>
      <explain xmlns="http://schemas.wps.cn/vas-ai-hub/contract-review">注意检查当前固定表述标点是否使用规范。</explain>
      <paraID xmlns="http://schemas.wps.cn/vas-ai-hub/contract-review">292E9370</paraID>
      <start xmlns="http://schemas.wps.cn/vas-ai-hub/contract-review">233</start>
      <end xmlns="http://schemas.wps.cn/vas-ai-hub/contract-review">239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73ca8c78-0a91-4ca6-a103-a346faaaf433</errorID>
      <errorWord xmlns="http://schemas.wps.cn/vas-ai-hub/contract-review">法规车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法规室</item>
      </candidateList>
      <explain xmlns="http://schemas.wps.cn/vas-ai-hub/contract-review"/>
      <paraID xmlns="http://schemas.wps.cn/vas-ai-hub/contract-review">7BC7F360</paraID>
      <start xmlns="http://schemas.wps.cn/vas-ai-hub/contract-review">14</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2df8c-28c0-4bdb-955d-428d18ba7414}">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4006</Words>
  <Characters>4158</Characters>
  <Paragraphs>52</Paragraphs>
  <TotalTime>27</TotalTime>
  <ScaleCrop>false</ScaleCrop>
  <LinksUpToDate>false</LinksUpToDate>
  <CharactersWithSpaces>4190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2022-11-23T14:10:00Z</dcterms:created>
  <dc:creator>姜鹏</dc:creator>
  <cp:lastModifiedBy>user</cp:lastModifiedBy>
  <cp:lastPrinted>2023-12-29T15:14:00Z</cp:lastPrinted>
  <dcterms:modified xsi:type="dcterms:W3CDTF">2026-03-20T10:04:17Z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74F3E0F06CD1E935FB67AE6974B9B813_43</vt:lpwstr>
  </property>
  <property fmtid="{D5CDD505-2E9C-101B-9397-08002B2CF9AE}" pid="4" name="KSOTemplateDocerSaveRecord">
    <vt:lpwstr>eyJoZGlkIjoiMGU3M2U2NzEwNTZmNTk2Mjk1MjBlYzY0MTM1MzM0YTUiLCJ1c2VySWQiOiI2Mzc1MDI3OTEifQ==</vt:lpwstr>
  </property>
</Properties>
</file>