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7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北京市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东城区民政局</w:t>
      </w:r>
    </w:p>
    <w:p w14:paraId="7EC5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法治政府建设年度情况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2BD10D0E">
      <w:pPr>
        <w:pStyle w:val="11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 w14:paraId="4C89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微软雅黑" w:hAnsi="微软雅黑" w:eastAsia="微软雅黑" w:cs="微软雅黑"/>
          <w:color w:val="40404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年是贯彻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《法治政府建设实施纲要（2021-2025年）》和《北京市法治政府建设实施意见（2021-2025年）》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的收官之年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坚持以习近平新时代中国特色社会主义思想为指导，全面贯彻党的二十大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二十届二中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、三中、四中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深入学习贯彻习近平法治思想，认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市、区两级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关于法治政府建设的各项决策部署，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断提升法治政府建设能力和水平。现将有关情况报告如下：</w:t>
      </w:r>
    </w:p>
    <w:p w14:paraId="077F1178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年推进法治政府建设的主要举措和成效</w:t>
      </w:r>
    </w:p>
    <w:p w14:paraId="6FA3F43A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深学笃行习近平法治思想，夯实法治建设思想根基</w:t>
      </w:r>
    </w:p>
    <w:p w14:paraId="06DFA4A3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深化法治理论学习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践行依法履职使命</w:t>
      </w:r>
    </w:p>
    <w:p w14:paraId="03BF46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深入学习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党的二十大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二十届二中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、三中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、四中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法治政府建设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扎实推进依法行政相关重大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决策部署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领导带头学法，班子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成员先学一步，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机关干部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全员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将习近平法治思想与实际工作紧密结合，通过理论学习中心组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学习、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题培训、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研讨等多种形式载体，不断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依法决策、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依法履职、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依法办事的法治思维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，营造尊法学法守法用法的良好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氛围。</w:t>
      </w:r>
    </w:p>
    <w:p w14:paraId="5994F804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抓实法治培训工作，提升依法行政意识</w:t>
      </w:r>
    </w:p>
    <w:p w14:paraId="436B023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常态化开展法治培训，积极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习近平法治思想专题研修班</w:t>
      </w:r>
      <w:r>
        <w:rPr>
          <w:rFonts w:hint="eastAsia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依法行政专题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bidi="ar"/>
        </w:rPr>
        <w:t>培训班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领导干部应知应会党内法规和法律法规网上专题培训班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。制定东城区民政局领导干部应知应会党内法规和法律法规个性清单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2025年组织会前学法4次、理论学习中心组开展集中学习18次，通过精准化、常态化学习，持续提升领导干部以法治方式推进依法行政和科学决策的能力素养，推动法治理念深度融入工作各环节。选派1名业务骨干到区司法局学习锻炼，通过“以干代训”方式提升法治素养和专业能力。</w:t>
      </w:r>
    </w:p>
    <w:p w14:paraId="18CC3C68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扎实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推进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民政领域各项工作，将依法行政贯穿始终</w:t>
      </w:r>
    </w:p>
    <w:p w14:paraId="2E3D05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实现养老服务工作提质增效</w:t>
      </w:r>
    </w:p>
    <w:p w14:paraId="262F9F1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积极应对人口老龄化趋势，完善“区-街-社区”三级养老服务体系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指导、支持、赋能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等手段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，共同发力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老年人和老年人家庭，形成东城区“甲字型”养老服务体系模型。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推进助老服务更加便捷、更加优化，建立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个养老助餐点，吸引10家老字号加入养老助餐联盟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。全区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养老服务机构实现医养结合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全覆盖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，让爱老康养更加充分、平衡。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每月举办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东城惠老大集，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打造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养老活动品牌，每月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各街道巡回开展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旅居康养，与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11个市级民政部门签订合作协议，协同相关企业定制康养产品。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在全市首推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慈孝守护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行动，老年人在家中就可实现助餐服务、7×24小时在线医疗、护理照料以及老年大学课程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576173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健全分层分类社会救助体系</w:t>
      </w:r>
    </w:p>
    <w:p w14:paraId="2BF3E6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不断完善以低保低收入、特困人员供养为基础，教育、供暖等专项救助相配套，临时救助、慈善救助、社会互助为补充的社会救助体系，实现社会救助保障网络全覆盖。加大社会救助领域动态监管工作力度，举办社救政策专项培训2场，印制社救政策问答折页4000份，加强对各街道的督导检查，提升工作规范化水平。</w:t>
      </w:r>
    </w:p>
    <w:p w14:paraId="3E95C25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3.关心关爱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困境儿童</w:t>
      </w:r>
    </w:p>
    <w:p w14:paraId="56638D2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认真落实困境儿童分类保障政策，统筹协调公安、教育、市场监管、属地街道等相关部门，建立权责明确、运转顺畅、制度完备、齐抓共管的儿童福利领域风险防范化解工作机制，着力夯实基层工作基础，持续提升工作精准化水平。</w:t>
      </w:r>
    </w:p>
    <w:p w14:paraId="09D72DF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4.夯实残疾人福利保障工作</w:t>
      </w:r>
    </w:p>
    <w:p w14:paraId="25AD86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按照“应发尽发”原则做好残疾人“两项补贴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发放工作，加大政策宣传力度，及时调整补贴标准，定期复核、随机抽查各街道补贴发放情况。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与区卫健委、区精保院协商，采取合作共建方式，在区精保院加挂东城区精神障碍患者社会福利中心牌子，完成区级精神卫生福利机构建设任务。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深入贯彻落实《北京市精康融合行动实施方案(2023-2025)》,开展东城区2024-2025年精神障碍患者社区康复服务项目，累计为1779名精神障碍患者提供普惠性康复服务。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四是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持续推广康复辅助器具社区租赁服务，与区残联紧密合作，挂牌成立东城区康复辅助器具租赁综合指导中心，提供轮椅、上下肢康复器、助行器、电动护理床、翻身床垫等租赁服务。</w:t>
      </w:r>
    </w:p>
    <w:p w14:paraId="19B9465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5.严格落实行政执法各项制度规定</w:t>
      </w:r>
    </w:p>
    <w:p w14:paraId="596C7EF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严格按照《行政执法公示制度》《执法全过程记录制度》《重大执法决定法制审核制度》规定，主动做好执法信息公开，接受社会监督，切实维护人民群众合法权益。“行政执法公示”做到及时、完整、规范，“执法全过程记录”做到各环节记录完整。重大执法决定前，严格进行法制审核；重大行政处罚前，开展重大执法决定法制审核；重大疑难案件实行案件研讨会制度，进行集体研究讨论。强化公示主体责任落实，畅通内部公示工作机制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auto"/>
          <w:lang w:eastAsia="zh-CN"/>
        </w:rPr>
        <w:t>健全完善综合执法工作机制，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auto"/>
          <w:lang w:eastAsia="zh-CN"/>
        </w:rPr>
        <w:t>提高行政执法效能。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根据民政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行政处罚职权，将日常检查、专项检查、双随机抽查相结合，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社会组织、养老服务、殡葬服务、社会救助、慈善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捐赠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等领域，全面开展执法检查。按要求落实非现场检查监管，加大非现场检查监管力度，不断提高非现场检查覆盖率。全年开展执法检查264件（次），其中非现场检查233件（次），现场检查31件（次），作出行政处罚决定12件。</w:t>
      </w:r>
    </w:p>
    <w:p w14:paraId="1A52580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扎实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做好一体化综合监管</w:t>
      </w:r>
    </w:p>
    <w:p w14:paraId="2F8D682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认真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落实一体化综合监管相关工作要求，严格执行“扫码检查”工作规定。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坚持依托分级分类实现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“放管服”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结合，对信用好风险低、社会贡献度高的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“白名单”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优质经营主体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原则上不开展现场检查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，实现“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有事相帮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”，对一般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类市场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主体积极推进以非现场监管为基础的日常监管模式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降低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现场检查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频次和数量，实现“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无事不扰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”；对违法失信、投诉举报多、风险隐患大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高风险经营主体开展专项整治，实现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无处不在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着力打造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科学精准、协作高效、无事不扰、无处不在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的新型监管模式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 w14:paraId="72B539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7.以法治力量助推首都营商环境持续优化</w:t>
      </w:r>
    </w:p>
    <w:p w14:paraId="644866F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shd w:val="clear" w:color="auto" w:fill="auto"/>
          <w:lang w:val="en-US" w:eastAsia="zh-CN" w:bidi="ar-SA"/>
        </w:rPr>
        <w:t>全面提升民政系统行政执法水平，依据《北京市民政领域轻微违法行为不予行政处罚清单》和《东城区营商环境领域不予行政处罚事项总体清单（2.0版）》，在日常执法中进一步贯彻落实免罚慎罚制度，加强普法宣传，依法作出不予处罚决定。在行政案件办理过程中，根据案件实际情况适度落实行政处罚裁量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深入推进“放管服”改革，创新服务方式，持续优化营商环境。依法依规加强对社会组织日常监管，实施成立登记事先告知提示，强化年检（年报）、等级评估等监管手段，进一步加强与业务主管单位的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协调联动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，加大监管力度，规范社会组织行为，促进社会组织高质量发展。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开展殡葬领域专项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治理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工作，重点对辖区内11家医院及周边28家殡葬用品销售网点开展集中执法检查，全年共计检查100余户次，出动执法人员300余人次，严格查处殡葬领域违法行为。</w:t>
      </w:r>
    </w:p>
    <w:p w14:paraId="67E095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（三）完善制度体系建设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规范依法行政流程</w:t>
      </w:r>
    </w:p>
    <w:p w14:paraId="1D5FE1F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严格落实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重大行政决策程序</w:t>
      </w:r>
    </w:p>
    <w:p w14:paraId="2298B12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严格执行《重大行政决策程序暂行条例》，将重大决策、重要人事任免、重大项目安排、大额资金使用等事项纳入党组会、局长办公会集体研究决策范畴，把公众参与、专家论证、风险评估、合法性审查、集体讨论决定作为必经程序，确保行政决策科学民主法治化。</w:t>
      </w:r>
    </w:p>
    <w:p w14:paraId="2505A30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2.严格落实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规范性文件合法性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审核</w:t>
      </w:r>
    </w:p>
    <w:p w14:paraId="68E51C7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严格执行《北京市东城区行政规范性文件制定、备案和监督的若干规定》要求，做到有件必备、有件必审。配合区委社会工作部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做好社区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规模调整工作，经区政府常务会研究决定，对社区规模作出优化调整，出台规范性文件《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北京市东城区民政局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关于东城区社区调整的通知》。全面落实行政规范性文件合法性审核机制，严格依据标准对文件进行合法性审核。继续加大行政规范性文件清理力度，及时废止、修改与新文件相抵触的文件，并将清理情况书面报告备案机关。</w:t>
      </w:r>
    </w:p>
    <w:p w14:paraId="41E4FA3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（四）规范行政执法行为，提升行政执法效能</w:t>
      </w:r>
    </w:p>
    <w:p w14:paraId="1A6EB03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1.科学统筹合理设置执法岗位</w:t>
      </w:r>
    </w:p>
    <w:p w14:paraId="0DFADAA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以建设职能科学、权责法定、执法严明、公开公正、廉洁高效、守法诚信的法治民政为目标，依据法律法规及行政职责权力清单，编制行政执法岗位目录，全面梳理法定执法事务，将法定职权科学分解至具体执法科室与岗位，明确执法责任，避免职权交叉重复、空白错位，促进协调配合。同时，强化执法人员持证上岗与资格管理，规范执法主体资格，建立动态化执法人员数据库，严格执法证件管理，落实行政执法人员主体资格要求。</w:t>
      </w:r>
    </w:p>
    <w:p w14:paraId="64BA6D5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2.全面落实行政执法责任制</w:t>
      </w:r>
    </w:p>
    <w:p w14:paraId="5491F87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依据权责清单细化执法岗位与人员责任，坚持严格规范公正文明执法，严守法定程序、依法履职尽责，做到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有法必依、执法必严、违法必究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。严格执行执法人员持证上岗、亮证执法制度，规范执法文书制作与送达，防范公共权力不作为、乱作为。扎实推进规范基层行政执法专项治理，改进工作作风、强化服务意识，秉持公正廉洁、文明执法理念，持续提升执法职权履行率与工作质效。</w:t>
      </w:r>
    </w:p>
    <w:p w14:paraId="454B834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32930"/>
          <w:spacing w:val="0"/>
          <w:sz w:val="32"/>
          <w:szCs w:val="32"/>
          <w:shd w:val="clear" w:fill="FFFFFF"/>
          <w:lang w:val="en-US" w:eastAsia="zh-CN"/>
        </w:rPr>
        <w:t>着力提高执法人员自身法律素养，掌握先进执法理念和方法，做到严格规范公正文明执法，以理性平和的态度与当事人交流沟通，避免引发矛盾冲突。</w:t>
      </w:r>
    </w:p>
    <w:p w14:paraId="596FC3F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"/>
        </w:rPr>
        <w:t>（五）凝聚内外监督合力，筑牢依法行政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 w:bidi="ar"/>
        </w:rPr>
        <w:t>底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"/>
        </w:rPr>
        <w:t>线</w:t>
      </w:r>
    </w:p>
    <w:p w14:paraId="5441E89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1.强化内部监督赋能</w:t>
      </w:r>
    </w:p>
    <w:p w14:paraId="70FF312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持续聘请专业法律顾问，为监护人确定、信访答复、遗产管理人认定等重点疑难事项提供精准法律支持。健全合同审查闭环管理机制，将合同审核纳入财务支付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内控工作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流程，全年累计审核各类合同、协议100余份，有效防范化解合同履行中的法律风险。</w:t>
      </w:r>
    </w:p>
    <w:p w14:paraId="64250D8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自觉接受外部监督</w:t>
      </w:r>
    </w:p>
    <w:p w14:paraId="0E2903A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高效办结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提案，将人大代表建议和政协提案办理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作为重要政治责任，纳入整体布局与业务工作统筹推进，通过吸纳合理建议、改进工作举措、回应群众关切，持续提升办理质量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。全年办理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人大代表建议、政协提案及民主党派提案43件（含主办25件，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会办18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件），满意率达100%。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深化政务公开工作，聚焦民政执法、政务服务等核心领域，全面推进决策、执行、管理、服务、结果 “五公开”，主动接受社会各界监督。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妥善化解行政争议，全年依法办理行政诉讼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1件、行政复议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2件，扎实做好应诉答辩工作，全年无败诉案件。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规范推进信访工作，聚焦历史遗留问题和疑难复杂事项，深入剖析根源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细化处置措施，严格落实 “三到位一处理” 要求，常态化开展矛盾排查化解。全年累计接收办理信访案件27件，未发生群体性上访事件，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切实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维护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核心区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社会和谐稳定。</w:t>
      </w:r>
    </w:p>
    <w:p w14:paraId="0C77591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二、202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年推进法治政府建设存在的不足和原因</w:t>
      </w:r>
    </w:p>
    <w:p w14:paraId="06A37DA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法治理念根基不够牢固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部分干部仍存在 “重业务、轻法治” 的惯性思维，对法律法规学习缺乏主动性和系统性，满足于浅尝辄止，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民政领域核心法规制度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深入钻研不够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。理论与实践融合不够紧密，运用法治思维分析复杂问题、破解工作难题的能力不足，依法决策、依法履职的意识有待进一步强化。</w:t>
      </w:r>
    </w:p>
    <w:p w14:paraId="260F3AC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行政执法能力有待提升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民政业务覆盖社会救助、养老服务、社会组织管理等多个领域，涉及法律法规繁杂、服务对象多元，部分执法人员专业法律知识储备不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扎实，对具体执法标准、裁量基准掌握不够精准。执法方式较为传统，应对新型、复杂案件的处置能力不足，规范执法、柔性执法的平衡技巧有待提升。</w:t>
      </w:r>
    </w:p>
    <w:p w14:paraId="3E48A3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法治宣传效能有待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普法宣传载体较为单一，仍以传统线下宣传、文件传达为主，线上新媒体宣传矩阵未充分搭建，互动性、趣味性不足。宣传内容针对性不强，未能精准对接不同服务对象的法律需求，典型案例普法的深度挖掘和场景化应用不够，社会覆盖面和群众认同感有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。</w:t>
      </w:r>
    </w:p>
    <w:p w14:paraId="4670AB3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年党政主要负责人履行推进法治建设第一责任人职责，加强法治政府建设的有关情况</w:t>
      </w:r>
    </w:p>
    <w:p w14:paraId="73561AA0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压实责任，强化法治建设工作组织领导</w:t>
      </w:r>
    </w:p>
    <w:p w14:paraId="56B651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落实法治建设第一责任人职责，将法治建设全面纳入年度工作部署，与重点业务工作统筹谋划、同步部署、一体推进、协同考核。明确班子成员及各科室在推进法治政府建设中的责任，充分发挥“关键少数”的引领带动作用。统筹抓好依法行政、法治宣传教育等重点任务落实。建立定期研究、调度推进机制，及时破解工作推进中的堵点难点问题，确保法治建设各项部署落地见效。</w:t>
      </w:r>
    </w:p>
    <w:p w14:paraId="647EAE5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（二）带头学法，筑牢依法履职思想根基</w:t>
      </w:r>
    </w:p>
    <w:p w14:paraId="12B8769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始终把学习贯彻习近平法治思想作为首要政治任务，以习近平新时代中国特色社会主义思想作为法治工作的思想旗帜、理论指导和根本遵循，全面把握其基本精神、基本内容、基本要求及法治政府建设的重大意义与总体要求。紧密结合民政工作实际，构建 “以上率下、全员覆盖” 的法治学习体系，深入落实《领导干部学法用法制度》，带头践行 “尊法学法守法用法” 要求。强化干部依法决策、依法履职的思想自觉与法治意识，推动法治知识转化为解决民政领域实际问题的能力，做到学以致用、学用结合。</w:t>
      </w:r>
    </w:p>
    <w:p w14:paraId="367089E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（三）持续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深化</w:t>
      </w: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推进行政权力规范有序运行</w:t>
      </w:r>
    </w:p>
    <w:p w14:paraId="3A7D712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局党政主要负责人严格履行法治建设第一责任人及组织者、推动者、实践者职责，将行政权力规范运行纳入全局重点工作统筹推进。定期听取行政复议、行政诉讼案件办理及行政执法工作推进情况汇报，对典型案例深入剖析、明确工作方向。针对依法行政重点任务研究部署，持续提升行政权力运行规范化、法治化水平。</w:t>
      </w:r>
    </w:p>
    <w:p w14:paraId="587E4C03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黑体" w:cs="Times New Roman"/>
          <w:sz w:val="32"/>
          <w:szCs w:val="32"/>
        </w:rPr>
        <w:t>推进法治政府建设的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主要安排</w:t>
      </w:r>
    </w:p>
    <w:p w14:paraId="1C9EB989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深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化思想引领，筑牢法治建设政治根基</w:t>
      </w:r>
    </w:p>
    <w:p w14:paraId="4B80795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把学习贯彻习近平法治思想作为首要政治任务，紧扣党的二十大和二十届历次全会精神，将法治教育纳入干部教育体系核心内容。构建分层学习机制，制定领导干部应知应会党内法规和国家法律清单，通过党组理论学习中心组学习、法治专题研讨等形式，开展专题学习。将法治思维运用情况纳入民生项目论证、重大决策制定的前置程序，在养老服务提质、社会救助精准化等重点工作中同步开展法治风险评估，确保行政行为全程合法合规。完善考核激励机制，将法治素养和依法行政能力作为干部考核、评优评先的参考依据，对干部学法用法情况进行动态管理。</w:t>
      </w:r>
    </w:p>
    <w:p w14:paraId="4BB38DC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（二）聚焦规范高效，提升行政执法质效</w:t>
      </w:r>
    </w:p>
    <w:p w14:paraId="50FEE41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执法队伍建设，提升专业能力。持续组织动员干部参加行政执法资格考试，开展行政裁量权基准、执法平台操作、案卷制作规范等专题培训。深化重点领域执法监管。聚焦养老服务安全、殡葬服务规范、社会组织监管等社会关注度高的领域，制定年度执法重点清单。推行“综合查一次”模式，整合养老机构安全检查、社会组织年检等事项，减少重复检查对服务对象的干扰。规范执法全流程管理，全面落实行政执法公示、全过程记录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重大执法决定法制审核制度。</w:t>
      </w:r>
    </w:p>
    <w:p w14:paraId="556DB3F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创新普法模式，构建全民普法工作格局</w:t>
      </w:r>
    </w:p>
    <w:p w14:paraId="717E936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加强普法宣传，认真落实“谁执法谁普法”责任制，拓展普法形式和载体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创新普法宣传教育形式，营造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浓厚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法治氛围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民政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各领域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法律、法规和规章的宣传力度，围绕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难点、热点民生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，提升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法律法规知晓率、普及率。加强对典型案例的分析总结，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深化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“以案释法”，切实提高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全局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依法行政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意识、能力和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水平。   </w:t>
      </w:r>
    </w:p>
    <w:p w14:paraId="799240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健全制度保障，完善法治建设长效机制</w:t>
      </w:r>
    </w:p>
    <w:p w14:paraId="5EE0E7F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强化规范性文件管理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，定期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开展规范性文件专项清理，及时废止或修订与上位法不符、不适应发展需要的文件。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充分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发挥法律顾问效能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健全法律顾问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全流程参与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机制，将合同签订、信访化解、行政复议应诉、重大决策制定等纳入必审范围，实现法律审查全覆盖。建立法律顾问意见反馈机制，对提出的法律建议跟踪落实情况，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确保合法合规的同时提升决策科学性。</w:t>
      </w:r>
    </w:p>
    <w:p w14:paraId="2DFB85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               </w:t>
      </w:r>
    </w:p>
    <w:p w14:paraId="342F25FA">
      <w:pPr>
        <w:pStyle w:val="11"/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spacing w:line="560" w:lineRule="exact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4452C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DA18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DA18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DFB2A"/>
    <w:multiLevelType w:val="singleLevel"/>
    <w:tmpl w:val="DDEDFB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32ECE1"/>
    <w:multiLevelType w:val="singleLevel"/>
    <w:tmpl w:val="3432ECE1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2">
    <w:nsid w:val="675BBA2D"/>
    <w:multiLevelType w:val="singleLevel"/>
    <w:tmpl w:val="675BBA2D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675BC28C"/>
    <w:multiLevelType w:val="singleLevel"/>
    <w:tmpl w:val="675BC28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75BCED9"/>
    <w:multiLevelType w:val="singleLevel"/>
    <w:tmpl w:val="675BCED9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17927870"/>
    <w:rsid w:val="00C625CF"/>
    <w:rsid w:val="0116106C"/>
    <w:rsid w:val="01623303"/>
    <w:rsid w:val="023E76D3"/>
    <w:rsid w:val="04897418"/>
    <w:rsid w:val="0AFF1BD9"/>
    <w:rsid w:val="0C3C587A"/>
    <w:rsid w:val="0DC24E10"/>
    <w:rsid w:val="0DD068BE"/>
    <w:rsid w:val="0E3A1FA6"/>
    <w:rsid w:val="0F781755"/>
    <w:rsid w:val="10D1427C"/>
    <w:rsid w:val="12100AD5"/>
    <w:rsid w:val="121147AB"/>
    <w:rsid w:val="126D030F"/>
    <w:rsid w:val="1317557C"/>
    <w:rsid w:val="13831232"/>
    <w:rsid w:val="141B5149"/>
    <w:rsid w:val="17927870"/>
    <w:rsid w:val="17AB1ACC"/>
    <w:rsid w:val="181C2B47"/>
    <w:rsid w:val="199A058A"/>
    <w:rsid w:val="19E61B83"/>
    <w:rsid w:val="20E52CD1"/>
    <w:rsid w:val="214F6D03"/>
    <w:rsid w:val="21C6288D"/>
    <w:rsid w:val="223D1F0B"/>
    <w:rsid w:val="226059E4"/>
    <w:rsid w:val="248F3DAF"/>
    <w:rsid w:val="275F5DDA"/>
    <w:rsid w:val="27CF2478"/>
    <w:rsid w:val="27DC4F3D"/>
    <w:rsid w:val="28F05B8C"/>
    <w:rsid w:val="293E2DFA"/>
    <w:rsid w:val="2BC726D5"/>
    <w:rsid w:val="2C031B3B"/>
    <w:rsid w:val="2C8A36AC"/>
    <w:rsid w:val="2E0B25CA"/>
    <w:rsid w:val="2EA92266"/>
    <w:rsid w:val="30084716"/>
    <w:rsid w:val="327BC022"/>
    <w:rsid w:val="330F3D57"/>
    <w:rsid w:val="359C4557"/>
    <w:rsid w:val="360C3658"/>
    <w:rsid w:val="37165943"/>
    <w:rsid w:val="375237A6"/>
    <w:rsid w:val="38C72837"/>
    <w:rsid w:val="3B665B1F"/>
    <w:rsid w:val="3BB70C00"/>
    <w:rsid w:val="3BFF9DA6"/>
    <w:rsid w:val="3C6F3DF9"/>
    <w:rsid w:val="3D3428F0"/>
    <w:rsid w:val="3EE54B2D"/>
    <w:rsid w:val="3EFE1CC0"/>
    <w:rsid w:val="43A53086"/>
    <w:rsid w:val="46197C79"/>
    <w:rsid w:val="47A91EED"/>
    <w:rsid w:val="48BB6AC4"/>
    <w:rsid w:val="48DB4084"/>
    <w:rsid w:val="49374279"/>
    <w:rsid w:val="49AF752F"/>
    <w:rsid w:val="4AA263A1"/>
    <w:rsid w:val="4B085D0F"/>
    <w:rsid w:val="4BC41711"/>
    <w:rsid w:val="4C4846C2"/>
    <w:rsid w:val="4E07747F"/>
    <w:rsid w:val="4E586EB1"/>
    <w:rsid w:val="4F9D3EA7"/>
    <w:rsid w:val="51314280"/>
    <w:rsid w:val="53E4284D"/>
    <w:rsid w:val="540E464A"/>
    <w:rsid w:val="545F08BA"/>
    <w:rsid w:val="54B64E17"/>
    <w:rsid w:val="56351C6D"/>
    <w:rsid w:val="564814F3"/>
    <w:rsid w:val="57461426"/>
    <w:rsid w:val="57F8649B"/>
    <w:rsid w:val="58D10C2E"/>
    <w:rsid w:val="5A492344"/>
    <w:rsid w:val="5A5FC425"/>
    <w:rsid w:val="5ACB673B"/>
    <w:rsid w:val="5B487E84"/>
    <w:rsid w:val="5C9A4508"/>
    <w:rsid w:val="5D0F6993"/>
    <w:rsid w:val="60CA4BFF"/>
    <w:rsid w:val="61184615"/>
    <w:rsid w:val="62280F3F"/>
    <w:rsid w:val="649F2DF1"/>
    <w:rsid w:val="64A608B2"/>
    <w:rsid w:val="65ABB02E"/>
    <w:rsid w:val="668D48DB"/>
    <w:rsid w:val="6749213F"/>
    <w:rsid w:val="67E3503B"/>
    <w:rsid w:val="69366D26"/>
    <w:rsid w:val="6ABB6DEE"/>
    <w:rsid w:val="6AE73DF9"/>
    <w:rsid w:val="6E150EE9"/>
    <w:rsid w:val="6FD70464"/>
    <w:rsid w:val="70820D17"/>
    <w:rsid w:val="70E26FD4"/>
    <w:rsid w:val="715D3CCF"/>
    <w:rsid w:val="725D2296"/>
    <w:rsid w:val="729D3291"/>
    <w:rsid w:val="72BA460F"/>
    <w:rsid w:val="73C13BD4"/>
    <w:rsid w:val="7448349F"/>
    <w:rsid w:val="7515138A"/>
    <w:rsid w:val="763542F1"/>
    <w:rsid w:val="76571EBB"/>
    <w:rsid w:val="76F3F598"/>
    <w:rsid w:val="77757899"/>
    <w:rsid w:val="77BF14E4"/>
    <w:rsid w:val="7D426E38"/>
    <w:rsid w:val="7DF90F2C"/>
    <w:rsid w:val="7EBA39F0"/>
    <w:rsid w:val="7F3D9958"/>
    <w:rsid w:val="99DFA717"/>
    <w:rsid w:val="A5C6D1A8"/>
    <w:rsid w:val="BFFE3913"/>
    <w:rsid w:val="DFFC69AB"/>
    <w:rsid w:val="F3F392FB"/>
    <w:rsid w:val="FE5E72B5"/>
    <w:rsid w:val="FE5F5421"/>
    <w:rsid w:val="FFFF9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1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hAnsi="宋体" w:eastAsia="仿宋_GB2312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9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endnote text"/>
    <w:basedOn w:val="1"/>
    <w:unhideWhenUsed/>
    <w:qFormat/>
    <w:uiPriority w:val="1"/>
    <w:pPr>
      <w:snapToGrid w:val="0"/>
      <w:jc w:val="left"/>
    </w:pPr>
  </w:style>
  <w:style w:type="paragraph" w:styleId="11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 2"/>
    <w:basedOn w:val="7"/>
    <w:qFormat/>
    <w:uiPriority w:val="0"/>
    <w:pPr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TOC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19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2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UserStyle_3"/>
    <w:qFormat/>
    <w:uiPriority w:val="0"/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3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d038f2be-b488-4aa1-918e-ce88d04db47b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4C898F34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a9709c43-470d-442f-a90c-04cd648319cf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4C898F34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22c84d8a-a1dc-49ea-8058-299bcdbfcb1b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262F9F18</paraID>
      <start xmlns="http://schemas.wps.cn/vas-ai-hub/contract-review">18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f1f2f847-0f42-42a8-8d9c-281899827b0a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262F9F18</paraID>
      <start xmlns="http://schemas.wps.cn/vas-ai-hub/contract-review">20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5bc17546-98c2-4ee8-a069-36c02a35578a</errorID>
      <errorWord xmlns="http://schemas.wps.cn/vas-ai-hub/contract-review">"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/>
      <explain xmlns="http://schemas.wps.cn/vas-ai-hub/contract-review">文本全半角错误。</explain>
      <paraID xmlns="http://schemas.wps.cn/vas-ai-hub/contract-review">25AD8667</paraID>
      <start xmlns="http://schemas.wps.cn/vas-ai-hub/contract-review">143</start>
      <end xmlns="http://schemas.wps.cn/vas-ai-hub/contract-review">144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835d3764-fe5d-41ea-8cfd-a7a3a5238103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25AD8667</paraID>
      <start xmlns="http://schemas.wps.cn/vas-ai-hub/contract-review">155</start>
      <end xmlns="http://schemas.wps.cn/vas-ai-hub/contract-review">156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677bc250-dd86-41fe-b7e3-9c1f78c5aa4a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25AD8667</paraID>
      <start xmlns="http://schemas.wps.cn/vas-ai-hub/contract-review">165</start>
      <end xmlns="http://schemas.wps.cn/vas-ai-hub/contract-review">166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7c53be4f-e521-4303-a3ae-6a2fd7e996dd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25AD8667</paraID>
      <start xmlns="http://schemas.wps.cn/vas-ai-hub/contract-review">167</start>
      <end xmlns="http://schemas.wps.cn/vas-ai-hub/contract-review">168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c0dd6cc8-2dcf-4472-aad7-37b322749f88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25AD8667</paraID>
      <start xmlns="http://schemas.wps.cn/vas-ai-hub/contract-review">177</start>
      <end xmlns="http://schemas.wps.cn/vas-ai-hub/contract-review">178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2eb78f68-d75f-4fc1-be66-b82f1aeb88a0</errorID>
      <errorWord xmlns="http://schemas.wps.cn/vas-ai-hub/contract-review">北京市东城民政局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北京市民政局</item>
      </candidateList>
      <explain xmlns="http://schemas.wps.cn/vas-ai-hub/contract-review">机关单位全简称表述错误</explain>
      <paraID xmlns="http://schemas.wps.cn/vas-ai-hub/contract-review">68E51C7B</paraID>
      <start xmlns="http://schemas.wps.cn/vas-ai-hub/contract-review">99</start>
      <end xmlns="http://schemas.wps.cn/vas-ai-hub/contract-review">108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9ffdaf3d-bf96-4787-ad4a-ad6ef04e32f4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，对</item>
      </candidateList>
      <explain xmlns="http://schemas.wps.cn/vas-ai-hub/contract-review"/>
      <paraID xmlns="http://schemas.wps.cn/vas-ai-hub/contract-review">3E48A350</paraID>
      <start xmlns="http://schemas.wps.cn/vas-ai-hub/contract-review">92</start>
      <end xmlns="http://schemas.wps.cn/vas-ai-hub/contract-review">93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1cbd097f-74bc-4350-8325-755655ea51b7</errorID>
      <errorWord xmlns="http://schemas.wps.cn/vas-ai-hub/contract-review">提高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增强</item>
      </candidateList>
      <explain xmlns="http://schemas.wps.cn/vas-ai-hub/contract-review">“提高～意识”搭配不当，建议修改为“增强～意识”。</explain>
      <paraID xmlns="http://schemas.wps.cn/vas-ai-hub/contract-review">717E936E</paraID>
      <start xmlns="http://schemas.wps.cn/vas-ai-hub/contract-review">131</start>
      <end xmlns="http://schemas.wps.cn/vas-ai-hub/contract-review">133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990f7-e809-4fb9-a108-d4b8060bd5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5800</Words>
  <Characters>5907</Characters>
  <Lines>0</Lines>
  <Paragraphs>0</Paragraphs>
  <TotalTime>4</TotalTime>
  <ScaleCrop>false</ScaleCrop>
  <LinksUpToDate>false</LinksUpToDate>
  <CharactersWithSpaces>5959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2021-12-03T10:31:00Z</dcterms:created>
  <dc:creator>1037</dc:creator>
  <cp:lastModifiedBy>user</cp:lastModifiedBy>
  <cp:lastPrinted>2025-12-24T00:46:00Z</cp:lastPrinted>
  <dcterms:modified xsi:type="dcterms:W3CDTF">2026-03-20T11:00:59Z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EEF7D4306D574EEF959872E997DA8B74_12</vt:lpwstr>
  </property>
  <property fmtid="{D5CDD505-2E9C-101B-9397-08002B2CF9AE}" pid="4" name="KSOTemplateDocerSaveRecord">
    <vt:lpwstr>eyJoZGlkIjoiMGU3M2U2NzEwNTZmNTk2Mjk1MjBlYzY0MTM1MzM0YTUiLCJ1c2VySWQiOiI2Mzc1MDI3OTEifQ==</vt:lpwstr>
  </property>
</Properties>
</file>