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A1EF5C">
      <w:pPr>
        <w:keepNext w:val="0"/>
        <w:keepLines w:val="0"/>
        <w:pageBreakBefore w:val="0"/>
        <w:kinsoku/>
        <w:wordWrap/>
        <w:overflowPunct/>
        <w:topLinePunct w:val="0"/>
        <w:autoSpaceDE/>
        <w:autoSpaceDN/>
        <w:bidi w:val="0"/>
        <w:adjustRightInd/>
        <w:spacing w:line="560" w:lineRule="exact"/>
        <w:ind w:left="0" w:leftChars="0" w:right="0" w:rightChars="0" w:firstLine="880" w:firstLineChars="20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北京市</w:t>
      </w:r>
      <w:r>
        <w:rPr>
          <w:rFonts w:hint="default" w:ascii="Times New Roman" w:hAnsi="Times New Roman" w:eastAsia="方正小标宋简体" w:cs="Times New Roman"/>
          <w:sz w:val="44"/>
          <w:szCs w:val="44"/>
        </w:rPr>
        <w:t>东城区财政局</w:t>
      </w:r>
    </w:p>
    <w:p w14:paraId="382F5BED">
      <w:pPr>
        <w:keepNext w:val="0"/>
        <w:keepLines w:val="0"/>
        <w:pageBreakBefore w:val="0"/>
        <w:kinsoku/>
        <w:wordWrap/>
        <w:overflowPunct/>
        <w:topLinePunct w:val="0"/>
        <w:autoSpaceDE/>
        <w:autoSpaceDN/>
        <w:bidi w:val="0"/>
        <w:adjustRightInd/>
        <w:spacing w:line="560" w:lineRule="exact"/>
        <w:ind w:left="0" w:leftChars="0" w:right="0" w:rightChars="0" w:firstLine="880" w:firstLineChars="20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年法治政府建设年度情况报告</w:t>
      </w:r>
    </w:p>
    <w:p w14:paraId="24EE3D3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p>
    <w:p w14:paraId="591ED7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在区委、区政府的正确领导和有力部署下，东城区财政局坚持以习近平总书记全面依法治国新理念新思想新战略为指导，牢固树立“以政领财、以财辅政”的工作理念，进一步增强运用法治思维和法治方式推动财政事业发展的能力和水平，着力深化依法行政、依法理财工作，推进财政管理法治化、科学化、规范化取得阶段性成效</w:t>
      </w:r>
      <w:r>
        <w:rPr>
          <w:rFonts w:hint="default" w:ascii="Times New Roman" w:hAnsi="Times New Roman" w:eastAsia="仿宋_GB2312" w:cs="Times New Roman"/>
          <w:sz w:val="32"/>
          <w:szCs w:val="32"/>
          <w:lang w:eastAsia="zh-CN"/>
        </w:rPr>
        <w:t>。</w:t>
      </w:r>
    </w:p>
    <w:p w14:paraId="4A2214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color w:val="auto"/>
          <w:sz w:val="32"/>
          <w:szCs w:val="32"/>
          <w:lang w:val="en-US" w:eastAsia="zh-CN"/>
        </w:rPr>
        <w:t>2025</w:t>
      </w:r>
      <w:r>
        <w:rPr>
          <w:rFonts w:hint="default" w:ascii="Times New Roman" w:hAnsi="Times New Roman" w:eastAsia="黑体" w:cs="Times New Roman"/>
          <w:color w:val="auto"/>
          <w:sz w:val="32"/>
          <w:szCs w:val="32"/>
        </w:rPr>
        <w:t>年推进法治政府建设的主要举措和成效</w:t>
      </w:r>
    </w:p>
    <w:p w14:paraId="708E5F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（一）筑牢思想根基，强化法治建设政治引领</w:t>
      </w:r>
    </w:p>
    <w:p w14:paraId="036FC0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一是持续加强政治理论学习，</w:t>
      </w:r>
      <w:r>
        <w:rPr>
          <w:rFonts w:hint="eastAsia" w:ascii="Times New Roman" w:hAnsi="Times New Roman" w:eastAsia="仿宋_GB2312" w:cs="Times New Roman"/>
          <w:sz w:val="32"/>
          <w:szCs w:val="32"/>
          <w:lang w:eastAsia="zh-CN"/>
        </w:rPr>
        <w:t>提高党性觉悟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将学习习近平总书记重要讲话精神纳入党组理论学习，局领导带头开展深入贯彻中央八项规定精神学习教育，深入学习贯彻习近平总书记关于加强党的作风建设的重要论述等内容，召开学习贯彻党的二十届四中全会精神宣讲报告会，局主要领导作宣讲报告，严格落实“第一议题”制度，在</w:t>
      </w:r>
      <w:r>
        <w:rPr>
          <w:rFonts w:hint="eastAsia" w:ascii="Times New Roman" w:hAnsi="Times New Roman" w:eastAsia="仿宋_GB2312" w:cs="Times New Roman"/>
          <w:sz w:val="32"/>
          <w:szCs w:val="32"/>
          <w:lang w:val="en-US" w:eastAsia="zh-CN"/>
        </w:rPr>
        <w:t>理论学习</w:t>
      </w:r>
      <w:r>
        <w:rPr>
          <w:rFonts w:hint="default" w:ascii="Times New Roman" w:hAnsi="Times New Roman" w:eastAsia="仿宋_GB2312" w:cs="Times New Roman"/>
          <w:sz w:val="32"/>
          <w:szCs w:val="32"/>
          <w:lang w:val="en-US" w:eastAsia="zh-CN"/>
        </w:rPr>
        <w:t>中心组、全局学习计划与党员学习计划中均安排相关学习内容；二是继续深入学习习近平法治思想，把习近平法治思想及党的二十大精神贯彻落实到党组决策部署全过程，积极发挥领导干部在财政法治建设的示范引领作用，全年完成局长办公会会前学法4次，专题党课11次；</w:t>
      </w:r>
      <w:r>
        <w:rPr>
          <w:rFonts w:hint="default" w:ascii="Times New Roman" w:hAnsi="Times New Roman" w:eastAsia="仿宋_GB2312" w:cs="Times New Roman"/>
          <w:sz w:val="32"/>
          <w:szCs w:val="32"/>
        </w:rPr>
        <w:t>三是增强规矩意识与法治素养。推动领导干部带头学习、掌握、遵守、运用党内法规和国家法律。及时组织学习新出台修订的法律法规及本市相关立法，建立常态化领导干部学法机制。</w:t>
      </w:r>
    </w:p>
    <w:p w14:paraId="425D79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（二）聚焦主责主业，提升财政履职法治效能</w:t>
      </w:r>
    </w:p>
    <w:p w14:paraId="58DC92A3">
      <w:pPr>
        <w:pStyle w:val="10"/>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eastAsia="zh-CN"/>
        </w:rPr>
        <w:t>把好预算编制“方向盘”。</w:t>
      </w:r>
      <w:r>
        <w:rPr>
          <w:rFonts w:hint="default" w:ascii="Times New Roman" w:hAnsi="Times New Roman" w:eastAsia="仿宋_GB2312" w:cs="Times New Roman"/>
          <w:sz w:val="32"/>
          <w:szCs w:val="32"/>
        </w:rPr>
        <w:t>提前谋划整体财力规模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分清主次、明确缓急，严格预算项目排序，集中财力优先保障政府重大政策、重要改革和重点项目实施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坚持落实“过紧日子”，</w:t>
      </w:r>
      <w:r>
        <w:rPr>
          <w:rFonts w:hint="default" w:ascii="Times New Roman" w:hAnsi="Times New Roman" w:eastAsia="仿宋_GB2312" w:cs="Times New Roman"/>
          <w:sz w:val="32"/>
          <w:szCs w:val="32"/>
          <w:lang w:eastAsia="zh-CN"/>
        </w:rPr>
        <w:t>加强财政资金精细化管理，将资金真正用在“刀刃上”。铺就发债举措“稳步路”，积极争取债券新增项目，</w:t>
      </w:r>
      <w:r>
        <w:rPr>
          <w:rFonts w:hint="default" w:ascii="Times New Roman" w:hAnsi="Times New Roman" w:eastAsia="仿宋_GB2312" w:cs="Times New Roman"/>
          <w:sz w:val="32"/>
          <w:szCs w:val="32"/>
        </w:rPr>
        <w:t>获批地方政府债务限额8亿元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优化债务期限结构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确保法定债务按期偿还</w:t>
      </w:r>
      <w:r>
        <w:rPr>
          <w:rFonts w:hint="default" w:ascii="Times New Roman" w:hAnsi="Times New Roman" w:eastAsia="仿宋_GB2312" w:cs="Times New Roman"/>
          <w:sz w:val="32"/>
          <w:szCs w:val="32"/>
          <w:lang w:eastAsia="zh-CN"/>
        </w:rPr>
        <w:t>。引导基金激活产融结合“新动能”，</w:t>
      </w:r>
      <w:r>
        <w:rPr>
          <w:rFonts w:hint="default" w:ascii="Times New Roman" w:hAnsi="Times New Roman" w:eastAsia="仿宋_GB2312" w:cs="Times New Roman"/>
          <w:sz w:val="32"/>
          <w:szCs w:val="32"/>
        </w:rPr>
        <w:t>修订《东城区政府基金管理办法》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规范基金设立、运作和风险控制全流程工作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促成与工商银行合作设立20亿元AIC基金，完成10余项储备项目，持续探索投资新渠道。</w:t>
      </w:r>
      <w:r>
        <w:rPr>
          <w:rFonts w:hint="default" w:ascii="Times New Roman" w:hAnsi="Times New Roman" w:eastAsia="仿宋_GB2312" w:cs="Times New Roman"/>
          <w:sz w:val="32"/>
          <w:szCs w:val="32"/>
          <w:lang w:eastAsia="zh-CN"/>
        </w:rPr>
        <w:t>以严管之策筑财政管理防线，</w:t>
      </w:r>
      <w:r>
        <w:rPr>
          <w:rFonts w:hint="eastAsia" w:eastAsia="仿宋_GB2312" w:cs="Times New Roman"/>
          <w:sz w:val="32"/>
          <w:szCs w:val="32"/>
          <w:lang w:eastAsia="zh-CN"/>
        </w:rPr>
        <w:t>严把</w:t>
      </w:r>
      <w:r>
        <w:rPr>
          <w:rFonts w:hint="default" w:ascii="Times New Roman" w:hAnsi="Times New Roman" w:eastAsia="仿宋_GB2312" w:cs="Times New Roman"/>
          <w:sz w:val="32"/>
          <w:szCs w:val="32"/>
          <w:lang w:eastAsia="zh-CN"/>
        </w:rPr>
        <w:t>评审关口，</w:t>
      </w:r>
      <w:r>
        <w:rPr>
          <w:rFonts w:hint="default" w:ascii="Times New Roman" w:hAnsi="Times New Roman" w:eastAsia="仿宋_GB2312" w:cs="Times New Roman"/>
          <w:sz w:val="32"/>
          <w:szCs w:val="32"/>
        </w:rPr>
        <w:t>制定《北京市东城区财政评审管理办法》，修订《北京市东城区财政评审操作规程》，厘清部门在项目管理责任，加</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资金使用管理力度</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预算资金项目全部纳入财政评审范畴</w:t>
      </w:r>
      <w:r>
        <w:rPr>
          <w:rFonts w:hint="default" w:ascii="Times New Roman" w:hAnsi="Times New Roman" w:eastAsia="仿宋_GB2312" w:cs="Times New Roman"/>
          <w:sz w:val="32"/>
          <w:szCs w:val="32"/>
          <w:lang w:eastAsia="zh-CN"/>
        </w:rPr>
        <w:t>。</w:t>
      </w:r>
    </w:p>
    <w:p w14:paraId="67B40E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（三）健全监督机制，促进财政权力规范运行</w:t>
      </w:r>
    </w:p>
    <w:p w14:paraId="2A4F17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自觉接受人大依法监督，不断细化报送人大审查的预决算草案内容，优化编报流程，依托预算管理一体化系统强化数据校验，强化人大报告与数据系统的核实比对，确保数据精准性和完整度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秉持规范、透明原则深化预算信息公开，以公开促规范，持续强化社会监督效能。高质量完成人大代表建议和政协提案办理工作，全年承</w:t>
      </w:r>
      <w:r>
        <w:rPr>
          <w:rFonts w:hint="default" w:ascii="Times New Roman" w:hAnsi="Times New Roman" w:eastAsia="仿宋_GB2312" w:cs="Times New Roman"/>
          <w:sz w:val="32"/>
          <w:szCs w:val="32"/>
          <w:highlight w:val="none"/>
        </w:rPr>
        <w:t>办</w:t>
      </w:r>
      <w:r>
        <w:rPr>
          <w:rFonts w:hint="default" w:ascii="Times New Roman" w:hAnsi="Times New Roman" w:eastAsia="仿宋_GB2312" w:cs="Times New Roman"/>
          <w:sz w:val="32"/>
          <w:szCs w:val="32"/>
          <w:highlight w:val="none"/>
          <w:lang w:val="en-US" w:eastAsia="zh-CN"/>
        </w:rPr>
        <w:t>48</w:t>
      </w:r>
      <w:r>
        <w:rPr>
          <w:rFonts w:hint="default" w:ascii="Times New Roman" w:hAnsi="Times New Roman" w:eastAsia="仿宋_GB2312" w:cs="Times New Roman"/>
          <w:sz w:val="32"/>
          <w:szCs w:val="32"/>
          <w:highlight w:val="none"/>
        </w:rPr>
        <w:t>件，其中主办5</w:t>
      </w:r>
      <w:r>
        <w:rPr>
          <w:rFonts w:hint="default" w:ascii="Times New Roman" w:hAnsi="Times New Roman" w:eastAsia="仿宋_GB2312" w:cs="Times New Roman"/>
          <w:sz w:val="32"/>
          <w:szCs w:val="32"/>
        </w:rPr>
        <w:t>件，办结率100%，实现办理过程与结果双满意。财会监督聚焦重大决策部署落实，突出重点领域风险防控，强化财经纪律刚性约束，统筹推进专项财会监督检查与常态化监管，对26家区属行政事业单位及企业开展会计信息质量检查，重点关注预算管理、国有资产管理、会计核算及财务管理等领域的多发、高发、易发问题，深入贯彻落实“过紧日子”工作要求，着力强化预算单位全口径资金监管，不断提高财政资源配置效率和资金使用效益。</w:t>
      </w:r>
    </w:p>
    <w:p w14:paraId="1EC556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（四）优化服务机制，营造公平法治营商环境</w:t>
      </w:r>
    </w:p>
    <w:p w14:paraId="20093B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sz w:val="32"/>
          <w:szCs w:val="32"/>
          <w:highlight w:val="none"/>
          <w:lang w:eastAsia="zh-CN"/>
        </w:rPr>
        <w:t>以优化之举提升采购管理效能</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highlight w:val="none"/>
          <w:lang w:eastAsia="zh-CN"/>
        </w:rPr>
        <w:t>在</w:t>
      </w:r>
      <w:r>
        <w:rPr>
          <w:rFonts w:hint="default" w:ascii="Times New Roman" w:hAnsi="Times New Roman" w:eastAsia="仿宋_GB2312" w:cs="Times New Roman"/>
          <w:b w:val="0"/>
          <w:bCs w:val="0"/>
          <w:color w:val="auto"/>
          <w:sz w:val="32"/>
          <w:szCs w:val="32"/>
          <w:highlight w:val="none"/>
          <w:lang w:val="en-US" w:eastAsia="zh-CN"/>
        </w:rPr>
        <w:t>2025年评比的</w:t>
      </w:r>
      <w:r>
        <w:rPr>
          <w:rFonts w:hint="default" w:ascii="Times New Roman" w:hAnsi="Times New Roman" w:eastAsia="仿宋_GB2312" w:cs="Times New Roman"/>
          <w:b w:val="0"/>
          <w:bCs w:val="0"/>
          <w:color w:val="auto"/>
          <w:sz w:val="32"/>
          <w:szCs w:val="32"/>
          <w:highlight w:val="none"/>
        </w:rPr>
        <w:t>政府采购营商环境指标考核全市排名第一</w:t>
      </w:r>
      <w:r>
        <w:rPr>
          <w:rFonts w:hint="default" w:ascii="Times New Roman" w:hAnsi="Times New Roman" w:eastAsia="仿宋_GB2312" w:cs="Times New Roman"/>
          <w:b w:val="0"/>
          <w:bCs w:val="0"/>
          <w:color w:val="auto"/>
          <w:sz w:val="32"/>
          <w:szCs w:val="32"/>
          <w:highlight w:val="none"/>
          <w:lang w:eastAsia="zh-CN"/>
        </w:rPr>
        <w:t>，推行政府采购电子化远程应用，便捷企业办事流程，形成系统化“政采贷”保障机制，保障企业贷款无忧。</w:t>
      </w:r>
      <w:r>
        <w:rPr>
          <w:rFonts w:hint="default" w:ascii="Times New Roman" w:hAnsi="Times New Roman" w:eastAsia="仿宋_GB2312" w:cs="Times New Roman"/>
          <w:sz w:val="32"/>
          <w:szCs w:val="32"/>
          <w:highlight w:val="none"/>
        </w:rPr>
        <w:t>建立“主要领导牵头、主管领导定期走访、干部日常联络</w:t>
      </w:r>
      <w:r>
        <w:rPr>
          <w:rFonts w:hint="default" w:ascii="Times New Roman" w:hAnsi="Times New Roman" w:eastAsia="仿宋_GB2312" w:cs="Times New Roman"/>
          <w:sz w:val="32"/>
          <w:szCs w:val="32"/>
          <w:highlight w:val="none"/>
          <w:lang w:eastAsia="zh-CN"/>
        </w:rPr>
        <w:t>”服务驻区企业</w:t>
      </w:r>
      <w:r>
        <w:rPr>
          <w:rFonts w:hint="default" w:ascii="Times New Roman" w:hAnsi="Times New Roman" w:eastAsia="仿宋_GB2312" w:cs="Times New Roman"/>
          <w:sz w:val="32"/>
          <w:szCs w:val="32"/>
          <w:highlight w:val="none"/>
        </w:rPr>
        <w:t>工作机制，</w:t>
      </w:r>
      <w:r>
        <w:rPr>
          <w:rFonts w:hint="default" w:ascii="Times New Roman" w:hAnsi="Times New Roman" w:eastAsia="仿宋_GB2312" w:cs="Times New Roman"/>
          <w:sz w:val="32"/>
          <w:szCs w:val="32"/>
          <w:highlight w:val="none"/>
          <w:lang w:eastAsia="zh-CN"/>
        </w:rPr>
        <w:t>主动</w:t>
      </w:r>
      <w:r>
        <w:rPr>
          <w:rFonts w:hint="default" w:ascii="Times New Roman" w:hAnsi="Times New Roman" w:eastAsia="仿宋_GB2312" w:cs="Times New Roman"/>
          <w:sz w:val="32"/>
          <w:szCs w:val="32"/>
          <w:highlight w:val="none"/>
        </w:rPr>
        <w:t>了解企业经营情况和发展动向，帮助企业解决需求，</w:t>
      </w:r>
      <w:r>
        <w:rPr>
          <w:rFonts w:hint="default" w:ascii="Times New Roman" w:hAnsi="Times New Roman" w:eastAsia="仿宋_GB2312" w:cs="Times New Roman"/>
          <w:sz w:val="32"/>
          <w:szCs w:val="32"/>
        </w:rPr>
        <w:t>助力重点企业成长，增强其对区域经济发展的贡献度。全面推行“一码检查”新型监管模式，运用“综合监管e码查”平台，实现精准化监管，</w:t>
      </w:r>
      <w:r>
        <w:rPr>
          <w:rFonts w:hint="default" w:ascii="Times New Roman" w:hAnsi="Times New Roman" w:eastAsia="仿宋_GB2312" w:cs="Times New Roman"/>
          <w:sz w:val="32"/>
          <w:szCs w:val="32"/>
          <w:lang w:eastAsia="zh-CN"/>
        </w:rPr>
        <w:t>采取非现场检查为主，现场检查为辅的新型检查模式，减少扰企行为的同时</w:t>
      </w:r>
      <w:r>
        <w:rPr>
          <w:rFonts w:hint="default" w:ascii="Times New Roman" w:hAnsi="Times New Roman" w:eastAsia="仿宋_GB2312" w:cs="Times New Roman"/>
          <w:sz w:val="32"/>
          <w:szCs w:val="32"/>
        </w:rPr>
        <w:t>提升监管效率，优化营商环境。维护市场公平竞争秩序，</w:t>
      </w:r>
      <w:r>
        <w:rPr>
          <w:rFonts w:hint="default" w:ascii="Times New Roman" w:hAnsi="Times New Roman" w:eastAsia="仿宋_GB2312" w:cs="Times New Roman"/>
          <w:sz w:val="32"/>
          <w:szCs w:val="32"/>
          <w:lang w:eastAsia="zh-CN"/>
        </w:rPr>
        <w:t>定期</w:t>
      </w:r>
      <w:r>
        <w:rPr>
          <w:rFonts w:hint="default" w:ascii="Times New Roman" w:hAnsi="Times New Roman" w:eastAsia="仿宋_GB2312" w:cs="Times New Roman"/>
          <w:sz w:val="32"/>
          <w:szCs w:val="32"/>
        </w:rPr>
        <w:t>开展妨碍统一市场和公平竞争的政策措施清理。深化“双随机、一公开”监管，推进跨部门联合检查，实现“进一次门、查多项事”，减轻企业负担。</w:t>
      </w:r>
    </w:p>
    <w:p w14:paraId="123A63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（五）规范执法行为，提升依法行政能力水平</w:t>
      </w:r>
    </w:p>
    <w:p w14:paraId="5EEA77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232930"/>
          <w:spacing w:val="0"/>
          <w:sz w:val="32"/>
          <w:szCs w:val="32"/>
          <w:lang w:eastAsia="zh-CN"/>
        </w:rPr>
      </w:pPr>
      <w:r>
        <w:rPr>
          <w:rFonts w:hint="default" w:ascii="Times New Roman" w:hAnsi="Times New Roman" w:eastAsia="仿宋_GB2312" w:cs="Times New Roman"/>
          <w:sz w:val="32"/>
          <w:szCs w:val="32"/>
          <w:lang w:eastAsia="zh-CN"/>
        </w:rPr>
        <w:t>执法公开与监督并举，</w:t>
      </w:r>
      <w:r>
        <w:rPr>
          <w:rFonts w:hint="default" w:ascii="Times New Roman" w:hAnsi="Times New Roman" w:eastAsia="仿宋_GB2312" w:cs="Times New Roman"/>
          <w:sz w:val="32"/>
          <w:szCs w:val="32"/>
        </w:rPr>
        <w:t>严格落实行政执法全过程记录制度，按要求进行查前公示与查后公告，通过政务公开平台公示检查对象与结果。聘请专业法律顾问机构</w:t>
      </w:r>
      <w:r>
        <w:rPr>
          <w:rFonts w:hint="default" w:ascii="Times New Roman" w:hAnsi="Times New Roman" w:eastAsia="仿宋_GB2312" w:cs="Times New Roman"/>
          <w:sz w:val="32"/>
          <w:szCs w:val="32"/>
          <w:lang w:eastAsia="zh-CN"/>
        </w:rPr>
        <w:t>强化决策支持</w:t>
      </w:r>
      <w:r>
        <w:rPr>
          <w:rFonts w:hint="default" w:ascii="Times New Roman" w:hAnsi="Times New Roman" w:eastAsia="仿宋_GB2312" w:cs="Times New Roman"/>
          <w:sz w:val="32"/>
          <w:szCs w:val="32"/>
        </w:rPr>
        <w:t>，为我局重大决策、文件制定、复议诉讼、执法监督及合同审查等提供法律支持，提升依法决策水平。全年办理行政复议案件1件。加强行政执法队伍管理，实行持证上岗，</w:t>
      </w:r>
      <w:r>
        <w:rPr>
          <w:rFonts w:hint="default" w:ascii="Times New Roman" w:hAnsi="Times New Roman" w:eastAsia="仿宋_GB2312" w:cs="Times New Roman"/>
          <w:sz w:val="32"/>
          <w:szCs w:val="32"/>
          <w:lang w:eastAsia="zh-CN"/>
        </w:rPr>
        <w:t>目前在岗执法人员共</w:t>
      </w:r>
      <w:r>
        <w:rPr>
          <w:rFonts w:hint="default" w:ascii="Times New Roman" w:hAnsi="Times New Roman" w:eastAsia="仿宋_GB2312" w:cs="Times New Roman"/>
          <w:sz w:val="32"/>
          <w:szCs w:val="32"/>
          <w:lang w:val="en-US" w:eastAsia="zh-CN"/>
        </w:rPr>
        <w:t>14人</w:t>
      </w:r>
      <w:r>
        <w:rPr>
          <w:rFonts w:hint="default" w:ascii="Times New Roman" w:hAnsi="Times New Roman" w:eastAsia="仿宋_GB2312" w:cs="Times New Roman"/>
          <w:sz w:val="32"/>
          <w:szCs w:val="32"/>
        </w:rPr>
        <w:t>。加强规范性文件监督管理，注重时效性与可操作性，全年完成合法性审核并发布行政规范性文件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eastAsia="zh-CN"/>
        </w:rPr>
        <w:t>优化</w:t>
      </w:r>
      <w:r>
        <w:rPr>
          <w:rFonts w:hint="default" w:ascii="Times New Roman" w:hAnsi="Times New Roman" w:eastAsia="仿宋_GB2312" w:cs="Times New Roman"/>
          <w:sz w:val="32"/>
          <w:szCs w:val="32"/>
        </w:rPr>
        <w:t>信访</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“接诉即办”事项处理流程，受理信访</w:t>
      </w:r>
      <w:r>
        <w:rPr>
          <w:rFonts w:hint="default" w:ascii="Times New Roman" w:hAnsi="Times New Roman" w:eastAsia="仿宋_GB2312" w:cs="Times New Roman"/>
          <w:sz w:val="32"/>
          <w:szCs w:val="32"/>
          <w:highlight w:val="none"/>
        </w:rPr>
        <w:t>事项</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起，</w:t>
      </w:r>
      <w:r>
        <w:rPr>
          <w:rFonts w:hint="default" w:ascii="Times New Roman" w:hAnsi="Times New Roman" w:eastAsia="仿宋_GB2312" w:cs="Times New Roman"/>
          <w:sz w:val="32"/>
          <w:szCs w:val="32"/>
          <w:highlight w:val="none"/>
          <w:lang w:eastAsia="zh-CN"/>
        </w:rPr>
        <w:t>办结诉求件</w:t>
      </w:r>
      <w:r>
        <w:rPr>
          <w:rFonts w:hint="default" w:ascii="Times New Roman" w:hAnsi="Times New Roman" w:eastAsia="仿宋_GB2312" w:cs="Times New Roman"/>
          <w:sz w:val="32"/>
          <w:szCs w:val="32"/>
          <w:highlight w:val="none"/>
          <w:lang w:val="en-US" w:eastAsia="zh-CN"/>
        </w:rPr>
        <w:t>61</w:t>
      </w:r>
      <w:r>
        <w:rPr>
          <w:rFonts w:hint="default" w:ascii="Times New Roman" w:hAnsi="Times New Roman" w:eastAsia="仿宋_GB2312" w:cs="Times New Roman"/>
          <w:sz w:val="32"/>
          <w:szCs w:val="32"/>
          <w:highlight w:val="none"/>
          <w:lang w:eastAsia="zh-CN"/>
        </w:rPr>
        <w:t>件，</w:t>
      </w:r>
      <w:r>
        <w:rPr>
          <w:rFonts w:hint="default" w:ascii="Times New Roman" w:hAnsi="Times New Roman" w:eastAsia="仿宋_GB2312" w:cs="Times New Roman"/>
          <w:sz w:val="32"/>
          <w:szCs w:val="32"/>
          <w:lang w:eastAsia="zh-CN"/>
        </w:rPr>
        <w:t>有效化解矛盾、提升服务质效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深入</w:t>
      </w:r>
      <w:r>
        <w:rPr>
          <w:rFonts w:hint="default" w:ascii="Times New Roman" w:hAnsi="Times New Roman" w:eastAsia="仿宋_GB2312" w:cs="Times New Roman"/>
          <w:sz w:val="32"/>
          <w:szCs w:val="32"/>
          <w:lang w:val="en-US" w:eastAsia="zh-CN"/>
        </w:rPr>
        <w:t>贯彻落实行政执法专项治理工作，通过自查自纠，使</w:t>
      </w:r>
      <w:r>
        <w:rPr>
          <w:rFonts w:hint="default" w:ascii="Times New Roman" w:hAnsi="Times New Roman" w:eastAsia="仿宋_GB2312" w:cs="Times New Roman"/>
          <w:sz w:val="32"/>
          <w:szCs w:val="32"/>
        </w:rPr>
        <w:t>行政执法行为更加规范、执法程序更加透明、执法监督更加有力</w:t>
      </w:r>
      <w:r>
        <w:rPr>
          <w:rFonts w:hint="default" w:ascii="Times New Roman" w:hAnsi="Times New Roman" w:eastAsia="仿宋_GB2312" w:cs="Times New Roman"/>
          <w:sz w:val="32"/>
          <w:szCs w:val="32"/>
          <w:lang w:eastAsia="zh-CN"/>
        </w:rPr>
        <w:t>。</w:t>
      </w:r>
    </w:p>
    <w:p w14:paraId="234D97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（六）深化普法宣传，培育尊法学法守法氛围</w:t>
      </w:r>
    </w:p>
    <w:p w14:paraId="0DA85A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rPr>
      </w:pPr>
      <w:r>
        <w:rPr>
          <w:rFonts w:hint="default" w:ascii="Times New Roman" w:hAnsi="Times New Roman" w:eastAsia="仿宋_GB2312" w:cs="Times New Roman"/>
          <w:sz w:val="32"/>
          <w:szCs w:val="32"/>
        </w:rPr>
        <w:t>做好“八五”普法规划贯彻实施情况总结验收，总结“八五”普法以来经验做法，深入查找问题和不足，确保规划各项目标任务落实到位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聚焦重点法律法规，以</w:t>
      </w:r>
      <w:r>
        <w:rPr>
          <w:rFonts w:hint="default" w:ascii="Times New Roman" w:hAnsi="Times New Roman" w:eastAsia="仿宋_GB2312" w:cs="Times New Roman"/>
          <w:kern w:val="2"/>
          <w:sz w:val="32"/>
          <w:szCs w:val="32"/>
          <w:lang w:val="en-US" w:eastAsia="zh-CN"/>
        </w:rPr>
        <w:t>“全民国家安全教育日”“</w:t>
      </w:r>
      <w:r>
        <w:rPr>
          <w:rFonts w:hint="eastAsia" w:ascii="Times New Roman" w:hAnsi="Times New Roman" w:eastAsia="仿宋_GB2312" w:cs="Times New Roman"/>
          <w:kern w:val="2"/>
          <w:sz w:val="32"/>
          <w:szCs w:val="32"/>
          <w:lang w:val="en-US" w:eastAsia="zh-CN"/>
        </w:rPr>
        <w:t>公平竞争政策宣传周</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sz w:val="32"/>
          <w:szCs w:val="32"/>
          <w:lang w:val="en-US" w:eastAsia="zh-CN"/>
        </w:rPr>
        <w:t>国家宪法日”等重要节点</w:t>
      </w:r>
      <w:r>
        <w:rPr>
          <w:rFonts w:hint="default" w:ascii="Times New Roman" w:hAnsi="Times New Roman" w:eastAsia="仿宋_GB2312" w:cs="Times New Roman"/>
          <w:sz w:val="32"/>
          <w:szCs w:val="32"/>
        </w:rPr>
        <w:t>为契机，利用线上线下多种平台，在全局开展形</w:t>
      </w:r>
      <w:r>
        <w:rPr>
          <w:rFonts w:hint="default" w:ascii="Times New Roman" w:hAnsi="Times New Roman" w:eastAsia="仿宋_GB2312" w:cs="Times New Roman"/>
          <w:sz w:val="32"/>
          <w:szCs w:val="32"/>
          <w:highlight w:val="none"/>
        </w:rPr>
        <w:t>式多样的法治宣传活动。加强财政专业法律法规宣传教育，重点学习宣传</w:t>
      </w:r>
      <w:r>
        <w:rPr>
          <w:rFonts w:hint="default" w:ascii="Times New Roman" w:hAnsi="Times New Roman" w:eastAsia="仿宋_GB2312" w:cs="Times New Roman"/>
          <w:sz w:val="32"/>
          <w:szCs w:val="32"/>
          <w:highlight w:val="none"/>
          <w:lang w:eastAsia="zh-CN"/>
        </w:rPr>
        <w:t>《中华人民共和国预算法》</w:t>
      </w:r>
      <w:r>
        <w:rPr>
          <w:rFonts w:hint="default" w:ascii="Times New Roman" w:hAnsi="Times New Roman" w:eastAsia="仿宋_GB2312" w:cs="Times New Roman"/>
          <w:sz w:val="32"/>
          <w:szCs w:val="32"/>
          <w:highlight w:val="none"/>
        </w:rPr>
        <w:t>及实施条例、</w:t>
      </w:r>
      <w:r>
        <w:rPr>
          <w:rFonts w:hint="default" w:ascii="Times New Roman" w:hAnsi="Times New Roman" w:eastAsia="仿宋_GB2312" w:cs="Times New Roman"/>
          <w:sz w:val="32"/>
          <w:szCs w:val="32"/>
          <w:highlight w:val="none"/>
          <w:lang w:eastAsia="zh-CN"/>
        </w:rPr>
        <w:t>《中华人民共和国会计法》</w:t>
      </w:r>
      <w:r>
        <w:rPr>
          <w:rFonts w:hint="default" w:ascii="Times New Roman" w:hAnsi="Times New Roman" w:eastAsia="仿宋_GB2312" w:cs="Times New Roman"/>
          <w:sz w:val="32"/>
          <w:szCs w:val="32"/>
          <w:highlight w:val="none"/>
        </w:rPr>
        <w:t>，举办“以训赋能强本领 聚力实干促提升”专题培训，提升干部</w:t>
      </w:r>
      <w:r>
        <w:rPr>
          <w:rFonts w:hint="default" w:ascii="Times New Roman" w:hAnsi="Times New Roman" w:eastAsia="仿宋_GB2312" w:cs="Times New Roman"/>
          <w:sz w:val="32"/>
          <w:szCs w:val="32"/>
        </w:rPr>
        <w:t>依法理财能力。</w:t>
      </w:r>
      <w:r>
        <w:rPr>
          <w:rFonts w:hint="default" w:ascii="Times New Roman" w:hAnsi="Times New Roman" w:eastAsia="仿宋_GB2312" w:cs="Times New Roman"/>
          <w:b w:val="0"/>
          <w:bCs w:val="0"/>
          <w:kern w:val="2"/>
          <w:sz w:val="32"/>
          <w:szCs w:val="32"/>
          <w:lang w:val="en-US" w:eastAsia="zh-CN"/>
        </w:rPr>
        <w:t>选聘“反诈宣传大使”，并建立反诈宣传队伍，拍摄反诈宣传短片《防范于心 反诈于行》，通过生动的情景演绎和案例讲解，展现财政队伍的反诈责任担当。积极参与市财政法治文化作品征集，报送小视频和书法作品以及“采之有道·法之有循”普法品牌，荣获市局一、三等奖。</w:t>
      </w:r>
    </w:p>
    <w:p w14:paraId="1AFEDD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2025</w:t>
      </w:r>
      <w:r>
        <w:rPr>
          <w:rFonts w:hint="default" w:ascii="Times New Roman" w:hAnsi="Times New Roman" w:eastAsia="黑体" w:cs="Times New Roman"/>
          <w:sz w:val="32"/>
          <w:szCs w:val="32"/>
        </w:rPr>
        <w:t>年推进法治政府建设存在的不足和原因</w:t>
      </w:r>
    </w:p>
    <w:p w14:paraId="3807EF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我局法治建设虽取得一定</w:t>
      </w:r>
      <w:r>
        <w:rPr>
          <w:rFonts w:hint="default" w:ascii="Times New Roman" w:hAnsi="Times New Roman" w:eastAsia="仿宋_GB2312" w:cs="Times New Roman"/>
          <w:sz w:val="32"/>
          <w:szCs w:val="32"/>
          <w:lang w:eastAsia="zh-CN"/>
        </w:rPr>
        <w:t>成效</w:t>
      </w:r>
      <w:r>
        <w:rPr>
          <w:rFonts w:hint="default" w:ascii="Times New Roman" w:hAnsi="Times New Roman" w:eastAsia="仿宋_GB2312" w:cs="Times New Roman"/>
          <w:sz w:val="32"/>
          <w:szCs w:val="32"/>
        </w:rPr>
        <w:t>，但对照新时代法治政府建设的高标准、严要求，仍存在以下薄弱环节：</w:t>
      </w:r>
    </w:p>
    <w:p w14:paraId="098AD4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一是法治队伍建设有待加强，法律专业人才短缺，制约着法治建设水平的提升，需要集聚本单位法律专业人员，进一步发挥法治队伍职能作用。</w:t>
      </w:r>
    </w:p>
    <w:p w14:paraId="16C59F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普法工作创新力度有待加强。平时虽然注重普法宣传，但主要通过开会、播放普法宣传片、</w:t>
      </w:r>
      <w:r>
        <w:rPr>
          <w:rFonts w:hint="default" w:ascii="Times New Roman" w:hAnsi="Times New Roman" w:eastAsia="仿宋_GB2312" w:cs="Times New Roman"/>
          <w:sz w:val="32"/>
          <w:szCs w:val="32"/>
          <w:lang w:eastAsia="zh-CN"/>
        </w:rPr>
        <w:t>张贴海报</w:t>
      </w:r>
      <w:r>
        <w:rPr>
          <w:rFonts w:hint="default" w:ascii="Times New Roman" w:hAnsi="Times New Roman" w:eastAsia="仿宋_GB2312" w:cs="Times New Roman"/>
          <w:sz w:val="32"/>
          <w:szCs w:val="32"/>
        </w:rPr>
        <w:t>等传统方式进行普法，但近年来随着财政相关法律法规的制定、修改频繁，对法治政府建设提出了更高要求，干部职工等缺乏系统、有效培训，普法工作创新力度有待加强，法治意识有待进一步提高。</w:t>
      </w:r>
    </w:p>
    <w:p w14:paraId="747C13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三是</w:t>
      </w:r>
      <w:r>
        <w:rPr>
          <w:rFonts w:hint="default" w:ascii="Times New Roman" w:hAnsi="Times New Roman" w:eastAsia="仿宋_GB2312" w:cs="Times New Roman"/>
          <w:sz w:val="32"/>
          <w:szCs w:val="32"/>
        </w:rPr>
        <w:t>运用法治思维和法治方式深化改革、推动发展、化解矛盾、维护稳定的能力有待提高。财会监督在推进法治建设方面的力度还不够，财会监督</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结果运用、警示教育作用等方面未全面发挥</w:t>
      </w:r>
      <w:r>
        <w:rPr>
          <w:rFonts w:hint="default" w:ascii="Times New Roman" w:hAnsi="Times New Roman" w:eastAsia="仿宋_GB2312" w:cs="Times New Roman"/>
          <w:sz w:val="32"/>
          <w:szCs w:val="32"/>
          <w:lang w:eastAsia="zh-CN"/>
        </w:rPr>
        <w:t>作用</w:t>
      </w:r>
      <w:r>
        <w:rPr>
          <w:rFonts w:hint="default" w:ascii="Times New Roman" w:hAnsi="Times New Roman" w:eastAsia="仿宋_GB2312" w:cs="Times New Roman"/>
          <w:sz w:val="32"/>
          <w:szCs w:val="32"/>
        </w:rPr>
        <w:t>。</w:t>
      </w:r>
    </w:p>
    <w:p w14:paraId="33EA4E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val="en-US" w:eastAsia="zh-CN"/>
        </w:rPr>
        <w:t>2025</w:t>
      </w:r>
      <w:r>
        <w:rPr>
          <w:rFonts w:hint="default" w:ascii="Times New Roman" w:hAnsi="Times New Roman" w:eastAsia="黑体" w:cs="Times New Roman"/>
          <w:sz w:val="32"/>
          <w:szCs w:val="32"/>
        </w:rPr>
        <w:t>年党政主要负责人履行推进法治建设第一责任人职责，加强法治政府建设的有关情况</w:t>
      </w:r>
    </w:p>
    <w:p w14:paraId="5769D3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局党政主要负责人切实履行推进法治建设第一责任人职责，将法治财政建设摆在全局工作突出位置。</w:t>
      </w:r>
    </w:p>
    <w:p w14:paraId="641101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一是强化政治引领，带头深入学习贯彻习近平法治思想，</w:t>
      </w:r>
      <w:r>
        <w:rPr>
          <w:rFonts w:hint="default" w:ascii="Times New Roman" w:hAnsi="Times New Roman" w:eastAsia="仿宋_GB2312" w:cs="Times New Roman"/>
          <w:sz w:val="32"/>
          <w:szCs w:val="32"/>
          <w:lang w:eastAsia="zh-CN"/>
        </w:rPr>
        <w:t>始终把</w:t>
      </w:r>
      <w:r>
        <w:rPr>
          <w:rFonts w:hint="default" w:ascii="Times New Roman" w:hAnsi="Times New Roman" w:eastAsia="仿宋_GB2312" w:cs="Times New Roman"/>
          <w:sz w:val="32"/>
          <w:szCs w:val="32"/>
        </w:rPr>
        <w:t>党的领导与法治原则贯穿财政政策</w:t>
      </w:r>
      <w:r>
        <w:rPr>
          <w:rFonts w:hint="default" w:ascii="Times New Roman" w:hAnsi="Times New Roman" w:eastAsia="仿宋_GB2312" w:cs="Times New Roman"/>
          <w:sz w:val="32"/>
          <w:szCs w:val="32"/>
          <w:lang w:eastAsia="zh-CN"/>
        </w:rPr>
        <w:t>制定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预算管理和风险防控全过程，确保方向正确。</w:t>
      </w:r>
    </w:p>
    <w:p w14:paraId="080CF8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w:t>
      </w:r>
      <w:r>
        <w:rPr>
          <w:rFonts w:hint="default" w:ascii="Times New Roman" w:hAnsi="Times New Roman" w:eastAsia="仿宋_GB2312" w:cs="Times New Roman"/>
          <w:sz w:val="32"/>
          <w:szCs w:val="32"/>
          <w:lang w:eastAsia="zh-CN"/>
        </w:rPr>
        <w:t>规范决策运行，</w:t>
      </w:r>
      <w:r>
        <w:rPr>
          <w:rFonts w:hint="default" w:ascii="Times New Roman" w:hAnsi="Times New Roman" w:eastAsia="仿宋_GB2312" w:cs="Times New Roman"/>
          <w:sz w:val="32"/>
          <w:szCs w:val="32"/>
        </w:rPr>
        <w:t>认真贯彻民主集中制原则，注重运用法治思维和法治方式开展工作，切实做到</w:t>
      </w:r>
      <w:r>
        <w:rPr>
          <w:rFonts w:hint="eastAsia" w:ascii="Times New Roman" w:hAnsi="Times New Roman" w:eastAsia="仿宋_GB2312" w:cs="Times New Roman"/>
          <w:sz w:val="32"/>
          <w:szCs w:val="32"/>
          <w:lang w:eastAsia="zh-CN"/>
        </w:rPr>
        <w:t>科学决策、民主决策、依法决策</w:t>
      </w:r>
      <w:r>
        <w:rPr>
          <w:rFonts w:hint="default" w:ascii="Times New Roman" w:hAnsi="Times New Roman" w:eastAsia="仿宋_GB2312" w:cs="Times New Roman"/>
          <w:sz w:val="32"/>
          <w:szCs w:val="32"/>
        </w:rPr>
        <w:t>，严格落实 “三重一大”集体决策和“一把手”末位表态制，行政决策均经过集体讨论决定。</w:t>
      </w:r>
    </w:p>
    <w:p w14:paraId="736183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发挥头雁效应，带头尊崇法治、厉行法治，构建“主要领导统筹、全员共同参与、制度有力保障、责任清晰明确”的财政普法与依法治理工作格局。严格落实“谁执法谁普法”责任制，组织开展常态化学法普法活动，着力提升财政队伍整体法治素养。</w:t>
      </w:r>
    </w:p>
    <w:p w14:paraId="37830B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年推进法治政府建设的主要安排</w:t>
      </w:r>
    </w:p>
    <w:p w14:paraId="429474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锚定政治方向，深学笃行习近平法治思想</w:t>
      </w:r>
      <w:bookmarkStart w:id="0" w:name="_GoBack"/>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以习近平新时代中国特色社会主义思想为根本遵循</w:t>
      </w:r>
      <w:r>
        <w:rPr>
          <w:rFonts w:hint="default" w:ascii="Times New Roman" w:hAnsi="Times New Roman" w:eastAsia="仿宋_GB2312" w:cs="Times New Roman"/>
          <w:sz w:val="32"/>
          <w:szCs w:val="32"/>
        </w:rPr>
        <w:t>，将习近平法</w:t>
      </w:r>
      <w:bookmarkEnd w:id="0"/>
      <w:r>
        <w:rPr>
          <w:rFonts w:hint="default" w:ascii="Times New Roman" w:hAnsi="Times New Roman" w:eastAsia="仿宋_GB2312" w:cs="Times New Roman"/>
          <w:sz w:val="32"/>
          <w:szCs w:val="32"/>
        </w:rPr>
        <w:t>治思想作为长期政治任务，通过中心组专题学、支部研讨学悟透要义。树牢“法治为基”理念，把政治方向贯穿财政全流程，以法治思维完善财政治理体系、推动治理能力现代化，确保财政法治建设不偏航。</w:t>
      </w:r>
    </w:p>
    <w:p w14:paraId="6C58CA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二是紧扣核心职能，依法规范履行财政管理职责。</w:t>
      </w:r>
      <w:r>
        <w:rPr>
          <w:rFonts w:hint="default" w:ascii="Times New Roman" w:hAnsi="Times New Roman" w:eastAsia="仿宋_GB2312" w:cs="Times New Roman"/>
          <w:sz w:val="32"/>
          <w:szCs w:val="32"/>
        </w:rPr>
        <w:t>实施更加积极的财政政策，适度加力、提质增效。加强财政资源统筹，组合使用政策工具，放大政策组合效应，强化重点领域资金和政策支持，推进财政管理法治化、科学化、规范化，把同样的钱花出更大成效，持续推动经济实现质的有效提升和量的合理增长。</w:t>
      </w:r>
    </w:p>
    <w:p w14:paraId="69347D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三是</w:t>
      </w:r>
      <w:r>
        <w:rPr>
          <w:rFonts w:hint="default" w:ascii="Times New Roman" w:hAnsi="Times New Roman" w:eastAsia="仿宋_GB2312" w:cs="Times New Roman"/>
          <w:sz w:val="32"/>
          <w:szCs w:val="32"/>
        </w:rPr>
        <w:t>夯实法治根基，扎实推进财政普法工作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五”普法</w:t>
      </w:r>
      <w:r>
        <w:rPr>
          <w:rFonts w:hint="default" w:ascii="Times New Roman" w:hAnsi="Times New Roman" w:eastAsia="仿宋_GB2312" w:cs="Times New Roman"/>
          <w:sz w:val="32"/>
          <w:szCs w:val="32"/>
          <w:lang w:eastAsia="zh-CN"/>
        </w:rPr>
        <w:t>为契机打开普法新篇章</w:t>
      </w:r>
      <w:r>
        <w:rPr>
          <w:rFonts w:hint="default" w:ascii="Times New Roman" w:hAnsi="Times New Roman" w:eastAsia="仿宋_GB2312" w:cs="Times New Roman"/>
          <w:sz w:val="32"/>
          <w:szCs w:val="32"/>
        </w:rPr>
        <w:t>，深入学习宣传贯彻习近平法治思想，做好财政法治培训工作，推动习近平法治思想入脑入心，带动财政干部模范践行。贯彻“谁执法谁普法、谁主管谁普法、谁服务谁普法”普法责任制，积极创新普法方式，持续开展财政法律法规与其他重要法律的宣传解读，推进有效普法。</w:t>
      </w:r>
    </w:p>
    <w:p w14:paraId="414677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alibri Light">
    <w:altName w:val="Arial Rounded MT Bold"/>
    <w:panose1 w:val="020F0302020204030204"/>
    <w:charset w:val="00"/>
    <w:family w:val="auto"/>
    <w:pitch w:val="default"/>
    <w:sig w:usb0="E4002EFF" w:usb1="C200247B" w:usb2="00000009" w:usb3="00000000" w:csb0="200001F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68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529D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pCcj7RAQAApQMAAA4AAAAAAAAAAQAgAAAAHgEAAGRy&#10;cy9lMm9Eb2MueG1sUEsFBgAAAAAGAAYAWQEAAGEFAAAAAA==&#10;">
              <v:fill on="f" focussize="0,0"/>
              <v:stroke on="f"/>
              <v:imagedata o:title=""/>
              <o:lock v:ext="edit" aspectratio="f"/>
              <v:textbox inset="0mm,0mm,0mm,0mm" style="mso-fit-shape-to-text:t;">
                <w:txbxContent>
                  <w:p w14:paraId="6AB529D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E9A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C37C16"/>
    <w:rsid w:val="03271B39"/>
    <w:rsid w:val="04B32944"/>
    <w:rsid w:val="07CD3E5B"/>
    <w:rsid w:val="0C537AC8"/>
    <w:rsid w:val="14DD4BC8"/>
    <w:rsid w:val="171B5478"/>
    <w:rsid w:val="1FF705A8"/>
    <w:rsid w:val="25C01E7E"/>
    <w:rsid w:val="286655D5"/>
    <w:rsid w:val="28D935F0"/>
    <w:rsid w:val="2B3A767C"/>
    <w:rsid w:val="33953C2E"/>
    <w:rsid w:val="364764DE"/>
    <w:rsid w:val="3CD73D60"/>
    <w:rsid w:val="3EFEFF50"/>
    <w:rsid w:val="40E47D03"/>
    <w:rsid w:val="43B91DAA"/>
    <w:rsid w:val="44BB4E50"/>
    <w:rsid w:val="45B06662"/>
    <w:rsid w:val="4DA60CF0"/>
    <w:rsid w:val="4F084416"/>
    <w:rsid w:val="51513CF5"/>
    <w:rsid w:val="58624CE7"/>
    <w:rsid w:val="610466BA"/>
    <w:rsid w:val="68D07B85"/>
    <w:rsid w:val="6B5A17AD"/>
    <w:rsid w:val="6E79612D"/>
    <w:rsid w:val="722D62E3"/>
    <w:rsid w:val="76847FD6"/>
    <w:rsid w:val="77C86594"/>
    <w:rsid w:val="7AAAAD1C"/>
    <w:rsid w:val="7B02475C"/>
    <w:rsid w:val="7B615DFB"/>
    <w:rsid w:val="7C0F1417"/>
    <w:rsid w:val="7D284C30"/>
    <w:rsid w:val="7D391DFD"/>
    <w:rsid w:val="7F70BF24"/>
    <w:rsid w:val="8F532D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semiHidden="0"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12">
    <w:name w:val="Default Paragraph Font"/>
    <w:link w:val="13"/>
    <w:unhideWhenUsed/>
    <w:uiPriority w:val="0"/>
    <w:rPr>
      <w:rFonts w:ascii="Tahoma" w:hAnsi="Tahoma"/>
      <w:sz w:val="24"/>
    </w:rPr>
  </w:style>
  <w:style w:type="table" w:default="1" w:styleId="11">
    <w:name w:val="Normal Table"/>
    <w:unhideWhenUsed/>
    <w:uiPriority w:val="99"/>
    <w:tblPr>
      <w:tblStyle w:val="11"/>
      <w:tblCellMar>
        <w:top w:w="0" w:type="dxa"/>
        <w:left w:w="108" w:type="dxa"/>
        <w:bottom w:w="0" w:type="dxa"/>
        <w:right w:w="108" w:type="dxa"/>
      </w:tblCellMar>
    </w:tblPr>
  </w:style>
  <w:style w:type="paragraph" w:styleId="2">
    <w:name w:val="Document Map"/>
    <w:basedOn w:val="1"/>
    <w:unhideWhenUsed/>
    <w:uiPriority w:val="99"/>
    <w:pPr>
      <w:shd w:val="clear" w:color="auto" w:fill="000080"/>
    </w:pPr>
  </w:style>
  <w:style w:type="paragraph" w:styleId="3">
    <w:name w:val="Body Text Indent"/>
    <w:basedOn w:val="1"/>
    <w:next w:val="4"/>
    <w:unhideWhenUsed/>
    <w:uiPriority w:val="99"/>
    <w:pPr>
      <w:ind w:right="-171" w:rightChars="-171" w:firstLine="660"/>
    </w:pPr>
    <w:rPr>
      <w:rFonts w:ascii="宋体"/>
      <w:sz w:val="32"/>
    </w:rPr>
  </w:style>
  <w:style w:type="paragraph" w:styleId="4">
    <w:name w:val="envelope return"/>
    <w:basedOn w:val="1"/>
    <w:unhideWhenUsed/>
    <w:uiPriority w:val="99"/>
    <w:pPr>
      <w:snapToGrid w:val="0"/>
    </w:pPr>
  </w:style>
  <w:style w:type="paragraph" w:styleId="5">
    <w:name w:val="Plain Text"/>
    <w:basedOn w:val="1"/>
    <w:next w:val="1"/>
    <w:unhideWhenUsed/>
    <w:uiPriority w:val="99"/>
    <w:rPr>
      <w:rFonts w:ascii="宋体" w:hAnsi="Courier New"/>
    </w:rPr>
  </w:style>
  <w:style w:type="paragraph" w:styleId="6">
    <w:name w:val="footer"/>
    <w:basedOn w:val="1"/>
    <w:unhideWhenUsed/>
    <w:uiPriority w:val="0"/>
    <w:pPr>
      <w:tabs>
        <w:tab w:val="center" w:pos="4153"/>
        <w:tab w:val="right" w:pos="8306"/>
      </w:tabs>
      <w:snapToGrid w:val="0"/>
      <w:jc w:val="left"/>
    </w:pPr>
    <w:rPr>
      <w:sz w:val="18"/>
    </w:rPr>
  </w:style>
  <w:style w:type="paragraph" w:styleId="7">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nhideWhenUsed/>
    <w:uiPriority w:val="99"/>
    <w:rPr>
      <w:sz w:val="24"/>
    </w:rPr>
  </w:style>
  <w:style w:type="paragraph" w:styleId="9">
    <w:name w:val="Title"/>
    <w:basedOn w:val="1"/>
    <w:next w:val="1"/>
    <w:qFormat/>
    <w:uiPriority w:val="10"/>
    <w:pPr>
      <w:spacing w:before="240" w:after="60"/>
      <w:jc w:val="center"/>
      <w:outlineLvl w:val="0"/>
    </w:pPr>
    <w:rPr>
      <w:rFonts w:ascii="Calibri Light" w:hAnsi="Calibri Light"/>
      <w:b/>
      <w:bCs/>
    </w:rPr>
  </w:style>
  <w:style w:type="paragraph" w:styleId="10">
    <w:name w:val="Body Text First Indent 2"/>
    <w:next w:val="1"/>
    <w:unhideWhenUsed/>
    <w:uiPriority w:val="99"/>
    <w:pPr>
      <w:ind w:firstLine="420" w:firstLineChars="200"/>
    </w:pPr>
    <w:rPr>
      <w:rFonts w:ascii="Times New Roman" w:hAnsi="Times New Roman"/>
      <w:sz w:val="21"/>
      <w:szCs w:val="22"/>
    </w:rPr>
  </w:style>
  <w:style w:type="paragraph" w:customStyle="1" w:styleId="13">
    <w:name w:val="Char Char2 Char Char Char Char"/>
    <w:basedOn w:val="2"/>
    <w:link w:val="12"/>
    <w:uiPriority w:val="0"/>
    <w:pPr>
      <w:spacing w:line="436" w:lineRule="exact"/>
    </w:pPr>
    <w:rPr>
      <w:rFonts w:ascii="Tahoma" w:hAnsi="Tahoma"/>
      <w:sz w:val="24"/>
    </w:rPr>
  </w:style>
  <w:style w:type="character" w:styleId="14">
    <w:name w:val="Strong"/>
    <w:basedOn w:val="12"/>
    <w:qFormat/>
    <w:uiPriority w:val="22"/>
    <w:rPr>
      <w:b/>
    </w:rPr>
  </w:style>
  <w:style w:type="character" w:styleId="15">
    <w:name w:val="page number"/>
    <w:basedOn w:val="12"/>
    <w:unhideWhenUsed/>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Pages>
  <Words>3514</Words>
  <Characters>3552</Characters>
  <Lines>1</Lines>
  <Paragraphs>1</Paragraphs>
  <TotalTime>63.6666666666667</TotalTime>
  <ScaleCrop>false</ScaleCrop>
  <LinksUpToDate>false</LinksUpToDate>
  <CharactersWithSpaces>3556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2008-12-27T08:45:00Z</dcterms:created>
  <dc:creator>geshu</dc:creator>
  <cp:lastModifiedBy>user</cp:lastModifiedBy>
  <dcterms:modified xsi:type="dcterms:W3CDTF">2026-03-20T09:49:18Z</dcterms:modified>
  <dc:title>东城区财政局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6F1BE3ACDE5962619EA7BC69FC4DFEAE_43</vt:lpwstr>
  </property>
  <property fmtid="{D5CDD505-2E9C-101B-9397-08002B2CF9AE}" pid="4" name="KSOTemplateDocerSaveRecord">
    <vt:lpwstr>eyJoZGlkIjoiMGU3M2U2NzEwNTZmNTk2Mjk1MjBlYzY0MTM1MzM0YTUiLCJ1c2VySWQiOiI2Mzc1MDI3OTEifQ==</vt:lpwstr>
  </property>
</Properties>
</file>