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CB5A4">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highlight w:val="none"/>
          <w:lang w:eastAsia="zh-CN"/>
        </w:rPr>
      </w:pPr>
      <w:r>
        <w:rPr>
          <w:rFonts w:hint="default" w:ascii="Times New Roman" w:hAnsi="Times New Roman" w:eastAsia="方正小标宋简体" w:cs="Times New Roman"/>
          <w:sz w:val="44"/>
          <w:szCs w:val="44"/>
          <w:highlight w:val="none"/>
          <w:lang w:eastAsia="zh-CN"/>
        </w:rPr>
        <w:t>北京市东城区住房和城市建设委员会</w:t>
      </w:r>
    </w:p>
    <w:p w14:paraId="0BFE8089">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lang w:val="en-US" w:eastAsia="zh-CN"/>
        </w:rPr>
        <w:t>2025</w:t>
      </w:r>
      <w:r>
        <w:rPr>
          <w:rFonts w:hint="default" w:ascii="Times New Roman" w:hAnsi="Times New Roman" w:eastAsia="方正小标宋简体" w:cs="Times New Roman"/>
          <w:sz w:val="44"/>
          <w:szCs w:val="44"/>
          <w:highlight w:val="none"/>
          <w:lang w:val="en-US" w:eastAsia="zh-CN"/>
        </w:rPr>
        <w:t>年</w:t>
      </w:r>
      <w:r>
        <w:rPr>
          <w:rFonts w:hint="default" w:ascii="Times New Roman" w:hAnsi="Times New Roman" w:eastAsia="方正小标宋简体" w:cs="Times New Roman"/>
          <w:sz w:val="44"/>
          <w:szCs w:val="44"/>
          <w:highlight w:val="none"/>
          <w:lang w:eastAsia="zh-CN"/>
        </w:rPr>
        <w:t>法治政府建设年度情况报告</w:t>
      </w:r>
    </w:p>
    <w:p w14:paraId="080B5F4B">
      <w:pPr>
        <w:keepNext/>
        <w:keepLines w:val="0"/>
        <w:pageBreakBefore w:val="0"/>
        <w:widowControl w:val="0"/>
        <w:suppressLineNumbers w:val="0"/>
        <w:pBdr>
          <w:bottom w:val="single" w:color="FFFFFF" w:sz="4" w:space="31"/>
        </w:pBdr>
        <w:kinsoku/>
        <w:wordWrap/>
        <w:overflowPunct/>
        <w:topLinePunct w:val="0"/>
        <w:autoSpaceDE/>
        <w:autoSpaceDN/>
        <w:bidi w:val="0"/>
        <w:adjustRightInd/>
        <w:snapToGrid w:val="0"/>
        <w:spacing w:line="560" w:lineRule="exact"/>
        <w:ind w:firstLine="640" w:firstLineChars="200"/>
        <w:jc w:val="both"/>
        <w:textAlignment w:val="baseline"/>
        <w:outlineLvl w:val="9"/>
        <w:rPr>
          <w:rFonts w:hint="default" w:ascii="Times New Roman" w:hAnsi="Times New Roman" w:eastAsia="楷体_GB2312" w:cs="Times New Roman"/>
          <w:sz w:val="32"/>
          <w:szCs w:val="32"/>
          <w:lang w:val="en-US" w:eastAsia="zh-CN"/>
        </w:rPr>
      </w:pPr>
    </w:p>
    <w:p w14:paraId="4851D8E3">
      <w:pPr>
        <w:keepNext/>
        <w:keepLines w:val="0"/>
        <w:pageBreakBefore w:val="0"/>
        <w:widowControl w:val="0"/>
        <w:suppressLineNumbers w:val="0"/>
        <w:pBdr>
          <w:bottom w:val="single" w:color="FFFFFF" w:sz="4" w:space="31"/>
        </w:pBdr>
        <w:kinsoku/>
        <w:wordWrap/>
        <w:overflowPunct/>
        <w:topLinePunct w:val="0"/>
        <w:autoSpaceDE/>
        <w:autoSpaceDN/>
        <w:bidi w:val="0"/>
        <w:adjustRightInd/>
        <w:snapToGrid w:val="0"/>
        <w:spacing w:line="560" w:lineRule="exact"/>
        <w:ind w:firstLine="640" w:firstLineChars="200"/>
        <w:jc w:val="both"/>
        <w:textAlignment w:val="baseline"/>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sz w:val="32"/>
          <w:szCs w:val="32"/>
          <w:lang w:val="en-US" w:eastAsia="zh-CN"/>
        </w:rPr>
        <w:t>2025</w:t>
      </w:r>
      <w:r>
        <w:rPr>
          <w:rFonts w:hint="default" w:ascii="Times New Roman" w:hAnsi="Times New Roman" w:eastAsia="仿宋_GB2312" w:cs="Times New Roman"/>
          <w:sz w:val="32"/>
          <w:szCs w:val="32"/>
          <w:highlight w:val="none"/>
          <w:lang w:val="en-US" w:eastAsia="zh-CN"/>
        </w:rPr>
        <w:t>年，东城区住房和城市建设委员会</w:t>
      </w:r>
      <w:r>
        <w:rPr>
          <w:rFonts w:hint="default" w:ascii="Times New Roman" w:hAnsi="Times New Roman" w:eastAsia="仿宋_GB2312" w:cs="Times New Roman"/>
          <w:sz w:val="32"/>
          <w:szCs w:val="32"/>
          <w:highlight w:val="none"/>
          <w:lang w:eastAsia="zh-CN"/>
        </w:rPr>
        <w:t>坚持</w:t>
      </w:r>
      <w:r>
        <w:rPr>
          <w:rFonts w:hint="default" w:ascii="Times New Roman" w:hAnsi="Times New Roman" w:eastAsia="仿宋_GB2312" w:cs="Times New Roman"/>
          <w:color w:val="auto"/>
          <w:sz w:val="32"/>
          <w:szCs w:val="32"/>
          <w:highlight w:val="none"/>
          <w:lang w:val="en-US" w:eastAsia="zh-CN"/>
        </w:rPr>
        <w:t>以习近平新时代中国特色社会主义思想为指导，深入学习贯彻党的二十大和二十届二中、三中、四中全会精神，</w:t>
      </w:r>
      <w:r>
        <w:rPr>
          <w:rFonts w:hint="default" w:ascii="Times New Roman" w:hAnsi="Times New Roman" w:eastAsia="仿宋_GB2312" w:cs="Times New Roman"/>
          <w:sz w:val="32"/>
          <w:szCs w:val="32"/>
          <w:highlight w:val="none"/>
          <w:lang w:eastAsia="zh-CN"/>
        </w:rPr>
        <w:t>深入学习贯彻习近平法治思想，</w:t>
      </w:r>
      <w:r>
        <w:rPr>
          <w:rFonts w:hint="default" w:ascii="Times New Roman" w:hAnsi="Times New Roman" w:eastAsia="仿宋_GB2312" w:cs="Times New Roman"/>
          <w:sz w:val="32"/>
          <w:szCs w:val="32"/>
          <w:highlight w:val="none"/>
        </w:rPr>
        <w:t>认真落实党中央、国务院</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市委</w:t>
      </w:r>
      <w:r>
        <w:rPr>
          <w:rFonts w:hint="default" w:ascii="Times New Roman" w:hAnsi="Times New Roman" w:eastAsia="仿宋_GB2312" w:cs="Times New Roman"/>
          <w:sz w:val="32"/>
          <w:szCs w:val="32"/>
          <w:highlight w:val="none"/>
          <w:lang w:eastAsia="zh-CN"/>
        </w:rPr>
        <w:t>市政府和区委区政府</w:t>
      </w:r>
      <w:r>
        <w:rPr>
          <w:rFonts w:hint="default" w:ascii="Times New Roman" w:hAnsi="Times New Roman" w:eastAsia="仿宋_GB2312" w:cs="Times New Roman"/>
          <w:sz w:val="32"/>
          <w:szCs w:val="32"/>
          <w:highlight w:val="none"/>
        </w:rPr>
        <w:t>关于法治政府建设的</w:t>
      </w:r>
      <w:r>
        <w:rPr>
          <w:rFonts w:hint="default" w:ascii="Times New Roman" w:hAnsi="Times New Roman" w:eastAsia="仿宋_GB2312" w:cs="Times New Roman"/>
          <w:sz w:val="32"/>
          <w:szCs w:val="32"/>
          <w:highlight w:val="none"/>
          <w:lang w:eastAsia="zh-CN"/>
        </w:rPr>
        <w:t>各项决策</w:t>
      </w:r>
      <w:r>
        <w:rPr>
          <w:rFonts w:hint="default" w:ascii="Times New Roman" w:hAnsi="Times New Roman" w:eastAsia="仿宋_GB2312" w:cs="Times New Roman"/>
          <w:sz w:val="32"/>
          <w:szCs w:val="32"/>
          <w:highlight w:val="none"/>
        </w:rPr>
        <w:t>部署，</w:t>
      </w:r>
      <w:r>
        <w:rPr>
          <w:rFonts w:hint="default" w:ascii="Times New Roman" w:hAnsi="Times New Roman" w:eastAsia="仿宋_GB2312" w:cs="Times New Roman"/>
          <w:color w:val="auto"/>
          <w:sz w:val="32"/>
          <w:szCs w:val="32"/>
        </w:rPr>
        <w:t>坚持以新时代首都发展为统领，</w:t>
      </w:r>
      <w:r>
        <w:rPr>
          <w:rFonts w:hint="default" w:ascii="Times New Roman" w:hAnsi="Times New Roman" w:eastAsia="仿宋_GB2312" w:cs="Times New Roman"/>
          <w:color w:val="auto"/>
          <w:sz w:val="32"/>
          <w:szCs w:val="32"/>
          <w:lang w:eastAsia="zh-CN"/>
        </w:rPr>
        <w:t>坚持以首善标准</w:t>
      </w:r>
      <w:r>
        <w:rPr>
          <w:rFonts w:hint="default" w:ascii="Times New Roman" w:hAnsi="Times New Roman" w:eastAsia="仿宋_GB2312" w:cs="Times New Roman"/>
          <w:color w:val="auto"/>
          <w:sz w:val="32"/>
          <w:szCs w:val="32"/>
        </w:rPr>
        <w:t>扎实推进依法行政</w:t>
      </w:r>
      <w:r>
        <w:rPr>
          <w:rFonts w:hint="default" w:ascii="Times New Roman" w:hAnsi="Times New Roman" w:eastAsia="仿宋_GB2312" w:cs="Times New Roman"/>
          <w:color w:val="auto"/>
          <w:sz w:val="32"/>
          <w:szCs w:val="32"/>
          <w:lang w:eastAsia="zh-CN"/>
        </w:rPr>
        <w:t>，坚持在法治轨道上推进政府各项工作，</w:t>
      </w:r>
      <w:r>
        <w:rPr>
          <w:rFonts w:hint="default" w:ascii="Times New Roman" w:hAnsi="Times New Roman" w:eastAsia="仿宋_GB2312" w:cs="Times New Roman"/>
          <w:sz w:val="32"/>
          <w:szCs w:val="32"/>
          <w:highlight w:val="none"/>
          <w:lang w:val="en-US" w:eastAsia="zh-CN"/>
        </w:rPr>
        <w:t>现将全年工作报告如下：</w:t>
      </w:r>
    </w:p>
    <w:p w14:paraId="2871E182">
      <w:pPr>
        <w:keepNext/>
        <w:keepLines w:val="0"/>
        <w:pageBreakBefore w:val="0"/>
        <w:widowControl w:val="0"/>
        <w:suppressLineNumbers w:val="0"/>
        <w:pBdr>
          <w:bottom w:val="single" w:color="FFFFFF" w:sz="4" w:space="31"/>
        </w:pBdr>
        <w:kinsoku/>
        <w:wordWrap/>
        <w:overflowPunct/>
        <w:topLinePunct w:val="0"/>
        <w:autoSpaceDE/>
        <w:autoSpaceDN/>
        <w:bidi w:val="0"/>
        <w:adjustRightInd/>
        <w:snapToGrid w:val="0"/>
        <w:spacing w:line="560" w:lineRule="exact"/>
        <w:ind w:firstLine="640" w:firstLineChars="200"/>
        <w:jc w:val="both"/>
        <w:textAlignment w:val="baseline"/>
        <w:outlineLvl w:val="9"/>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一、</w:t>
      </w:r>
      <w:r>
        <w:rPr>
          <w:rFonts w:hint="default" w:ascii="Times New Roman" w:hAnsi="Times New Roman" w:eastAsia="楷体_GB2312" w:cs="Times New Roman"/>
          <w:sz w:val="32"/>
          <w:szCs w:val="32"/>
          <w:lang w:val="en-US" w:eastAsia="zh-CN"/>
        </w:rPr>
        <w:t>2025</w:t>
      </w:r>
      <w:r>
        <w:rPr>
          <w:rFonts w:hint="default" w:ascii="Times New Roman" w:hAnsi="Times New Roman" w:eastAsia="黑体" w:cs="Times New Roman"/>
          <w:sz w:val="32"/>
          <w:szCs w:val="32"/>
          <w:highlight w:val="none"/>
          <w:lang w:val="en-US" w:eastAsia="zh-CN"/>
        </w:rPr>
        <w:t>年推进法治政府建设的主要举措和成效</w:t>
      </w:r>
    </w:p>
    <w:p w14:paraId="254EDD40">
      <w:pPr>
        <w:keepNext/>
        <w:keepLines w:val="0"/>
        <w:pageBreakBefore w:val="0"/>
        <w:widowControl w:val="0"/>
        <w:suppressLineNumbers w:val="0"/>
        <w:pBdr>
          <w:bottom w:val="single" w:color="FFFFFF" w:sz="4" w:space="31"/>
        </w:pBdr>
        <w:kinsoku/>
        <w:wordWrap/>
        <w:overflowPunct/>
        <w:topLinePunct w:val="0"/>
        <w:autoSpaceDE/>
        <w:autoSpaceDN/>
        <w:bidi w:val="0"/>
        <w:adjustRightInd/>
        <w:snapToGrid w:val="0"/>
        <w:spacing w:line="560" w:lineRule="exact"/>
        <w:ind w:left="0" w:leftChars="0" w:firstLine="640" w:firstLineChars="200"/>
        <w:jc w:val="both"/>
        <w:textAlignment w:val="baseline"/>
        <w:outlineLvl w:val="9"/>
        <w:rPr>
          <w:rFonts w:hint="default" w:ascii="Times New Roman" w:hAnsi="Times New Roman" w:eastAsia="楷体_GB2312" w:cs="Times New Roman"/>
          <w:sz w:val="32"/>
          <w:szCs w:val="32"/>
          <w:highlight w:val="none"/>
          <w:lang w:eastAsia="zh-CN"/>
        </w:rPr>
      </w:pPr>
      <w:r>
        <w:rPr>
          <w:rFonts w:hint="default" w:ascii="Times New Roman" w:hAnsi="Times New Roman" w:eastAsia="楷体_GB2312" w:cs="Times New Roman"/>
          <w:sz w:val="32"/>
          <w:szCs w:val="32"/>
          <w:highlight w:val="none"/>
          <w:lang w:eastAsia="zh-CN"/>
        </w:rPr>
        <w:t>（一）深化学习贯彻习近平法治思想</w:t>
      </w:r>
    </w:p>
    <w:p w14:paraId="3FF03E37">
      <w:pPr>
        <w:keepNext/>
        <w:keepLines w:val="0"/>
        <w:pageBreakBefore w:val="0"/>
        <w:widowControl w:val="0"/>
        <w:suppressLineNumbers w:val="0"/>
        <w:pBdr>
          <w:bottom w:val="single" w:color="FFFFFF" w:sz="4" w:space="31"/>
        </w:pBdr>
        <w:kinsoku/>
        <w:wordWrap/>
        <w:overflowPunct/>
        <w:topLinePunct w:val="0"/>
        <w:autoSpaceDE/>
        <w:autoSpaceDN/>
        <w:bidi w:val="0"/>
        <w:adjustRightInd/>
        <w:snapToGrid w:val="0"/>
        <w:spacing w:line="560" w:lineRule="exact"/>
        <w:ind w:left="0" w:leftChars="0" w:firstLine="640" w:firstLineChars="200"/>
        <w:jc w:val="both"/>
        <w:textAlignment w:val="baseline"/>
        <w:outlineLvl w:val="9"/>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楷体_GB2312" w:cs="Times New Roman"/>
          <w:sz w:val="32"/>
          <w:szCs w:val="32"/>
          <w:lang w:val="en-US" w:eastAsia="zh-CN"/>
        </w:rPr>
        <w:t>1.</w:t>
      </w:r>
      <w:r>
        <w:rPr>
          <w:rFonts w:hint="default" w:ascii="Times New Roman" w:hAnsi="Times New Roman" w:eastAsia="仿宋_GB2312" w:cs="Times New Roman"/>
          <w:b w:val="0"/>
          <w:bCs/>
          <w:sz w:val="32"/>
          <w:szCs w:val="32"/>
          <w:highlight w:val="none"/>
          <w:lang w:val="en-US" w:eastAsia="zh-CN"/>
        </w:rPr>
        <w:t>发挥理论学习中心组示范引领作用</w:t>
      </w:r>
    </w:p>
    <w:p w14:paraId="39DFE408">
      <w:pPr>
        <w:keepNext/>
        <w:keepLines w:val="0"/>
        <w:pageBreakBefore w:val="0"/>
        <w:widowControl w:val="0"/>
        <w:suppressLineNumbers w:val="0"/>
        <w:pBdr>
          <w:bottom w:val="single" w:color="FFFFFF" w:sz="4" w:space="31"/>
        </w:pBdr>
        <w:kinsoku/>
        <w:wordWrap/>
        <w:overflowPunct/>
        <w:topLinePunct w:val="0"/>
        <w:autoSpaceDE/>
        <w:autoSpaceDN/>
        <w:bidi w:val="0"/>
        <w:adjustRightInd/>
        <w:snapToGrid w:val="0"/>
        <w:spacing w:line="560" w:lineRule="exact"/>
        <w:ind w:left="0" w:leftChars="0" w:firstLine="640" w:firstLineChars="200"/>
        <w:jc w:val="both"/>
        <w:textAlignment w:val="baseline"/>
        <w:outlineLvl w:val="9"/>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把习近平法治思想作为重要学习内容，列入理论学习中心组学习计划。通过集中学习形式，重点研读《习近平关于加强党的作风建设论述摘编》《中国共产党纪律处分条例》《中华人民共和国保守国家秘密法》《中国共产党巡视工作条例》等，学习贯穿全年，实现以讲促学，以学促做，学做结合，全年理论学习中心组开展</w:t>
      </w:r>
      <w:r>
        <w:rPr>
          <w:rFonts w:hint="default" w:ascii="Times New Roman" w:hAnsi="Times New Roman" w:eastAsia="楷体_GB2312" w:cs="Times New Roman"/>
          <w:sz w:val="32"/>
          <w:szCs w:val="32"/>
          <w:lang w:val="en-US" w:eastAsia="zh-CN"/>
        </w:rPr>
        <w:t>12</w:t>
      </w:r>
      <w:r>
        <w:rPr>
          <w:rFonts w:hint="default" w:ascii="Times New Roman" w:hAnsi="Times New Roman" w:eastAsia="仿宋_GB2312" w:cs="Times New Roman"/>
          <w:b w:val="0"/>
          <w:bCs/>
          <w:sz w:val="32"/>
          <w:szCs w:val="32"/>
          <w:highlight w:val="none"/>
          <w:lang w:val="en-US" w:eastAsia="zh-CN"/>
        </w:rPr>
        <w:t xml:space="preserve">次集体学习，将学习收获转化成在法治轨道上高质量发展的工作动力和实际成效。 </w:t>
      </w:r>
    </w:p>
    <w:p w14:paraId="5E12E3D0">
      <w:pPr>
        <w:keepNext/>
        <w:keepLines w:val="0"/>
        <w:pageBreakBefore w:val="0"/>
        <w:widowControl w:val="0"/>
        <w:suppressLineNumbers w:val="0"/>
        <w:pBdr>
          <w:bottom w:val="single" w:color="FFFFFF" w:sz="4" w:space="31"/>
        </w:pBdr>
        <w:kinsoku/>
        <w:wordWrap/>
        <w:overflowPunct/>
        <w:topLinePunct w:val="0"/>
        <w:autoSpaceDE/>
        <w:autoSpaceDN/>
        <w:bidi w:val="0"/>
        <w:adjustRightInd/>
        <w:snapToGrid w:val="0"/>
        <w:spacing w:line="560" w:lineRule="exact"/>
        <w:ind w:left="0" w:leftChars="0" w:firstLine="640" w:firstLineChars="200"/>
        <w:jc w:val="both"/>
        <w:textAlignment w:val="baseline"/>
        <w:outlineLvl w:val="9"/>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楷体_GB2312" w:cs="Times New Roman"/>
          <w:sz w:val="32"/>
          <w:szCs w:val="32"/>
          <w:lang w:val="en-US" w:eastAsia="zh-CN"/>
        </w:rPr>
        <w:t>2.</w:t>
      </w:r>
      <w:r>
        <w:rPr>
          <w:rFonts w:hint="default" w:ascii="Times New Roman" w:hAnsi="Times New Roman" w:eastAsia="仿宋_GB2312" w:cs="Times New Roman"/>
          <w:b w:val="0"/>
          <w:bCs/>
          <w:sz w:val="32"/>
          <w:szCs w:val="32"/>
          <w:highlight w:val="none"/>
          <w:lang w:val="en-US" w:eastAsia="zh-CN"/>
        </w:rPr>
        <w:t>分层分类推进干部教育培训</w:t>
      </w:r>
    </w:p>
    <w:p w14:paraId="26656483">
      <w:pPr>
        <w:keepNext/>
        <w:keepLines w:val="0"/>
        <w:pageBreakBefore w:val="0"/>
        <w:widowControl w:val="0"/>
        <w:suppressLineNumbers w:val="0"/>
        <w:pBdr>
          <w:bottom w:val="single" w:color="FFFFFF" w:sz="4" w:space="31"/>
        </w:pBdr>
        <w:kinsoku/>
        <w:wordWrap/>
        <w:overflowPunct/>
        <w:topLinePunct w:val="0"/>
        <w:autoSpaceDE/>
        <w:autoSpaceDN/>
        <w:bidi w:val="0"/>
        <w:adjustRightInd/>
        <w:snapToGrid w:val="0"/>
        <w:spacing w:line="560" w:lineRule="exact"/>
        <w:ind w:left="0" w:leftChars="0" w:firstLine="640" w:firstLineChars="200"/>
        <w:jc w:val="both"/>
        <w:textAlignment w:val="baseline"/>
        <w:outlineLvl w:val="9"/>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聚焦法治能力提升，分层分类推进干部法治教育培训。配合区委组织部，组织领导干部参与干部教育培训“每月一题”；组织选调干部参加东城区</w:t>
      </w:r>
      <w:r>
        <w:rPr>
          <w:rFonts w:hint="default" w:ascii="Times New Roman" w:hAnsi="Times New Roman" w:eastAsia="楷体_GB2312" w:cs="Times New Roman"/>
          <w:sz w:val="32"/>
          <w:szCs w:val="32"/>
          <w:lang w:val="en-US" w:eastAsia="zh-CN"/>
        </w:rPr>
        <w:t>2025</w:t>
      </w:r>
      <w:r>
        <w:rPr>
          <w:rFonts w:hint="default" w:ascii="Times New Roman" w:hAnsi="Times New Roman" w:eastAsia="仿宋_GB2312" w:cs="Times New Roman"/>
          <w:b w:val="0"/>
          <w:bCs/>
          <w:sz w:val="32"/>
          <w:szCs w:val="32"/>
          <w:highlight w:val="none"/>
          <w:lang w:val="en-US" w:eastAsia="zh-CN"/>
        </w:rPr>
        <w:t>年习近平法治思想暨依法行政培训班；组织干部完成东城区</w:t>
      </w:r>
      <w:r>
        <w:rPr>
          <w:rFonts w:hint="default" w:ascii="Times New Roman" w:hAnsi="Times New Roman" w:eastAsia="楷体_GB2312" w:cs="Times New Roman"/>
          <w:sz w:val="32"/>
          <w:szCs w:val="32"/>
          <w:lang w:val="en-US" w:eastAsia="zh-CN"/>
        </w:rPr>
        <w:t>2025</w:t>
      </w:r>
      <w:r>
        <w:rPr>
          <w:rFonts w:hint="default" w:ascii="Times New Roman" w:hAnsi="Times New Roman" w:eastAsia="仿宋_GB2312" w:cs="Times New Roman"/>
          <w:b w:val="0"/>
          <w:bCs/>
          <w:sz w:val="32"/>
          <w:szCs w:val="32"/>
          <w:highlight w:val="none"/>
          <w:lang w:val="en-US" w:eastAsia="zh-CN"/>
        </w:rPr>
        <w:t>年应知应会党内法规和法律法规网上专题培训班自学任务，参加北京市住房和城乡建设委员会法治大讲堂学习，推动法治思维与履职实践深度融合；组织开展入党积极分子、申请人政治理论测试，持续增强干部政治自觉、思想自觉、行动自觉。</w:t>
      </w:r>
    </w:p>
    <w:p w14:paraId="2C15EFCE">
      <w:pPr>
        <w:keepNext/>
        <w:keepLines w:val="0"/>
        <w:pageBreakBefore w:val="0"/>
        <w:widowControl w:val="0"/>
        <w:suppressLineNumbers w:val="0"/>
        <w:pBdr>
          <w:bottom w:val="single" w:color="FFFFFF" w:sz="4" w:space="31"/>
        </w:pBdr>
        <w:kinsoku/>
        <w:wordWrap/>
        <w:overflowPunct/>
        <w:topLinePunct w:val="0"/>
        <w:autoSpaceDE/>
        <w:autoSpaceDN/>
        <w:bidi w:val="0"/>
        <w:adjustRightInd/>
        <w:snapToGrid w:val="0"/>
        <w:spacing w:line="560" w:lineRule="exact"/>
        <w:ind w:left="0" w:leftChars="0" w:firstLine="640" w:firstLineChars="200"/>
        <w:jc w:val="both"/>
        <w:textAlignment w:val="baseline"/>
        <w:outlineLvl w:val="9"/>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楷体_GB2312" w:cs="Times New Roman"/>
          <w:sz w:val="32"/>
          <w:szCs w:val="32"/>
          <w:lang w:val="en-US" w:eastAsia="zh-CN"/>
        </w:rPr>
        <w:t>3.</w:t>
      </w:r>
      <w:r>
        <w:rPr>
          <w:rFonts w:hint="default" w:ascii="Times New Roman" w:hAnsi="Times New Roman" w:eastAsia="仿宋_GB2312" w:cs="Times New Roman"/>
          <w:b w:val="0"/>
          <w:bCs/>
          <w:sz w:val="32"/>
          <w:szCs w:val="32"/>
          <w:highlight w:val="none"/>
          <w:lang w:val="en-US" w:eastAsia="zh-CN"/>
        </w:rPr>
        <w:t>深化交流研讨凝聚共识</w:t>
      </w:r>
    </w:p>
    <w:p w14:paraId="54A4F0B6">
      <w:pPr>
        <w:keepNext/>
        <w:keepLines w:val="0"/>
        <w:pageBreakBefore w:val="0"/>
        <w:widowControl w:val="0"/>
        <w:suppressLineNumbers w:val="0"/>
        <w:pBdr>
          <w:bottom w:val="single" w:color="FFFFFF" w:sz="4" w:space="31"/>
        </w:pBdr>
        <w:kinsoku/>
        <w:wordWrap/>
        <w:overflowPunct/>
        <w:topLinePunct w:val="0"/>
        <w:autoSpaceDE/>
        <w:autoSpaceDN/>
        <w:bidi w:val="0"/>
        <w:adjustRightInd/>
        <w:snapToGrid w:val="0"/>
        <w:spacing w:line="560" w:lineRule="exact"/>
        <w:ind w:left="0" w:leftChars="0" w:firstLine="640" w:firstLineChars="200"/>
        <w:jc w:val="both"/>
        <w:textAlignment w:val="baseline"/>
        <w:outlineLvl w:val="9"/>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围绕中央八项规定及其实施细则精神，以及党的十八大以来贯彻落实中央八项规定精神的成效和经验，开展专题交流研讨，深刻认识加强作风建设的重要性、长期性和艰巨性，深刻领会中央八项规定精神的丰富内涵和实践要求，切实把学习成果转化为改进作风、提升效能、推动工作的实际行动，营造风清气正的政治生态。</w:t>
      </w:r>
    </w:p>
    <w:p w14:paraId="5808BACA">
      <w:pPr>
        <w:keepNext/>
        <w:keepLines w:val="0"/>
        <w:pageBreakBefore w:val="0"/>
        <w:widowControl w:val="0"/>
        <w:suppressLineNumbers w:val="0"/>
        <w:pBdr>
          <w:bottom w:val="single" w:color="FFFFFF" w:sz="4" w:space="31"/>
        </w:pBdr>
        <w:kinsoku/>
        <w:wordWrap/>
        <w:overflowPunct/>
        <w:topLinePunct w:val="0"/>
        <w:autoSpaceDE/>
        <w:autoSpaceDN/>
        <w:bidi w:val="0"/>
        <w:adjustRightInd/>
        <w:snapToGrid w:val="0"/>
        <w:spacing w:line="560" w:lineRule="exact"/>
        <w:ind w:firstLine="640" w:firstLineChars="200"/>
        <w:jc w:val="both"/>
        <w:textAlignment w:val="baseline"/>
        <w:outlineLvl w:val="9"/>
        <w:rPr>
          <w:rFonts w:hint="default" w:ascii="Times New Roman" w:hAnsi="Times New Roman" w:eastAsia="仿宋_GB2312" w:cs="Times New Roman"/>
          <w:b w:val="0"/>
          <w:bCs/>
          <w:sz w:val="32"/>
          <w:szCs w:val="32"/>
          <w:highlight w:val="none"/>
          <w:lang w:eastAsia="zh-CN"/>
        </w:rPr>
      </w:pPr>
      <w:r>
        <w:rPr>
          <w:rFonts w:hint="default" w:ascii="Times New Roman" w:hAnsi="Times New Roman" w:eastAsia="楷体_GB2312" w:cs="Times New Roman"/>
          <w:sz w:val="32"/>
          <w:szCs w:val="32"/>
          <w:lang w:val="en-US" w:eastAsia="zh-CN"/>
        </w:rPr>
        <w:t>4.</w:t>
      </w:r>
      <w:r>
        <w:rPr>
          <w:rFonts w:hint="default" w:ascii="Times New Roman" w:hAnsi="Times New Roman" w:eastAsia="仿宋_GB2312" w:cs="Times New Roman"/>
          <w:b w:val="0"/>
          <w:bCs/>
          <w:sz w:val="32"/>
          <w:szCs w:val="32"/>
          <w:highlight w:val="none"/>
          <w:lang w:eastAsia="zh-CN"/>
        </w:rPr>
        <w:t>以点带面推进普法工作常态化</w:t>
      </w:r>
    </w:p>
    <w:p w14:paraId="610EA505">
      <w:pPr>
        <w:keepNext/>
        <w:keepLines w:val="0"/>
        <w:pageBreakBefore w:val="0"/>
        <w:widowControl w:val="0"/>
        <w:suppressLineNumbers w:val="0"/>
        <w:pBdr>
          <w:bottom w:val="single" w:color="FFFFFF" w:sz="4" w:space="31"/>
        </w:pBdr>
        <w:kinsoku/>
        <w:wordWrap/>
        <w:overflowPunct/>
        <w:topLinePunct w:val="0"/>
        <w:autoSpaceDE/>
        <w:autoSpaceDN/>
        <w:bidi w:val="0"/>
        <w:adjustRightInd/>
        <w:snapToGrid w:val="0"/>
        <w:spacing w:line="560" w:lineRule="exact"/>
        <w:ind w:firstLine="640" w:firstLineChars="200"/>
        <w:jc w:val="both"/>
        <w:textAlignment w:val="baseline"/>
        <w:outlineLvl w:val="9"/>
        <w:rPr>
          <w:rFonts w:hint="default" w:ascii="Times New Roman" w:hAnsi="Times New Roman" w:eastAsia="仿宋_GB2312" w:cs="Times New Roman"/>
          <w:color w:val="000000"/>
          <w:kern w:val="0"/>
          <w:sz w:val="32"/>
          <w:szCs w:val="32"/>
          <w:highlight w:val="none"/>
          <w:lang w:val="en-US" w:eastAsia="zh-CN" w:bidi="ar-SA"/>
        </w:rPr>
      </w:pPr>
      <w:r>
        <w:rPr>
          <w:rFonts w:hint="default" w:ascii="Times New Roman" w:hAnsi="Times New Roman" w:eastAsia="仿宋_GB2312" w:cs="Times New Roman"/>
          <w:color w:val="000000"/>
          <w:kern w:val="0"/>
          <w:sz w:val="32"/>
          <w:szCs w:val="32"/>
          <w:highlight w:val="none"/>
          <w:lang w:val="en-US" w:eastAsia="zh-CN" w:bidi="ar-SA"/>
        </w:rPr>
        <w:t>始终坚持“突出</w:t>
      </w:r>
      <w:r>
        <w:rPr>
          <w:rFonts w:hint="eastAsia" w:eastAsia="仿宋_GB2312" w:cs="Times New Roman"/>
          <w:color w:val="000000"/>
          <w:kern w:val="0"/>
          <w:sz w:val="32"/>
          <w:szCs w:val="32"/>
          <w:highlight w:val="none"/>
          <w:lang w:val="en-US" w:eastAsia="zh-CN" w:bidi="ar-SA"/>
        </w:rPr>
        <w:t>‘关键少数’</w:t>
      </w:r>
      <w:r>
        <w:rPr>
          <w:rFonts w:hint="default" w:ascii="Times New Roman" w:hAnsi="Times New Roman" w:eastAsia="仿宋_GB2312" w:cs="Times New Roman"/>
          <w:color w:val="000000"/>
          <w:kern w:val="0"/>
          <w:sz w:val="32"/>
          <w:szCs w:val="32"/>
          <w:highlight w:val="none"/>
          <w:lang w:val="en-US" w:eastAsia="zh-CN" w:bidi="ar-SA"/>
        </w:rPr>
        <w:t>”，常态化开展主任办公会会前学法活动。年初科学拟定年度学法计划，党政主要负责人带头学法，全年累计开展</w:t>
      </w:r>
      <w:r>
        <w:rPr>
          <w:rFonts w:hint="default" w:ascii="Times New Roman" w:hAnsi="Times New Roman" w:eastAsia="楷体_GB2312" w:cs="Times New Roman"/>
          <w:sz w:val="32"/>
          <w:szCs w:val="32"/>
          <w:lang w:val="en-US" w:eastAsia="zh-CN"/>
        </w:rPr>
        <w:t>7</w:t>
      </w:r>
      <w:r>
        <w:rPr>
          <w:rFonts w:hint="default" w:ascii="Times New Roman" w:hAnsi="Times New Roman" w:eastAsia="仿宋_GB2312" w:cs="Times New Roman"/>
          <w:color w:val="000000"/>
          <w:kern w:val="0"/>
          <w:sz w:val="32"/>
          <w:szCs w:val="32"/>
          <w:highlight w:val="none"/>
          <w:lang w:val="en-US" w:eastAsia="zh-CN" w:bidi="ar-SA"/>
        </w:rPr>
        <w:t>次会前学法，内容涵盖《北京市房屋建筑和市政基础设施工程“评定分离”管理办法（试行）》《中华人民共和国保守国家秘密法》、东城区安委会</w:t>
      </w:r>
      <w:r>
        <w:rPr>
          <w:rFonts w:hint="default" w:ascii="Times New Roman" w:hAnsi="Times New Roman" w:eastAsia="楷体_GB2312" w:cs="Times New Roman"/>
          <w:sz w:val="32"/>
          <w:szCs w:val="32"/>
          <w:lang w:val="en-US" w:eastAsia="zh-CN"/>
        </w:rPr>
        <w:t>2025</w:t>
      </w:r>
      <w:r>
        <w:rPr>
          <w:rFonts w:hint="default" w:ascii="Times New Roman" w:hAnsi="Times New Roman" w:eastAsia="仿宋_GB2312" w:cs="Times New Roman"/>
          <w:color w:val="000000"/>
          <w:kern w:val="0"/>
          <w:sz w:val="32"/>
          <w:szCs w:val="32"/>
          <w:highlight w:val="none"/>
          <w:lang w:val="en-US" w:eastAsia="zh-CN" w:bidi="ar-SA"/>
        </w:rPr>
        <w:t>年工作要点、习近平总书记关于网络安全的重要讲话和指示精神、统计法律法规及公平竞争审查制度等重点内容。全年组织领导干部法治专题讲座</w:t>
      </w:r>
      <w:r>
        <w:rPr>
          <w:rFonts w:hint="default" w:ascii="Times New Roman" w:hAnsi="Times New Roman" w:eastAsia="楷体_GB2312" w:cs="Times New Roman"/>
          <w:sz w:val="32"/>
          <w:szCs w:val="32"/>
          <w:lang w:val="en-US" w:eastAsia="zh-CN"/>
        </w:rPr>
        <w:t>3</w:t>
      </w:r>
      <w:r>
        <w:rPr>
          <w:rFonts w:hint="default" w:ascii="Times New Roman" w:hAnsi="Times New Roman" w:eastAsia="仿宋_GB2312" w:cs="Times New Roman"/>
          <w:color w:val="000000"/>
          <w:kern w:val="0"/>
          <w:sz w:val="32"/>
          <w:szCs w:val="32"/>
          <w:highlight w:val="none"/>
          <w:lang w:val="en-US" w:eastAsia="zh-CN" w:bidi="ar-SA"/>
        </w:rPr>
        <w:t>次，聚焦历史文物腾退复议应诉实务等关键领域，切实强化领导干部法治思维，提升了领导干部依法行政能力和规范履职行为。</w:t>
      </w:r>
    </w:p>
    <w:p w14:paraId="73223B04">
      <w:pPr>
        <w:keepNext/>
        <w:keepLines w:val="0"/>
        <w:pageBreakBefore w:val="0"/>
        <w:widowControl w:val="0"/>
        <w:suppressLineNumbers w:val="0"/>
        <w:pBdr>
          <w:bottom w:val="single" w:color="FFFFFF" w:sz="4" w:space="31"/>
        </w:pBdr>
        <w:kinsoku/>
        <w:wordWrap/>
        <w:overflowPunct/>
        <w:topLinePunct w:val="0"/>
        <w:autoSpaceDE/>
        <w:autoSpaceDN/>
        <w:bidi w:val="0"/>
        <w:adjustRightInd/>
        <w:snapToGrid w:val="0"/>
        <w:spacing w:line="560" w:lineRule="exact"/>
        <w:ind w:firstLine="640" w:firstLineChars="200"/>
        <w:jc w:val="both"/>
        <w:textAlignment w:val="baseline"/>
        <w:outlineLvl w:val="9"/>
        <w:rPr>
          <w:rFonts w:hint="default" w:ascii="Times New Roman" w:hAnsi="Times New Roman" w:eastAsia="仿宋_GB2312" w:cs="Times New Roman"/>
          <w:color w:val="222222"/>
          <w:kern w:val="2"/>
          <w:sz w:val="32"/>
          <w:szCs w:val="32"/>
          <w:highlight w:val="none"/>
          <w:lang w:val="en-US" w:eastAsia="zh-CN"/>
        </w:rPr>
      </w:pPr>
      <w:r>
        <w:rPr>
          <w:rFonts w:hint="default" w:ascii="Times New Roman" w:hAnsi="Times New Roman" w:eastAsia="仿宋_GB2312" w:cs="Times New Roman"/>
          <w:color w:val="222222"/>
          <w:kern w:val="2"/>
          <w:sz w:val="32"/>
          <w:szCs w:val="32"/>
          <w:highlight w:val="none"/>
          <w:lang w:val="en-US" w:eastAsia="zh-CN"/>
        </w:rPr>
        <w:t>创新开展“法治宣传培训月”系列活动，通过案件分析会、行政执法工作部署会、案卷自查等形式，提升执法人员运用法治思维和法治方式解决问题的能力。</w:t>
      </w:r>
      <w:r>
        <w:rPr>
          <w:rFonts w:hint="default" w:ascii="Times New Roman" w:hAnsi="Times New Roman" w:eastAsia="楷体_GB2312" w:cs="Times New Roman"/>
          <w:sz w:val="32"/>
          <w:szCs w:val="32"/>
          <w:lang w:val="en-US" w:eastAsia="zh-CN"/>
        </w:rPr>
        <w:t>2025</w:t>
      </w:r>
      <w:r>
        <w:rPr>
          <w:rFonts w:hint="default" w:ascii="Times New Roman" w:hAnsi="Times New Roman" w:eastAsia="仿宋_GB2312" w:cs="Times New Roman"/>
          <w:color w:val="222222"/>
          <w:kern w:val="2"/>
          <w:sz w:val="32"/>
          <w:szCs w:val="32"/>
          <w:highlight w:val="none"/>
          <w:lang w:val="en-US" w:eastAsia="zh-CN"/>
        </w:rPr>
        <w:t>年作为“八五”普法收官之年，严格对照市、区要求开展总结验收，梳理标志性成果，排查整改薄弱环节。按市、区要求，组织开展“宪法宣传周”系列活动，并通过“东城住建”微信公众号发布活动纪实，完成全过程闭环法治宣传。</w:t>
      </w:r>
    </w:p>
    <w:p w14:paraId="05B16414">
      <w:pPr>
        <w:keepNext/>
        <w:keepLines w:val="0"/>
        <w:pageBreakBefore w:val="0"/>
        <w:widowControl w:val="0"/>
        <w:suppressLineNumbers w:val="0"/>
        <w:pBdr>
          <w:bottom w:val="single" w:color="FFFFFF" w:sz="4" w:space="31"/>
        </w:pBdr>
        <w:kinsoku/>
        <w:wordWrap/>
        <w:overflowPunct/>
        <w:topLinePunct w:val="0"/>
        <w:autoSpaceDE/>
        <w:autoSpaceDN/>
        <w:bidi w:val="0"/>
        <w:adjustRightInd/>
        <w:snapToGrid w:val="0"/>
        <w:spacing w:line="560" w:lineRule="exact"/>
        <w:ind w:firstLine="640" w:firstLineChars="200"/>
        <w:jc w:val="both"/>
        <w:textAlignment w:val="baseline"/>
        <w:outlineLvl w:val="9"/>
        <w:rPr>
          <w:rFonts w:hint="default" w:ascii="Times New Roman" w:hAnsi="Times New Roman" w:eastAsia="仿宋_GB2312" w:cs="Times New Roman"/>
          <w:color w:val="222222"/>
          <w:kern w:val="2"/>
          <w:sz w:val="32"/>
          <w:szCs w:val="32"/>
          <w:highlight w:val="none"/>
          <w:lang w:val="en-US" w:eastAsia="zh-CN"/>
        </w:rPr>
      </w:pPr>
      <w:r>
        <w:rPr>
          <w:rFonts w:hint="default" w:ascii="Times New Roman" w:hAnsi="Times New Roman" w:eastAsia="楷体_GB2312" w:cs="Times New Roman"/>
          <w:sz w:val="32"/>
          <w:szCs w:val="32"/>
          <w:lang w:val="en-US" w:eastAsia="zh-CN"/>
        </w:rPr>
        <w:t>5.</w:t>
      </w:r>
      <w:r>
        <w:rPr>
          <w:rFonts w:hint="default" w:ascii="Times New Roman" w:hAnsi="Times New Roman" w:eastAsia="仿宋_GB2312" w:cs="Times New Roman"/>
          <w:color w:val="222222"/>
          <w:kern w:val="2"/>
          <w:sz w:val="32"/>
          <w:szCs w:val="32"/>
          <w:highlight w:val="none"/>
          <w:lang w:val="en-US" w:eastAsia="zh-CN"/>
        </w:rPr>
        <w:t>狠抓习近平法治思想贯彻落实</w:t>
      </w:r>
    </w:p>
    <w:p w14:paraId="7E4035B6">
      <w:pPr>
        <w:keepNext/>
        <w:keepLines w:val="0"/>
        <w:pageBreakBefore w:val="0"/>
        <w:widowControl w:val="0"/>
        <w:suppressLineNumbers w:val="0"/>
        <w:pBdr>
          <w:bottom w:val="single" w:color="FFFFFF" w:sz="4" w:space="31"/>
        </w:pBdr>
        <w:kinsoku/>
        <w:wordWrap/>
        <w:overflowPunct/>
        <w:topLinePunct w:val="0"/>
        <w:autoSpaceDE/>
        <w:autoSpaceDN/>
        <w:bidi w:val="0"/>
        <w:adjustRightInd/>
        <w:snapToGrid w:val="0"/>
        <w:spacing w:line="560" w:lineRule="exact"/>
        <w:ind w:firstLine="640" w:firstLineChars="200"/>
        <w:jc w:val="both"/>
        <w:textAlignment w:val="baseline"/>
        <w:outlineLvl w:val="9"/>
        <w:rPr>
          <w:rFonts w:hint="default" w:ascii="Times New Roman" w:hAnsi="Times New Roman" w:eastAsia="仿宋_GB2312" w:cs="Times New Roman"/>
          <w:color w:val="000000"/>
          <w:kern w:val="0"/>
          <w:sz w:val="32"/>
          <w:szCs w:val="32"/>
          <w:highlight w:val="none"/>
          <w:lang w:val="en-US" w:eastAsia="zh-CN" w:bidi="ar-SA"/>
        </w:rPr>
      </w:pPr>
      <w:r>
        <w:rPr>
          <w:rFonts w:hint="default" w:ascii="Times New Roman" w:hAnsi="Times New Roman" w:eastAsia="仿宋_GB2312" w:cs="Times New Roman"/>
          <w:color w:val="000000"/>
          <w:kern w:val="0"/>
          <w:sz w:val="32"/>
          <w:szCs w:val="32"/>
          <w:highlight w:val="none"/>
          <w:lang w:val="en-US" w:eastAsia="zh-CN" w:bidi="ar-SA"/>
        </w:rPr>
        <w:t>将习近平法治思想与依法治理、行政执法、“八五”普法等工作紧密结合，坚决贯彻落实“谁执法谁普法、谁主管谁普法、谁服务谁普法”的普法责任制，实现执法与法宣同步、告知与释法同步、调查与解惑同步、处罚与引导同步，将法治宣传贯穿住建执法工作各领域、全过程，切实履行普法主体责任，对施工现场、建筑业企业等领域开展多样普法活动，引导行业健康规范发展。例如：以“东城住建”微信公众号为核心载体，发布《中华人民共和国网络安全法》《中华人民共和国反间谍法》等法律法规解读和典型案例；组织公平竞争审查制度专题学习与宣传；全方位宣传执法监管工作，先后</w:t>
      </w:r>
      <w:r>
        <w:rPr>
          <w:rFonts w:hint="default" w:ascii="Times New Roman" w:hAnsi="Times New Roman" w:eastAsia="楷体_GB2312" w:cs="Times New Roman"/>
          <w:sz w:val="32"/>
          <w:szCs w:val="32"/>
          <w:lang w:val="en-US" w:eastAsia="zh-CN"/>
        </w:rPr>
        <w:t>3</w:t>
      </w:r>
      <w:r>
        <w:rPr>
          <w:rFonts w:hint="default" w:ascii="Times New Roman" w:hAnsi="Times New Roman" w:eastAsia="仿宋_GB2312" w:cs="Times New Roman"/>
          <w:color w:val="000000"/>
          <w:kern w:val="0"/>
          <w:sz w:val="32"/>
          <w:szCs w:val="32"/>
          <w:highlight w:val="none"/>
          <w:lang w:val="en-US" w:eastAsia="zh-CN" w:bidi="ar-SA"/>
        </w:rPr>
        <w:t>次被《北京日报》报道，扩大了社会知晓度与影响力。</w:t>
      </w:r>
    </w:p>
    <w:p w14:paraId="38B25E11">
      <w:pPr>
        <w:keepNext/>
        <w:keepLines w:val="0"/>
        <w:pageBreakBefore w:val="0"/>
        <w:widowControl w:val="0"/>
        <w:suppressLineNumbers w:val="0"/>
        <w:pBdr>
          <w:bottom w:val="single" w:color="FFFFFF" w:sz="4" w:space="31"/>
        </w:pBdr>
        <w:kinsoku/>
        <w:wordWrap/>
        <w:overflowPunct/>
        <w:topLinePunct w:val="0"/>
        <w:autoSpaceDE/>
        <w:autoSpaceDN/>
        <w:bidi w:val="0"/>
        <w:adjustRightInd/>
        <w:snapToGrid w:val="0"/>
        <w:spacing w:line="560" w:lineRule="exact"/>
        <w:ind w:firstLine="640" w:firstLineChars="200"/>
        <w:jc w:val="both"/>
        <w:textAlignment w:val="baseline"/>
        <w:outlineLvl w:val="9"/>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t>（二）健全依法行政制度体系</w:t>
      </w:r>
    </w:p>
    <w:p w14:paraId="72C5E772">
      <w:pPr>
        <w:keepNext/>
        <w:keepLines w:val="0"/>
        <w:pageBreakBefore w:val="0"/>
        <w:widowControl w:val="0"/>
        <w:numPr>
          <w:ilvl w:val="0"/>
          <w:numId w:val="0"/>
        </w:numPr>
        <w:suppressLineNumbers w:val="0"/>
        <w:pBdr>
          <w:bottom w:val="single" w:color="FFFFFF" w:sz="4" w:space="31"/>
        </w:pBdr>
        <w:kinsoku/>
        <w:wordWrap/>
        <w:overflowPunct/>
        <w:topLinePunct w:val="0"/>
        <w:autoSpaceDE/>
        <w:autoSpaceDN/>
        <w:bidi w:val="0"/>
        <w:adjustRightInd/>
        <w:snapToGrid w:val="0"/>
        <w:spacing w:line="560" w:lineRule="exact"/>
        <w:ind w:firstLine="640" w:firstLineChars="200"/>
        <w:jc w:val="both"/>
        <w:textAlignment w:val="baseline"/>
        <w:outlineLvl w:val="9"/>
        <w:rPr>
          <w:rFonts w:hint="default" w:ascii="Times New Roman" w:hAnsi="Times New Roman" w:eastAsia="仿宋_GB2312" w:cs="Times New Roman"/>
          <w:color w:val="000000"/>
          <w:kern w:val="0"/>
          <w:sz w:val="32"/>
          <w:szCs w:val="32"/>
          <w:highlight w:val="none"/>
          <w:lang w:val="en-US" w:eastAsia="zh-CN" w:bidi="ar-SA"/>
        </w:rPr>
      </w:pPr>
      <w:r>
        <w:rPr>
          <w:rFonts w:hint="default" w:ascii="Times New Roman" w:hAnsi="Times New Roman" w:eastAsia="楷体_GB2312" w:cs="Times New Roman"/>
          <w:sz w:val="32"/>
          <w:szCs w:val="32"/>
          <w:lang w:val="en-US" w:eastAsia="zh-CN"/>
        </w:rPr>
        <w:t>1.</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严格执行重</w:t>
      </w:r>
      <w:r>
        <w:rPr>
          <w:rFonts w:hint="default" w:ascii="Times New Roman" w:hAnsi="Times New Roman" w:eastAsia="仿宋_GB2312" w:cs="Times New Roman"/>
          <w:color w:val="000000"/>
          <w:kern w:val="0"/>
          <w:sz w:val="32"/>
          <w:szCs w:val="32"/>
          <w:highlight w:val="none"/>
          <w:lang w:val="en-US" w:eastAsia="zh-CN" w:bidi="ar-SA"/>
        </w:rPr>
        <w:t>大行政决策法定程序</w:t>
      </w:r>
    </w:p>
    <w:p w14:paraId="5AEF08EF">
      <w:pPr>
        <w:keepNext/>
        <w:keepLines w:val="0"/>
        <w:pageBreakBefore w:val="0"/>
        <w:widowControl w:val="0"/>
        <w:numPr>
          <w:ilvl w:val="0"/>
          <w:numId w:val="0"/>
        </w:numPr>
        <w:suppressLineNumbers w:val="0"/>
        <w:pBdr>
          <w:bottom w:val="single" w:color="FFFFFF" w:sz="4" w:space="31"/>
        </w:pBdr>
        <w:kinsoku/>
        <w:wordWrap/>
        <w:overflowPunct/>
        <w:topLinePunct w:val="0"/>
        <w:autoSpaceDE/>
        <w:autoSpaceDN/>
        <w:bidi w:val="0"/>
        <w:adjustRightInd/>
        <w:snapToGrid w:val="0"/>
        <w:spacing w:line="560" w:lineRule="exact"/>
        <w:ind w:firstLine="640" w:firstLineChars="200"/>
        <w:jc w:val="both"/>
        <w:textAlignment w:val="baseline"/>
        <w:outlineLvl w:val="9"/>
        <w:rPr>
          <w:rFonts w:hint="default" w:ascii="Times New Roman" w:hAnsi="Times New Roman" w:eastAsia="仿宋_GB2312" w:cs="Times New Roman"/>
          <w:color w:val="000000"/>
          <w:kern w:val="0"/>
          <w:sz w:val="32"/>
          <w:szCs w:val="32"/>
          <w:highlight w:val="none"/>
          <w:lang w:val="en-US" w:eastAsia="zh-CN" w:bidi="ar-SA"/>
        </w:rPr>
      </w:pPr>
      <w:r>
        <w:rPr>
          <w:rFonts w:hint="default" w:ascii="Times New Roman" w:hAnsi="Times New Roman" w:eastAsia="仿宋_GB2312" w:cs="Times New Roman"/>
          <w:color w:val="000000"/>
          <w:kern w:val="0"/>
          <w:sz w:val="32"/>
          <w:szCs w:val="32"/>
          <w:highlight w:val="none"/>
          <w:lang w:val="en-US" w:eastAsia="zh-CN" w:bidi="ar-SA"/>
        </w:rPr>
        <w:t>严格落实《重大行政决策程序暂行条例》《东城区重大行政决策程序实施细则》，按照重大行政决策的决策主体、事项范围、程序要求履行重大</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行政决策流程。代区政府拟定重大决策事项过程中，严格履行重大行政决策程序，在启动项目、发布</w:t>
      </w:r>
      <w:r>
        <w:rPr>
          <w:rFonts w:hint="default" w:ascii="Times New Roman" w:hAnsi="Times New Roman" w:eastAsia="仿宋_GB2312" w:cs="Times New Roman"/>
          <w:color w:val="000000"/>
          <w:kern w:val="0"/>
          <w:sz w:val="32"/>
          <w:szCs w:val="32"/>
          <w:highlight w:val="none"/>
          <w:lang w:val="en-US" w:eastAsia="zh-CN" w:bidi="ar-SA"/>
        </w:rPr>
        <w:t>方案、决定时，按照重大行政决策要求，报请不同层次的区政府会议进行审议，确保决策合法合规。</w:t>
      </w:r>
    </w:p>
    <w:p w14:paraId="0B09A528">
      <w:pPr>
        <w:keepNext/>
        <w:keepLines w:val="0"/>
        <w:pageBreakBefore w:val="0"/>
        <w:widowControl w:val="0"/>
        <w:numPr>
          <w:ilvl w:val="0"/>
          <w:numId w:val="0"/>
        </w:numPr>
        <w:suppressLineNumbers w:val="0"/>
        <w:pBdr>
          <w:bottom w:val="single" w:color="FFFFFF" w:sz="4" w:space="31"/>
        </w:pBdr>
        <w:kinsoku/>
        <w:wordWrap/>
        <w:overflowPunct/>
        <w:topLinePunct w:val="0"/>
        <w:autoSpaceDE/>
        <w:autoSpaceDN/>
        <w:bidi w:val="0"/>
        <w:adjustRightInd/>
        <w:snapToGrid w:val="0"/>
        <w:spacing w:line="560" w:lineRule="exact"/>
        <w:ind w:firstLine="640" w:firstLineChars="200"/>
        <w:jc w:val="both"/>
        <w:textAlignment w:val="baseline"/>
        <w:outlineLvl w:val="9"/>
        <w:rPr>
          <w:rFonts w:hint="default" w:ascii="Times New Roman" w:hAnsi="Times New Roman" w:eastAsia="仿宋_GB2312" w:cs="Times New Roman"/>
          <w:color w:val="000000"/>
          <w:kern w:val="0"/>
          <w:sz w:val="32"/>
          <w:szCs w:val="32"/>
          <w:highlight w:val="none"/>
          <w:lang w:val="en-US" w:eastAsia="zh-CN" w:bidi="ar-SA"/>
        </w:rPr>
      </w:pPr>
      <w:r>
        <w:rPr>
          <w:rFonts w:hint="default" w:ascii="Times New Roman" w:hAnsi="Times New Roman" w:eastAsia="楷体_GB2312" w:cs="Times New Roman"/>
          <w:sz w:val="32"/>
          <w:szCs w:val="32"/>
          <w:lang w:val="en-US" w:eastAsia="zh-CN"/>
        </w:rPr>
        <w:t>2.</w:t>
      </w:r>
      <w:r>
        <w:rPr>
          <w:rFonts w:hint="default" w:ascii="Times New Roman" w:hAnsi="Times New Roman" w:eastAsia="仿宋_GB2312" w:cs="Times New Roman"/>
          <w:color w:val="000000"/>
          <w:kern w:val="0"/>
          <w:sz w:val="32"/>
          <w:szCs w:val="32"/>
          <w:highlight w:val="none"/>
          <w:lang w:val="en-US" w:eastAsia="zh-CN" w:bidi="ar-SA"/>
        </w:rPr>
        <w:t>强化合法性审查支撑</w:t>
      </w:r>
    </w:p>
    <w:p w14:paraId="6FCEAD0F">
      <w:pPr>
        <w:keepNext/>
        <w:keepLines w:val="0"/>
        <w:pageBreakBefore w:val="0"/>
        <w:widowControl w:val="0"/>
        <w:numPr>
          <w:ilvl w:val="0"/>
          <w:numId w:val="0"/>
        </w:numPr>
        <w:suppressLineNumbers w:val="0"/>
        <w:pBdr>
          <w:bottom w:val="single" w:color="FFFFFF" w:sz="4" w:space="31"/>
        </w:pBdr>
        <w:kinsoku/>
        <w:wordWrap/>
        <w:overflowPunct/>
        <w:topLinePunct w:val="0"/>
        <w:autoSpaceDE/>
        <w:autoSpaceDN/>
        <w:bidi w:val="0"/>
        <w:adjustRightInd/>
        <w:snapToGrid w:val="0"/>
        <w:spacing w:line="560" w:lineRule="exact"/>
        <w:ind w:firstLine="640" w:firstLineChars="200"/>
        <w:jc w:val="both"/>
        <w:textAlignment w:val="baseline"/>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kern w:val="0"/>
          <w:sz w:val="32"/>
          <w:szCs w:val="32"/>
          <w:highlight w:val="none"/>
          <w:lang w:val="en-US" w:eastAsia="zh-CN" w:bidi="ar-SA"/>
        </w:rPr>
        <w:t>全面推行法律顾问、</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公职律师制度。聘用专业法律顾问团队，并设置公职律师</w:t>
      </w:r>
      <w:r>
        <w:rPr>
          <w:rFonts w:hint="default" w:ascii="Times New Roman" w:hAnsi="Times New Roman" w:eastAsia="楷体_GB2312" w:cs="Times New Roman"/>
          <w:sz w:val="32"/>
          <w:szCs w:val="32"/>
          <w:lang w:val="en-US" w:eastAsia="zh-CN"/>
        </w:rPr>
        <w:t>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名，形成</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eastAsia="zh-CN"/>
        </w:rPr>
        <w:t>律师审核</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eastAsia="zh-CN"/>
        </w:rPr>
        <w:t>法制信访科复核</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eastAsia="zh-CN"/>
        </w:rPr>
        <w:t>法制信访科负责人终审</w:t>
      </w:r>
      <w:r>
        <w:rPr>
          <w:rFonts w:hint="default" w:ascii="Times New Roman" w:hAnsi="Times New Roman" w:eastAsia="仿宋_GB2312" w:cs="Times New Roman"/>
          <w:b w:val="0"/>
          <w:bCs w:val="0"/>
          <w:sz w:val="32"/>
          <w:szCs w:val="32"/>
        </w:rPr>
        <w:t>”三级</w:t>
      </w:r>
      <w:r>
        <w:rPr>
          <w:rFonts w:hint="default" w:ascii="Times New Roman" w:hAnsi="Times New Roman" w:eastAsia="仿宋_GB2312" w:cs="Times New Roman"/>
          <w:b w:val="0"/>
          <w:bCs w:val="0"/>
          <w:sz w:val="32"/>
          <w:szCs w:val="32"/>
          <w:lang w:eastAsia="zh-CN"/>
        </w:rPr>
        <w:t>法制</w:t>
      </w:r>
      <w:r>
        <w:rPr>
          <w:rFonts w:hint="default" w:ascii="Times New Roman" w:hAnsi="Times New Roman" w:eastAsia="仿宋_GB2312" w:cs="Times New Roman"/>
          <w:b w:val="0"/>
          <w:bCs w:val="0"/>
          <w:sz w:val="32"/>
          <w:szCs w:val="32"/>
        </w:rPr>
        <w:t>审核机制</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全年审核各类发文</w:t>
      </w:r>
      <w:r>
        <w:rPr>
          <w:rFonts w:hint="default" w:ascii="Times New Roman" w:hAnsi="Times New Roman" w:eastAsia="楷体_GB2312" w:cs="Times New Roman"/>
          <w:sz w:val="32"/>
          <w:szCs w:val="32"/>
          <w:lang w:val="en-US" w:eastAsia="zh-CN"/>
        </w:rPr>
        <w:t>95</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件、规范性文件</w:t>
      </w:r>
      <w:r>
        <w:rPr>
          <w:rFonts w:hint="default" w:ascii="Times New Roman" w:hAnsi="Times New Roman" w:eastAsia="楷体_GB2312" w:cs="Times New Roman"/>
          <w:sz w:val="32"/>
          <w:szCs w:val="32"/>
          <w:lang w:val="en-US" w:eastAsia="zh-CN"/>
        </w:rPr>
        <w:t>1</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件、合同</w:t>
      </w:r>
      <w:r>
        <w:rPr>
          <w:rFonts w:hint="default" w:ascii="Times New Roman" w:hAnsi="Times New Roman" w:eastAsia="楷体_GB2312" w:cs="Times New Roman"/>
          <w:sz w:val="32"/>
          <w:szCs w:val="32"/>
          <w:lang w:val="en-US" w:eastAsia="zh-CN"/>
        </w:rPr>
        <w:t>41</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件、信息公开及其他行政答复</w:t>
      </w:r>
      <w:r>
        <w:rPr>
          <w:rFonts w:hint="default" w:ascii="Times New Roman" w:hAnsi="Times New Roman" w:eastAsia="楷体_GB2312" w:cs="Times New Roman"/>
          <w:sz w:val="32"/>
          <w:szCs w:val="32"/>
          <w:lang w:val="en-US" w:eastAsia="zh-CN"/>
        </w:rPr>
        <w:t>214</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件，</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定期总结法制审核情况，倒推工作流程、制度漏洞，通过召开相关工作部署会、出具书面工作提示等方式防范决策风险。</w:t>
      </w:r>
    </w:p>
    <w:p w14:paraId="303C8C4E">
      <w:pPr>
        <w:keepNext/>
        <w:keepLines w:val="0"/>
        <w:pageBreakBefore w:val="0"/>
        <w:widowControl w:val="0"/>
        <w:numPr>
          <w:ilvl w:val="0"/>
          <w:numId w:val="0"/>
        </w:numPr>
        <w:suppressLineNumbers w:val="0"/>
        <w:pBdr>
          <w:bottom w:val="single" w:color="FFFFFF" w:sz="4" w:space="31"/>
        </w:pBdr>
        <w:kinsoku/>
        <w:wordWrap/>
        <w:overflowPunct/>
        <w:topLinePunct w:val="0"/>
        <w:autoSpaceDE/>
        <w:autoSpaceDN/>
        <w:bidi w:val="0"/>
        <w:adjustRightInd/>
        <w:snapToGrid w:val="0"/>
        <w:spacing w:line="560" w:lineRule="exact"/>
        <w:ind w:firstLine="640" w:firstLineChars="200"/>
        <w:jc w:val="both"/>
        <w:textAlignment w:val="baseline"/>
        <w:outlineLvl w:val="9"/>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sz w:val="32"/>
          <w:szCs w:val="32"/>
          <w:lang w:val="en-US" w:eastAsia="zh-CN"/>
        </w:rPr>
        <w:t>3.</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严格规范性文件合法性审核和备案</w:t>
      </w:r>
    </w:p>
    <w:p w14:paraId="2719334D">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建立公平竞争审查制度，将其纳入文件制发全流程，做到应审尽审。全面落实规范性文件合法性审核机制及报审程序。规范性文件制定过程中，严格落实公开征求意见、专家论证、主要负责人听取汇报等程序，法制部门与法律顾问分别出具独立审核意见，对不符合要求的文件指导修改完善后再提请主任办公会集体审议。全年未出现未经合法性审核或审核不合法的文件提交审议的情况。</w:t>
      </w:r>
    </w:p>
    <w:p w14:paraId="1CE7C4AC">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t>（三）加强行政执法规范与效能建设</w:t>
      </w:r>
    </w:p>
    <w:p w14:paraId="76E82C02">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sz w:val="32"/>
          <w:szCs w:val="32"/>
          <w:lang w:val="en-US" w:eastAsia="zh-CN"/>
        </w:rPr>
        <w:t>1.</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全面落实行政执法公示制度</w:t>
      </w:r>
    </w:p>
    <w:p w14:paraId="7667287F">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全面落实行政执法“公示制度”。根据《北京市行政执法公示办法》的相关要求，按时公示《行政执法统计年报信息》《行政检查单（含涉企检查标准）》《北京市住房城乡建设系统轻微违法不予处罚事项清单》《</w:t>
      </w:r>
      <w:r>
        <w:rPr>
          <w:rFonts w:hint="default" w:ascii="Times New Roman" w:hAnsi="Times New Roman" w:eastAsia="楷体_GB2312" w:cs="Times New Roman"/>
          <w:sz w:val="32"/>
          <w:szCs w:val="32"/>
          <w:lang w:val="en-US" w:eastAsia="zh-CN"/>
        </w:rPr>
        <w:t>2025</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年度“双随机、一公开”抽查事项清单》《</w:t>
      </w:r>
      <w:r>
        <w:rPr>
          <w:rFonts w:hint="default" w:ascii="Times New Roman" w:hAnsi="Times New Roman" w:eastAsia="楷体_GB2312" w:cs="Times New Roman"/>
          <w:sz w:val="32"/>
          <w:szCs w:val="32"/>
          <w:lang w:val="en-US" w:eastAsia="zh-CN"/>
        </w:rPr>
        <w:t>2025</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年度执法检查计划》《</w:t>
      </w:r>
      <w:r>
        <w:rPr>
          <w:rFonts w:hint="default" w:ascii="Times New Roman" w:hAnsi="Times New Roman" w:eastAsia="楷体_GB2312" w:cs="Times New Roman"/>
          <w:sz w:val="32"/>
          <w:szCs w:val="32"/>
          <w:lang w:val="en-US" w:eastAsia="zh-CN"/>
        </w:rPr>
        <w:t>2025</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年度双随机抽查计划》《行政处罚裁量基准》（变更更新）、行政许可、行政处罚决定、行政检查结果等。</w:t>
      </w:r>
    </w:p>
    <w:p w14:paraId="2F50FFD5">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sz w:val="32"/>
          <w:szCs w:val="32"/>
          <w:lang w:val="en-US" w:eastAsia="zh-CN"/>
        </w:rPr>
        <w:t>2.</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全面推行执法全过程记录制度</w:t>
      </w:r>
    </w:p>
    <w:p w14:paraId="55F572F8">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根据北京市住房和城乡建设委员会业务指导，我委贯彻落实《北京市住房城乡建设系统行政执法全过程记录办法》的要求，执法人员通过文字、音像等记录形式，对行政处罚的启动、调查取证、审核决定、送达执行等全过程进行记录，并全面系统归档保存，做到执法全过程留痕和可回溯管理，促进严格规范公正文明执法。</w:t>
      </w:r>
    </w:p>
    <w:p w14:paraId="5DF00C55">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sz w:val="32"/>
          <w:szCs w:val="32"/>
          <w:lang w:val="en-US" w:eastAsia="zh-CN"/>
        </w:rPr>
        <w:t>3.</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健全执法监督工作机制</w:t>
      </w:r>
    </w:p>
    <w:p w14:paraId="46826FD3">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持续</w:t>
      </w:r>
      <w:r>
        <w:rPr>
          <w:rFonts w:hint="default" w:ascii="Times New Roman" w:hAnsi="Times New Roman" w:eastAsia="仿宋_GB2312" w:cs="Times New Roman"/>
          <w:b w:val="0"/>
          <w:bCs w:val="0"/>
          <w:sz w:val="32"/>
          <w:szCs w:val="32"/>
        </w:rPr>
        <w:t>推行“年初</w:t>
      </w:r>
      <w:r>
        <w:rPr>
          <w:rFonts w:hint="default" w:ascii="Times New Roman" w:hAnsi="Times New Roman" w:eastAsia="仿宋_GB2312" w:cs="Times New Roman"/>
          <w:b w:val="0"/>
          <w:bCs w:val="0"/>
          <w:sz w:val="32"/>
          <w:szCs w:val="32"/>
          <w:lang w:eastAsia="zh-CN"/>
        </w:rPr>
        <w:t>有</w:t>
      </w:r>
      <w:r>
        <w:rPr>
          <w:rFonts w:hint="default" w:ascii="Times New Roman" w:hAnsi="Times New Roman" w:eastAsia="仿宋_GB2312" w:cs="Times New Roman"/>
          <w:b w:val="0"/>
          <w:bCs w:val="0"/>
          <w:sz w:val="32"/>
          <w:szCs w:val="32"/>
        </w:rPr>
        <w:t>部署、年中</w:t>
      </w:r>
      <w:r>
        <w:rPr>
          <w:rFonts w:hint="default" w:ascii="Times New Roman" w:hAnsi="Times New Roman" w:eastAsia="仿宋_GB2312" w:cs="Times New Roman"/>
          <w:b w:val="0"/>
          <w:bCs w:val="0"/>
          <w:sz w:val="32"/>
          <w:szCs w:val="32"/>
          <w:lang w:eastAsia="zh-CN"/>
        </w:rPr>
        <w:t>有</w:t>
      </w:r>
      <w:r>
        <w:rPr>
          <w:rFonts w:hint="default" w:ascii="Times New Roman" w:hAnsi="Times New Roman" w:eastAsia="仿宋_GB2312" w:cs="Times New Roman"/>
          <w:b w:val="0"/>
          <w:bCs w:val="0"/>
          <w:sz w:val="32"/>
          <w:szCs w:val="32"/>
        </w:rPr>
        <w:t>推进、季度</w:t>
      </w:r>
      <w:r>
        <w:rPr>
          <w:rFonts w:hint="default" w:ascii="Times New Roman" w:hAnsi="Times New Roman" w:eastAsia="仿宋_GB2312" w:cs="Times New Roman"/>
          <w:b w:val="0"/>
          <w:bCs w:val="0"/>
          <w:sz w:val="32"/>
          <w:szCs w:val="32"/>
          <w:lang w:eastAsia="zh-CN"/>
        </w:rPr>
        <w:t>有</w:t>
      </w:r>
      <w:r>
        <w:rPr>
          <w:rFonts w:hint="default" w:ascii="Times New Roman" w:hAnsi="Times New Roman" w:eastAsia="仿宋_GB2312" w:cs="Times New Roman"/>
          <w:b w:val="0"/>
          <w:bCs w:val="0"/>
          <w:sz w:val="32"/>
          <w:szCs w:val="32"/>
        </w:rPr>
        <w:t>通报、阶段</w:t>
      </w:r>
      <w:r>
        <w:rPr>
          <w:rFonts w:hint="default" w:ascii="Times New Roman" w:hAnsi="Times New Roman" w:eastAsia="仿宋_GB2312" w:cs="Times New Roman"/>
          <w:b w:val="0"/>
          <w:bCs w:val="0"/>
          <w:sz w:val="32"/>
          <w:szCs w:val="32"/>
          <w:lang w:eastAsia="zh-CN"/>
        </w:rPr>
        <w:t>有</w:t>
      </w:r>
      <w:r>
        <w:rPr>
          <w:rFonts w:hint="default" w:ascii="Times New Roman" w:hAnsi="Times New Roman" w:eastAsia="仿宋_GB2312" w:cs="Times New Roman"/>
          <w:b w:val="0"/>
          <w:bCs w:val="0"/>
          <w:sz w:val="32"/>
          <w:szCs w:val="32"/>
        </w:rPr>
        <w:t>自查、问题</w:t>
      </w:r>
      <w:r>
        <w:rPr>
          <w:rFonts w:hint="default" w:ascii="Times New Roman" w:hAnsi="Times New Roman" w:eastAsia="仿宋_GB2312" w:cs="Times New Roman"/>
          <w:b w:val="0"/>
          <w:bCs w:val="0"/>
          <w:sz w:val="32"/>
          <w:szCs w:val="32"/>
          <w:lang w:eastAsia="zh-CN"/>
        </w:rPr>
        <w:t>有</w:t>
      </w:r>
      <w:r>
        <w:rPr>
          <w:rFonts w:hint="default" w:ascii="Times New Roman" w:hAnsi="Times New Roman" w:eastAsia="仿宋_GB2312" w:cs="Times New Roman"/>
          <w:b w:val="0"/>
          <w:bCs w:val="0"/>
          <w:sz w:val="32"/>
          <w:szCs w:val="32"/>
        </w:rPr>
        <w:t>反馈、难点</w:t>
      </w:r>
      <w:r>
        <w:rPr>
          <w:rFonts w:hint="default" w:ascii="Times New Roman" w:hAnsi="Times New Roman" w:eastAsia="仿宋_GB2312" w:cs="Times New Roman"/>
          <w:b w:val="0"/>
          <w:bCs w:val="0"/>
          <w:sz w:val="32"/>
          <w:szCs w:val="32"/>
          <w:lang w:eastAsia="zh-CN"/>
        </w:rPr>
        <w:t>有</w:t>
      </w:r>
      <w:r>
        <w:rPr>
          <w:rFonts w:hint="default" w:ascii="Times New Roman" w:hAnsi="Times New Roman" w:eastAsia="仿宋_GB2312" w:cs="Times New Roman"/>
          <w:b w:val="0"/>
          <w:bCs w:val="0"/>
          <w:sz w:val="32"/>
          <w:szCs w:val="32"/>
        </w:rPr>
        <w:t>研究”的全方位</w:t>
      </w:r>
      <w:r>
        <w:rPr>
          <w:rFonts w:hint="default" w:ascii="Times New Roman" w:hAnsi="Times New Roman" w:eastAsia="仿宋_GB2312" w:cs="Times New Roman"/>
          <w:b w:val="0"/>
          <w:bCs w:val="0"/>
          <w:sz w:val="32"/>
          <w:szCs w:val="32"/>
          <w:lang w:eastAsia="zh-CN"/>
        </w:rPr>
        <w:t>执法</w:t>
      </w:r>
      <w:r>
        <w:rPr>
          <w:rFonts w:hint="default" w:ascii="Times New Roman" w:hAnsi="Times New Roman" w:eastAsia="仿宋_GB2312" w:cs="Times New Roman"/>
          <w:b w:val="0"/>
          <w:bCs w:val="0"/>
          <w:sz w:val="32"/>
          <w:szCs w:val="32"/>
        </w:rPr>
        <w:t>监督模式。按要求</w:t>
      </w:r>
      <w:r>
        <w:rPr>
          <w:rFonts w:hint="default" w:ascii="Times New Roman" w:hAnsi="Times New Roman" w:eastAsia="仿宋_GB2312" w:cs="Times New Roman"/>
          <w:b w:val="0"/>
          <w:bCs w:val="0"/>
          <w:sz w:val="32"/>
          <w:szCs w:val="32"/>
          <w:lang w:eastAsia="zh-CN"/>
        </w:rPr>
        <w:t>落实</w:t>
      </w:r>
      <w:r>
        <w:rPr>
          <w:rFonts w:hint="default" w:ascii="Times New Roman" w:hAnsi="Times New Roman" w:eastAsia="仿宋_GB2312" w:cs="Times New Roman"/>
          <w:b w:val="0"/>
          <w:bCs w:val="0"/>
          <w:sz w:val="32"/>
          <w:szCs w:val="32"/>
        </w:rPr>
        <w:t>一体化综合监管</w:t>
      </w:r>
      <w:r>
        <w:rPr>
          <w:rFonts w:hint="default" w:ascii="Times New Roman" w:hAnsi="Times New Roman" w:eastAsia="仿宋_GB2312" w:cs="Times New Roman"/>
          <w:b w:val="0"/>
          <w:bCs w:val="0"/>
          <w:sz w:val="32"/>
          <w:szCs w:val="32"/>
          <w:lang w:eastAsia="zh-CN"/>
        </w:rPr>
        <w:t>改革</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sz w:val="32"/>
          <w:szCs w:val="32"/>
        </w:rPr>
        <w:t>扫码率、非现场驱动模型应用率均达100%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bCs w:val="0"/>
          <w:sz w:val="32"/>
          <w:szCs w:val="32"/>
          <w:highlight w:val="none"/>
        </w:rPr>
        <w:t>非现场检查占比达</w:t>
      </w:r>
      <w:r>
        <w:rPr>
          <w:rFonts w:hint="default" w:ascii="Times New Roman" w:hAnsi="Times New Roman" w:eastAsia="楷体_GB2312" w:cs="Times New Roman"/>
          <w:sz w:val="32"/>
          <w:szCs w:val="32"/>
          <w:highlight w:val="none"/>
          <w:lang w:val="en-US" w:eastAsia="zh-CN"/>
        </w:rPr>
        <w:t>76.11%</w:t>
      </w:r>
      <w:r>
        <w:rPr>
          <w:rFonts w:hint="default" w:ascii="Times New Roman" w:hAnsi="Times New Roman" w:eastAsia="仿宋_GB2312" w:cs="Times New Roman"/>
          <w:b w:val="0"/>
          <w:bCs w:val="0"/>
          <w:sz w:val="32"/>
          <w:szCs w:val="32"/>
          <w:highlight w:val="none"/>
        </w:rPr>
        <w:t>，问题发现率</w:t>
      </w:r>
      <w:r>
        <w:rPr>
          <w:rFonts w:hint="default" w:ascii="Times New Roman" w:hAnsi="Times New Roman" w:eastAsia="仿宋_GB2312" w:cs="Times New Roman"/>
          <w:b w:val="0"/>
          <w:bCs w:val="0"/>
          <w:sz w:val="32"/>
          <w:szCs w:val="32"/>
          <w:highlight w:val="none"/>
          <w:lang w:eastAsia="zh-CN"/>
        </w:rPr>
        <w:t>达</w:t>
      </w:r>
      <w:r>
        <w:rPr>
          <w:rFonts w:hint="default" w:ascii="Times New Roman" w:hAnsi="Times New Roman" w:eastAsia="楷体_GB2312" w:cs="Times New Roman"/>
          <w:sz w:val="32"/>
          <w:szCs w:val="32"/>
          <w:highlight w:val="none"/>
          <w:lang w:val="en-US" w:eastAsia="zh-CN"/>
        </w:rPr>
        <w:t>38.88%</w:t>
      </w:r>
      <w:r>
        <w:rPr>
          <w:rFonts w:hint="default" w:ascii="Times New Roman" w:hAnsi="Times New Roman" w:eastAsia="楷体_GB2312" w:cs="Times New Roman"/>
          <w:sz w:val="32"/>
          <w:szCs w:val="32"/>
          <w:lang w:val="en-US" w:eastAsia="zh-CN"/>
        </w:rPr>
        <w:t>；</w:t>
      </w:r>
      <w:r>
        <w:rPr>
          <w:rFonts w:hint="default" w:ascii="Times New Roman" w:hAnsi="Times New Roman" w:eastAsia="仿宋_GB2312" w:cs="Times New Roman"/>
          <w:b w:val="0"/>
          <w:bCs w:val="0"/>
          <w:sz w:val="32"/>
          <w:szCs w:val="32"/>
        </w:rPr>
        <w:t>未出现计划外检查及检查次数超标</w:t>
      </w:r>
      <w:r>
        <w:rPr>
          <w:rFonts w:hint="default" w:ascii="Times New Roman" w:hAnsi="Times New Roman" w:eastAsia="仿宋_GB2312" w:cs="Times New Roman"/>
          <w:b w:val="0"/>
          <w:bCs w:val="0"/>
          <w:sz w:val="32"/>
          <w:szCs w:val="32"/>
          <w:lang w:eastAsia="zh-CN"/>
        </w:rPr>
        <w:t>等违规检查</w:t>
      </w:r>
      <w:r>
        <w:rPr>
          <w:rFonts w:hint="default" w:ascii="Times New Roman" w:hAnsi="Times New Roman" w:eastAsia="仿宋_GB2312" w:cs="Times New Roman"/>
          <w:b w:val="0"/>
          <w:bCs w:val="0"/>
          <w:sz w:val="32"/>
          <w:szCs w:val="32"/>
        </w:rPr>
        <w:t>情形；制定《部门联合双随机执法计划》，圆满完成联合检查任务。</w:t>
      </w:r>
    </w:p>
    <w:p w14:paraId="6250561E">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sz w:val="32"/>
          <w:szCs w:val="32"/>
          <w:lang w:val="en-US" w:eastAsia="zh-CN"/>
        </w:rPr>
        <w:t>4.</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严格规范文明执法</w:t>
      </w:r>
    </w:p>
    <w:p w14:paraId="46E09127">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按照权责事项清单分解执法职权、确定执法责任，在行政执法过程中，全面落实告知制度，依法保障行政相对人陈述、申辩、提出听证申请等权利。全年总执法量为</w:t>
      </w:r>
      <w:r>
        <w:rPr>
          <w:rFonts w:hint="default" w:ascii="Times New Roman" w:hAnsi="Times New Roman" w:eastAsia="楷体_GB2312" w:cs="Times New Roman"/>
          <w:sz w:val="32"/>
          <w:szCs w:val="32"/>
          <w:lang w:val="en-US" w:eastAsia="zh-CN"/>
        </w:rPr>
        <w:t>3358</w:t>
      </w:r>
      <w:r>
        <w:rPr>
          <w:rFonts w:hint="default" w:ascii="Times New Roman" w:hAnsi="Times New Roman" w:eastAsia="仿宋_GB2312" w:cs="Times New Roman"/>
          <w:kern w:val="2"/>
          <w:sz w:val="32"/>
          <w:szCs w:val="32"/>
          <w:highlight w:val="none"/>
          <w:lang w:val="en-US" w:eastAsia="zh-CN" w:bidi="ar-SA"/>
        </w:rPr>
        <w:t>件，其中执法检查</w:t>
      </w:r>
      <w:r>
        <w:rPr>
          <w:rFonts w:hint="default" w:ascii="Times New Roman" w:hAnsi="Times New Roman" w:eastAsia="楷体_GB2312" w:cs="Times New Roman"/>
          <w:sz w:val="32"/>
          <w:szCs w:val="32"/>
          <w:lang w:val="en-US" w:eastAsia="zh-CN"/>
        </w:rPr>
        <w:t>3051</w:t>
      </w:r>
      <w:r>
        <w:rPr>
          <w:rFonts w:hint="default" w:ascii="Times New Roman" w:hAnsi="Times New Roman" w:eastAsia="仿宋_GB2312" w:cs="Times New Roman"/>
          <w:kern w:val="2"/>
          <w:sz w:val="32"/>
          <w:szCs w:val="32"/>
          <w:highlight w:val="none"/>
          <w:lang w:val="en-US" w:eastAsia="zh-CN" w:bidi="ar-SA"/>
        </w:rPr>
        <w:t>件，行政处罚</w:t>
      </w:r>
      <w:r>
        <w:rPr>
          <w:rFonts w:hint="default" w:ascii="Times New Roman" w:hAnsi="Times New Roman" w:eastAsia="楷体_GB2312" w:cs="Times New Roman"/>
          <w:sz w:val="32"/>
          <w:szCs w:val="32"/>
          <w:lang w:val="en-US" w:eastAsia="zh-CN"/>
        </w:rPr>
        <w:t>307</w:t>
      </w:r>
      <w:r>
        <w:rPr>
          <w:rFonts w:hint="default" w:ascii="Times New Roman" w:hAnsi="Times New Roman" w:eastAsia="仿宋_GB2312" w:cs="Times New Roman"/>
          <w:kern w:val="2"/>
          <w:sz w:val="32"/>
          <w:szCs w:val="32"/>
          <w:highlight w:val="none"/>
          <w:lang w:val="en-US" w:eastAsia="zh-CN" w:bidi="ar-SA"/>
        </w:rPr>
        <w:t>件。未发生因违法执法或者执法不当造成恶劣社会影响的情形。</w:t>
      </w:r>
    </w:p>
    <w:p w14:paraId="6BA61D95">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sz w:val="32"/>
          <w:szCs w:val="32"/>
          <w:lang w:val="en-US" w:eastAsia="zh-CN"/>
        </w:rPr>
        <w:t>5.</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提升案件办理质量</w:t>
      </w:r>
    </w:p>
    <w:p w14:paraId="34C1DE7D">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持续推进行政处罚案卷自查自纠，形成科室自查、法律顾问审查、法制部门复查的三级行政处罚案卷审查模式，实现对案件材料、执法主体、执法人员资格、当事人及事实认定、证据、执法程序、法律适用等合法性问题的全面审核。全年审核</w:t>
      </w:r>
      <w:r>
        <w:rPr>
          <w:rFonts w:hint="default" w:ascii="Times New Roman" w:hAnsi="Times New Roman" w:eastAsia="楷体_GB2312" w:cs="Times New Roman"/>
          <w:sz w:val="32"/>
          <w:szCs w:val="32"/>
          <w:lang w:val="en-US" w:eastAsia="zh-CN"/>
        </w:rPr>
        <w:t>2023</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年以来行政处罚案卷</w:t>
      </w:r>
      <w:r>
        <w:rPr>
          <w:rFonts w:hint="default" w:ascii="Times New Roman" w:hAnsi="Times New Roman" w:eastAsia="楷体_GB2312" w:cs="Times New Roman"/>
          <w:sz w:val="32"/>
          <w:szCs w:val="32"/>
          <w:lang w:val="en-US" w:eastAsia="zh-CN"/>
        </w:rPr>
        <w:t>82</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件次，重大行政处罚案卷</w:t>
      </w:r>
      <w:r>
        <w:rPr>
          <w:rFonts w:hint="default" w:ascii="Times New Roman" w:hAnsi="Times New Roman" w:eastAsia="楷体_GB2312" w:cs="Times New Roman"/>
          <w:sz w:val="32"/>
          <w:szCs w:val="32"/>
          <w:lang w:val="en-US" w:eastAsia="zh-CN"/>
        </w:rPr>
        <w:t>6</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件，通过《行政处罚法制审查问题回馈表》反馈并追踪整改。高质量完成市住建委行政执法专项整治实地督导工作，全面梳理执法薄弱环节并落实整改。</w:t>
      </w:r>
    </w:p>
    <w:p w14:paraId="72757E28">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sz w:val="32"/>
          <w:szCs w:val="32"/>
          <w:lang w:val="en-US" w:eastAsia="zh-CN"/>
        </w:rPr>
        <w:t>6.</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落实行政执法责任和人员管理</w:t>
      </w:r>
    </w:p>
    <w:p w14:paraId="0CFA9900">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严格落实《东城区住房和城市建设委员会行政执法机关</w:t>
      </w:r>
      <w:r>
        <w:rPr>
          <w:rFonts w:hint="default" w:ascii="Times New Roman" w:hAnsi="Times New Roman" w:eastAsia="仿宋_GB2312" w:cs="Times New Roman"/>
          <w:color w:val="000000" w:themeColor="text1"/>
          <w:kern w:val="2"/>
          <w:sz w:val="32"/>
          <w:szCs w:val="32"/>
          <w:highlight w:val="none"/>
          <w:lang w:val="en-US" w:eastAsia="en-US" w:bidi="ar-SA"/>
          <w14:textFill>
            <w14:solidFill>
              <w14:schemeClr w14:val="tx1"/>
            </w14:solidFill>
          </w14:textFill>
        </w:rPr>
        <w:t>内部人员干预、插手执法案件办理的记录、通报和责任追究工作</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细则</w:t>
      </w:r>
      <w:r>
        <w:rPr>
          <w:rFonts w:hint="default" w:ascii="Times New Roman" w:hAnsi="Times New Roman" w:eastAsia="仿宋_GB2312" w:cs="Times New Roman"/>
          <w:color w:val="000000" w:themeColor="text1"/>
          <w:kern w:val="2"/>
          <w:sz w:val="32"/>
          <w:szCs w:val="32"/>
          <w:highlight w:val="none"/>
          <w:lang w:val="en-US" w:eastAsia="en-US" w:bidi="ar-SA"/>
          <w14:textFill>
            <w14:solidFill>
              <w14:schemeClr w14:val="tx1"/>
            </w14:solidFill>
          </w14:textFill>
        </w:rPr>
        <w:t>（试行）</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》，全面实行行政执法机关内部人员干预、插手案件办理的记录、通报和责任追究制度，建立每季度向主任办公会汇报行政执法情况的日常监督机制；根据执法工作情况，不定期召开</w:t>
      </w:r>
      <w:r>
        <w:rPr>
          <w:rFonts w:hint="default" w:ascii="Times New Roman" w:hAnsi="Times New Roman" w:eastAsia="仿宋_GB2312" w:cs="Times New Roman"/>
          <w:b w:val="0"/>
          <w:bCs w:val="0"/>
          <w:sz w:val="32"/>
          <w:szCs w:val="32"/>
          <w:highlight w:val="none"/>
        </w:rPr>
        <w:t>全委执法工作部署会</w:t>
      </w:r>
      <w:r>
        <w:rPr>
          <w:rFonts w:hint="default" w:ascii="Times New Roman" w:hAnsi="Times New Roman" w:eastAsia="仿宋_GB2312" w:cs="Times New Roman"/>
          <w:b w:val="0"/>
          <w:bCs w:val="0"/>
          <w:sz w:val="32"/>
          <w:szCs w:val="32"/>
          <w:highlight w:val="none"/>
          <w:lang w:eastAsia="zh-CN"/>
        </w:rPr>
        <w:t>，动态调整执法方向，通报执法工作问题，</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以</w:t>
      </w:r>
      <w:r>
        <w:rPr>
          <w:rFonts w:hint="default" w:ascii="Times New Roman" w:hAnsi="Times New Roman" w:eastAsia="仿宋_GB2312" w:cs="Times New Roman"/>
          <w:color w:val="000000" w:themeColor="text1"/>
          <w:kern w:val="2"/>
          <w:sz w:val="32"/>
          <w:szCs w:val="32"/>
          <w:highlight w:val="none"/>
          <w:lang w:val="en-US" w:eastAsia="en-US" w:bidi="ar-SA"/>
          <w14:textFill>
            <w14:solidFill>
              <w14:schemeClr w14:val="tx1"/>
            </w14:solidFill>
          </w14:textFill>
        </w:rPr>
        <w:t>保证</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公平、公正办理</w:t>
      </w:r>
      <w:r>
        <w:rPr>
          <w:rFonts w:hint="default" w:ascii="Times New Roman" w:hAnsi="Times New Roman" w:eastAsia="仿宋_GB2312" w:cs="Times New Roman"/>
          <w:color w:val="000000" w:themeColor="text1"/>
          <w:kern w:val="2"/>
          <w:sz w:val="32"/>
          <w:szCs w:val="32"/>
          <w:highlight w:val="none"/>
          <w:lang w:val="en-US" w:eastAsia="en-US" w:bidi="ar-SA"/>
          <w14:textFill>
            <w14:solidFill>
              <w14:schemeClr w14:val="tx1"/>
            </w14:solidFill>
          </w14:textFill>
        </w:rPr>
        <w:t>行政执法案件</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color w:val="000000" w:themeColor="text1"/>
          <w:sz w:val="32"/>
          <w:szCs w:val="32"/>
          <w:highlight w:val="none"/>
          <w:u w:val="none"/>
          <w:lang w:val="en-US" w:eastAsia="zh-CN"/>
          <w14:textFill>
            <w14:solidFill>
              <w14:schemeClr w14:val="tx1"/>
            </w14:solidFill>
          </w14:textFill>
        </w:rPr>
        <w:t>高度重视执法队伍建设，坚持以培育法治素养和提升法治能力为用人导向，</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全面实行行政执法人员持证上岗和资格管理制度，执行《行政执法考试工作规定及考核标准》，实现执法人员</w:t>
      </w:r>
      <w:r>
        <w:rPr>
          <w:rFonts w:hint="eastAsia" w:eastAsia="仿宋_GB2312" w:cs="Times New Roman"/>
          <w:color w:val="000000" w:themeColor="text1"/>
          <w:kern w:val="2"/>
          <w:sz w:val="32"/>
          <w:szCs w:val="32"/>
          <w:highlight w:val="none"/>
          <w:lang w:val="en-US" w:eastAsia="zh-CN" w:bidi="ar-SA"/>
          <w14:textFill>
            <w14:solidFill>
              <w14:schemeClr w14:val="tx1"/>
            </w14:solidFill>
          </w14:textFill>
        </w:rPr>
        <w:t>持证</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上岗。</w:t>
      </w:r>
      <w:r>
        <w:rPr>
          <w:rFonts w:hint="default" w:ascii="Times New Roman" w:hAnsi="Times New Roman" w:eastAsia="仿宋_GB2312" w:cs="Times New Roman"/>
          <w:b w:val="0"/>
          <w:bCs/>
          <w:color w:val="000000" w:themeColor="text1"/>
          <w:sz w:val="32"/>
          <w:szCs w:val="32"/>
          <w:highlight w:val="none"/>
          <w:u w:val="none"/>
          <w:lang w:val="en-US" w:eastAsia="zh-CN"/>
          <w14:textFill>
            <w14:solidFill>
              <w14:schemeClr w14:val="tx1"/>
            </w14:solidFill>
          </w14:textFill>
        </w:rPr>
        <w:t>针对现有人员执法资格考取情况，制定计划，做到应考尽考，力争实现执法资格全覆盖。</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全年共</w:t>
      </w:r>
      <w:r>
        <w:rPr>
          <w:rFonts w:hint="default" w:ascii="Times New Roman" w:hAnsi="Times New Roman" w:eastAsia="楷体_GB2312" w:cs="Times New Roman"/>
          <w:sz w:val="32"/>
          <w:szCs w:val="32"/>
          <w:lang w:val="en-US" w:eastAsia="zh-CN"/>
        </w:rPr>
        <w:t>11</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名同志参加执法考试，</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通过率为</w:t>
      </w:r>
      <w:r>
        <w:rPr>
          <w:rFonts w:hint="default" w:ascii="Times New Roman" w:hAnsi="Times New Roman" w:eastAsia="楷体_GB2312" w:cs="Times New Roman"/>
          <w:sz w:val="32"/>
          <w:szCs w:val="32"/>
          <w:lang w:val="en-US" w:eastAsia="zh-CN"/>
        </w:rPr>
        <w:t>100%</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，促进委内</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行政执法能力的整体提升，为行政执法队伍建设的可持续发展提供保障。</w:t>
      </w:r>
    </w:p>
    <w:p w14:paraId="00B99CF7">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spacing w:line="560" w:lineRule="exact"/>
        <w:ind w:firstLine="640" w:firstLineChars="200"/>
        <w:jc w:val="both"/>
        <w:textAlignment w:val="auto"/>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（五）健全完善突发事件应对制度机制建设</w:t>
      </w:r>
    </w:p>
    <w:p w14:paraId="32D14A44">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spacing w:line="560" w:lineRule="exact"/>
        <w:ind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领导班子持续学习贯彻习近平总书记关于安全生产重要论述，严格落实《地方党政领导干部安全生产责任制规定》，按照《北京市党政领导干部安全生产责任制实施细则》《北京市东城区安全生产“党政同责、一岗双责”暂行规定》《北京市东城区住房和城市建设委员会安全生产“党政同责、一岗双责”暂行规定》等要求，建立并完善了东城区住房和城市建设委员会安全生产“一办五组”工作机制，统筹推动住房城市建设领域安全生产及应急处突工作。</w:t>
      </w:r>
    </w:p>
    <w:p w14:paraId="0129A5EC">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spacing w:line="560" w:lineRule="exact"/>
        <w:ind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根据工作实际，制定了《北京市东城区住房和城市建设委员会防汛应急预案》《建筑工程突发事件应急处置预案》等文件，定期召开安全生产部署会议，常态化开展领导带队检查。深刻吸取事故教训，依托年度安全生产专项整治等行动，严格落实施工现场管理等各专业领域行业监管责任，加强执法力度，督促社会单位有效推进治本攻坚三年行动任务落地见效，大力提升安全生产检查质效。</w:t>
      </w:r>
    </w:p>
    <w:p w14:paraId="3EAA6675">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楷体_GB2312" w:cs="Times New Roman"/>
          <w:b w:val="0"/>
          <w:bCs w:val="0"/>
          <w:sz w:val="32"/>
          <w:szCs w:val="32"/>
          <w:highlight w:val="none"/>
          <w:lang w:val="en-US" w:eastAsia="zh-CN"/>
        </w:rPr>
        <w:t>（六）强化内外监督工作合力</w:t>
      </w:r>
      <w:r>
        <w:rPr>
          <w:rFonts w:hint="default" w:ascii="Times New Roman" w:hAnsi="Times New Roman" w:eastAsia="仿宋_GB2312" w:cs="Times New Roman"/>
          <w:b w:val="0"/>
          <w:bCs w:val="0"/>
          <w:sz w:val="32"/>
          <w:szCs w:val="32"/>
          <w:highlight w:val="none"/>
          <w:lang w:val="en-US" w:eastAsia="zh-CN"/>
        </w:rPr>
        <w:t xml:space="preserve"> </w:t>
      </w:r>
    </w:p>
    <w:p w14:paraId="76E04B47">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楷体_GB2312" w:cs="Times New Roman"/>
          <w:sz w:val="32"/>
          <w:szCs w:val="32"/>
          <w:lang w:val="en-US" w:eastAsia="zh-CN"/>
        </w:rPr>
        <w:t>1.</w:t>
      </w:r>
      <w:r>
        <w:rPr>
          <w:rFonts w:hint="default" w:ascii="Times New Roman" w:hAnsi="Times New Roman" w:eastAsia="仿宋_GB2312" w:cs="Times New Roman"/>
          <w:b w:val="0"/>
          <w:bCs w:val="0"/>
          <w:sz w:val="32"/>
          <w:szCs w:val="32"/>
          <w:highlight w:val="none"/>
          <w:lang w:val="en-US" w:eastAsia="zh-CN"/>
        </w:rPr>
        <w:t>自觉接受各类监督</w:t>
      </w:r>
    </w:p>
    <w:p w14:paraId="7433FF77">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spacing w:line="560" w:lineRule="exact"/>
        <w:ind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主动接受人大和政协依法民主监督。严格落实并持续优化代表建议、政协提案办理工作制度，坚持依法依规、科学办理，全年共承办人大代表议案转建议、建议、政协委员提案、区政协民主党派（团体）提案</w:t>
      </w:r>
      <w:r>
        <w:rPr>
          <w:rFonts w:hint="default" w:ascii="Times New Roman" w:hAnsi="Times New Roman" w:eastAsia="楷体_GB2312" w:cs="Times New Roman"/>
          <w:sz w:val="32"/>
          <w:szCs w:val="32"/>
          <w:lang w:val="en-US" w:eastAsia="zh-CN"/>
        </w:rPr>
        <w:t>40</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件，在区政府办的指导以及各相关部门的大力配合下，均按程序和要求办结。</w:t>
      </w:r>
    </w:p>
    <w:p w14:paraId="05B40A9C">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spacing w:line="560" w:lineRule="exact"/>
        <w:ind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sz w:val="32"/>
          <w:szCs w:val="32"/>
          <w:lang w:val="en-US" w:eastAsia="zh-CN"/>
        </w:rPr>
        <w:t>2.</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深化政府信息公开和政务公开</w:t>
      </w:r>
    </w:p>
    <w:p w14:paraId="15F603CA">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坚持“以公开为常态、不公开为例外”的原则，推进重点领域的信息公开工作，严格落实“先审后发”制度，共在数字东城网站上主动公开信息136条，发布“东城住建”微信公众号255篇。</w:t>
      </w:r>
    </w:p>
    <w:p w14:paraId="7AAE3EEC">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严格遵守《中华人民共和国政府信息公开条例》规定，进一步健全依申请信息公开登记、审核、办理、答复、归档等工作制度，在遵照政府信息公开高效便民原则的同时，主动树立为民服务意识，畅通受理途径，持续提升政务服务水平。全年共收到信息公开申请</w:t>
      </w:r>
      <w:r>
        <w:rPr>
          <w:rFonts w:hint="default" w:ascii="Times New Roman" w:hAnsi="Times New Roman" w:eastAsia="楷体_GB2312" w:cs="Times New Roman"/>
          <w:sz w:val="32"/>
          <w:szCs w:val="32"/>
          <w:highlight w:val="none"/>
          <w:lang w:val="en-US" w:eastAsia="zh-CN"/>
        </w:rPr>
        <w:t>104</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件，均严格依法依规办理。</w:t>
      </w:r>
    </w:p>
    <w:p w14:paraId="0691130F">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spacing w:line="560" w:lineRule="exact"/>
        <w:ind w:firstLine="640" w:firstLineChars="200"/>
        <w:jc w:val="both"/>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（七）社会矛盾纠纷依法有效化解</w:t>
      </w:r>
    </w:p>
    <w:p w14:paraId="779BCC00">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sz w:val="32"/>
          <w:szCs w:val="32"/>
          <w:lang w:val="en-US" w:eastAsia="zh-CN"/>
        </w:rPr>
        <w:t>1</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.扎实做好信访维稳工作</w:t>
      </w:r>
    </w:p>
    <w:p w14:paraId="75B06742">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严格落实领导干部定期接访下访制度，进一步畅通信访反映渠道。全年共接待来访</w:t>
      </w:r>
      <w:r>
        <w:rPr>
          <w:rFonts w:hint="default" w:ascii="Times New Roman" w:hAnsi="Times New Roman" w:eastAsia="楷体_GB2312" w:cs="Times New Roman"/>
          <w:sz w:val="32"/>
          <w:szCs w:val="32"/>
          <w:highlight w:val="none"/>
          <w:lang w:val="en-US" w:eastAsia="zh-CN"/>
        </w:rPr>
        <w:t>79</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批次</w:t>
      </w:r>
      <w:r>
        <w:rPr>
          <w:rFonts w:hint="default" w:ascii="Times New Roman" w:hAnsi="Times New Roman" w:eastAsia="楷体_GB2312" w:cs="Times New Roman"/>
          <w:sz w:val="32"/>
          <w:szCs w:val="32"/>
          <w:highlight w:val="none"/>
          <w:lang w:val="en-US" w:eastAsia="zh-CN"/>
        </w:rPr>
        <w:t>/80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人次，受理来信</w:t>
      </w:r>
      <w:r>
        <w:rPr>
          <w:rFonts w:hint="default" w:ascii="Times New Roman" w:hAnsi="Times New Roman" w:eastAsia="楷体_GB2312" w:cs="Times New Roman"/>
          <w:sz w:val="32"/>
          <w:szCs w:val="32"/>
          <w:highlight w:val="none"/>
          <w:lang w:val="en-US" w:eastAsia="zh-CN"/>
        </w:rPr>
        <w:t>110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件。持续深入开展矛盾纠纷隐患排查及稳控工作，做到“矛盾发现得早、控制得了”，圆满完成元旦、春节、中秋、国庆、两会、中关村文化论坛、纪念中国人民抗日战争暨世界反法西斯战争胜利</w:t>
      </w:r>
      <w:r>
        <w:rPr>
          <w:rFonts w:hint="default" w:ascii="Times New Roman" w:hAnsi="Times New Roman" w:eastAsia="楷体_GB2312" w:cs="Times New Roman"/>
          <w:sz w:val="32"/>
          <w:szCs w:val="32"/>
          <w:highlight w:val="none"/>
          <w:lang w:val="en-US" w:eastAsia="zh-CN"/>
        </w:rPr>
        <w:t>80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周年、二十届四中全会等重点时期的信访维稳工作，实现“四个不发生”工作目标。</w:t>
      </w:r>
    </w:p>
    <w:p w14:paraId="1ADB658F">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sz w:val="32"/>
          <w:szCs w:val="32"/>
          <w:lang w:val="en-US" w:eastAsia="zh-CN"/>
        </w:rPr>
        <w:t>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不断提升接诉即办工作水平</w:t>
      </w:r>
    </w:p>
    <w:p w14:paraId="7E796B54">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坚持以党建为引领，制定并落实各部门好件率目标值、《</w:t>
      </w:r>
      <w:r>
        <w:rPr>
          <w:rFonts w:hint="default" w:ascii="Times New Roman" w:hAnsi="Times New Roman" w:eastAsia="楷体_GB2312" w:cs="Times New Roman"/>
          <w:sz w:val="32"/>
          <w:szCs w:val="32"/>
          <w:lang w:val="en-US" w:eastAsia="zh-CN"/>
        </w:rPr>
        <w:t>2025</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年度接诉即办工作考评办法》及“五四三二一”工作机制；常态化开展“日通报、周提示、月点评”，依托“日周月”动态调度实现全过程闭环管理。持续巩固运行基础，通过班子成员包案、午间调度、提级办理等措施，精准破解疑难工单，有力提升治理效能。推进主动治理成效落地，聚焦新建住宅领域“每月一题”，贯彻落实《主动治理十项措施》，构建“市区联动、部门协同”的主动治理格局，推动“主动治理+未诉先办”双驱动模式落地见效，从源头压减同类诉求，促进“接诉即办”向“未诉先办”深化转型。有力保障重点项目，围绕重点项目（</w:t>
      </w:r>
      <w:r>
        <w:rPr>
          <w:rFonts w:hint="default" w:ascii="Times New Roman" w:hAnsi="Times New Roman" w:eastAsia="楷体_GB2312" w:cs="Times New Roman"/>
          <w:sz w:val="32"/>
          <w:szCs w:val="32"/>
          <w:lang w:val="en-US" w:eastAsia="zh-CN"/>
        </w:rPr>
        <w:t>126</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马圈）推进需求，主动联合属地街道、行业主管等多部门建立联动沟通机制，提前摸排项目推进中的潜在诉求风险，靠前介入化解矛盾隐患，大幅减少相关投诉量，为重点项目平稳顺利实施保驾护航。培训示范同步实施，建立“双肯案件”“优秀案例”分享机制及“红黑榜”好件贡献通报制度；实现“专业培训+点对点指导”全覆盖，有效提升业务能力。</w:t>
      </w:r>
    </w:p>
    <w:p w14:paraId="5EE1895D">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sz w:val="32"/>
          <w:szCs w:val="32"/>
          <w:lang w:val="en-US" w:eastAsia="zh-CN"/>
        </w:rPr>
        <w:t>3.</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加强行政调解工作</w:t>
      </w:r>
    </w:p>
    <w:p w14:paraId="5371B742">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积极发挥行政调解职能，认真落实北京市住房和城乡建设委员会、区司法局、区信访办行政调解工作要求，强化尽职尽责和服务意识，将行政调解灵活运用于工作中，在调解中讲明利害、稳定情绪、妥善疏导、及时调解，保护公民、法人和其他组织的合法权益，促进社会和谐稳定。</w:t>
      </w:r>
    </w:p>
    <w:p w14:paraId="620ABAE8">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sz w:val="32"/>
          <w:szCs w:val="32"/>
          <w:lang w:val="en-US" w:eastAsia="zh-CN"/>
        </w:rPr>
        <w:t>4.</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做好行政复议、应诉工作</w:t>
      </w:r>
    </w:p>
    <w:p w14:paraId="48CAFAD8">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高度重视行政复议、应诉工作，主任办公会每季度听取全委复议、诉讼案件办理情况，针对委内典型案件进行案例分析。</w:t>
      </w:r>
      <w:r>
        <w:rPr>
          <w:rFonts w:hint="default" w:ascii="Times New Roman" w:hAnsi="Times New Roman" w:eastAsia="仿宋_GB2312" w:cs="Times New Roman"/>
          <w:kern w:val="2"/>
          <w:sz w:val="32"/>
          <w:szCs w:val="32"/>
          <w:lang w:val="en-US" w:eastAsia="zh-CN" w:bidi="ar-SA"/>
        </w:rPr>
        <w:t>为</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扎实做好应诉、复议工作，有效化解行政争议，一方面通过案件会商提质增效，提高案件办理中各职能部门参与度，增强办案人员程序观念，强化责任意识；另一方面</w:t>
      </w:r>
      <w:r>
        <w:rPr>
          <w:rFonts w:hint="default" w:ascii="Times New Roman" w:hAnsi="Times New Roman" w:eastAsia="仿宋_GB2312" w:cs="Times New Roman"/>
          <w:kern w:val="2"/>
          <w:sz w:val="32"/>
          <w:szCs w:val="32"/>
          <w:lang w:val="en-US" w:eastAsia="zh-CN" w:bidi="ar-SA"/>
        </w:rPr>
        <w:t>坚持“化解优先”原则，</w:t>
      </w:r>
      <w:r>
        <w:rPr>
          <w:rFonts w:hint="default" w:ascii="Times New Roman" w:hAnsi="Times New Roman" w:eastAsia="仿宋_GB2312" w:cs="Times New Roman"/>
          <w:b w:val="0"/>
          <w:bCs w:val="0"/>
          <w:sz w:val="32"/>
          <w:szCs w:val="32"/>
        </w:rPr>
        <w:t>主动与</w:t>
      </w:r>
      <w:r>
        <w:rPr>
          <w:rFonts w:hint="default" w:ascii="Times New Roman" w:hAnsi="Times New Roman" w:eastAsia="仿宋_GB2312" w:cs="Times New Roman"/>
          <w:b w:val="0"/>
          <w:bCs w:val="0"/>
          <w:sz w:val="32"/>
          <w:szCs w:val="32"/>
          <w:lang w:val="en-US" w:eastAsia="zh-CN"/>
        </w:rPr>
        <w:t>复议</w:t>
      </w:r>
      <w:r>
        <w:rPr>
          <w:rFonts w:hint="default" w:ascii="Times New Roman" w:hAnsi="Times New Roman" w:eastAsia="仿宋_GB2312" w:cs="Times New Roman"/>
          <w:b w:val="0"/>
          <w:bCs w:val="0"/>
          <w:sz w:val="32"/>
          <w:szCs w:val="32"/>
        </w:rPr>
        <w:t>申请人、原告沟通，</w:t>
      </w:r>
      <w:r>
        <w:rPr>
          <w:rFonts w:hint="default" w:ascii="Times New Roman" w:hAnsi="Times New Roman" w:eastAsia="仿宋_GB2312" w:cs="Times New Roman"/>
          <w:b w:val="0"/>
          <w:bCs w:val="0"/>
          <w:sz w:val="32"/>
          <w:szCs w:val="32"/>
          <w:lang w:val="en-US" w:eastAsia="zh-CN"/>
        </w:rPr>
        <w:t>全年</w:t>
      </w:r>
      <w:r>
        <w:rPr>
          <w:rFonts w:hint="default" w:ascii="Times New Roman" w:hAnsi="Times New Roman" w:eastAsia="仿宋_GB2312" w:cs="Times New Roman"/>
          <w:b w:val="0"/>
          <w:bCs w:val="0"/>
          <w:sz w:val="32"/>
          <w:szCs w:val="32"/>
        </w:rPr>
        <w:t>促成</w:t>
      </w:r>
      <w:r>
        <w:rPr>
          <w:rFonts w:hint="default" w:ascii="Times New Roman" w:hAnsi="Times New Roman" w:eastAsia="楷体_GB2312" w:cs="Times New Roman"/>
          <w:sz w:val="32"/>
          <w:szCs w:val="32"/>
          <w:lang w:val="en-US" w:eastAsia="zh-CN"/>
        </w:rPr>
        <w:t>2</w:t>
      </w:r>
      <w:r>
        <w:rPr>
          <w:rFonts w:hint="default" w:ascii="Times New Roman" w:hAnsi="Times New Roman" w:eastAsia="仿宋_GB2312" w:cs="Times New Roman"/>
          <w:b w:val="0"/>
          <w:bCs w:val="0"/>
          <w:sz w:val="32"/>
          <w:szCs w:val="32"/>
        </w:rPr>
        <w:t>件行政复议</w:t>
      </w:r>
      <w:r>
        <w:rPr>
          <w:rFonts w:hint="default" w:ascii="Times New Roman" w:hAnsi="Times New Roman" w:eastAsia="仿宋_GB2312" w:cs="Times New Roman"/>
          <w:b w:val="0"/>
          <w:bCs w:val="0"/>
          <w:sz w:val="32"/>
          <w:szCs w:val="32"/>
          <w:lang w:eastAsia="zh-CN"/>
        </w:rPr>
        <w:t>案件</w:t>
      </w:r>
      <w:r>
        <w:rPr>
          <w:rFonts w:hint="default" w:ascii="Times New Roman" w:hAnsi="Times New Roman" w:eastAsia="仿宋_GB2312" w:cs="Times New Roman"/>
          <w:b w:val="0"/>
          <w:bCs w:val="0"/>
          <w:sz w:val="32"/>
          <w:szCs w:val="32"/>
        </w:rPr>
        <w:t>申请人撤回复议申请、</w:t>
      </w:r>
      <w:r>
        <w:rPr>
          <w:rFonts w:hint="default" w:ascii="Times New Roman" w:hAnsi="Times New Roman" w:eastAsia="楷体_GB2312" w:cs="Times New Roman"/>
          <w:sz w:val="32"/>
          <w:szCs w:val="32"/>
          <w:lang w:val="en-US" w:eastAsia="zh-CN"/>
        </w:rPr>
        <w:t>2</w:t>
      </w:r>
      <w:r>
        <w:rPr>
          <w:rFonts w:hint="default" w:ascii="Times New Roman" w:hAnsi="Times New Roman" w:eastAsia="仿宋_GB2312" w:cs="Times New Roman"/>
          <w:b w:val="0"/>
          <w:bCs w:val="0"/>
          <w:sz w:val="32"/>
          <w:szCs w:val="32"/>
        </w:rPr>
        <w:t>件行政诉讼</w:t>
      </w:r>
      <w:r>
        <w:rPr>
          <w:rFonts w:hint="default" w:ascii="Times New Roman" w:hAnsi="Times New Roman" w:eastAsia="仿宋_GB2312" w:cs="Times New Roman"/>
          <w:b w:val="0"/>
          <w:bCs w:val="0"/>
          <w:sz w:val="32"/>
          <w:szCs w:val="32"/>
          <w:lang w:eastAsia="zh-CN"/>
        </w:rPr>
        <w:t>案件</w:t>
      </w:r>
      <w:r>
        <w:rPr>
          <w:rFonts w:hint="default" w:ascii="Times New Roman" w:hAnsi="Times New Roman" w:eastAsia="仿宋_GB2312" w:cs="Times New Roman"/>
          <w:b w:val="0"/>
          <w:bCs w:val="0"/>
          <w:sz w:val="32"/>
          <w:szCs w:val="32"/>
        </w:rPr>
        <w:t>原告撤诉。</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全年共开展案件会商</w:t>
      </w:r>
      <w:r>
        <w:rPr>
          <w:rFonts w:hint="default" w:ascii="Times New Roman" w:hAnsi="Times New Roman" w:eastAsia="楷体_GB2312" w:cs="Times New Roman"/>
          <w:sz w:val="32"/>
          <w:szCs w:val="32"/>
          <w:lang w:val="en-US" w:eastAsia="zh-CN"/>
        </w:rPr>
        <w:t>40</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余次，办理诉讼、复议和检察监督案件</w:t>
      </w:r>
      <w:r>
        <w:rPr>
          <w:rFonts w:hint="default" w:ascii="Times New Roman" w:hAnsi="Times New Roman" w:eastAsia="楷体_GB2312" w:cs="Times New Roman"/>
          <w:sz w:val="32"/>
          <w:szCs w:val="32"/>
          <w:lang w:val="en-US" w:eastAsia="zh-CN"/>
        </w:rPr>
        <w:t>32</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件。</w:t>
      </w:r>
    </w:p>
    <w:p w14:paraId="5A9400FD">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二、</w:t>
      </w:r>
      <w:r>
        <w:rPr>
          <w:rFonts w:hint="default" w:ascii="Times New Roman" w:hAnsi="Times New Roman" w:eastAsia="楷体_GB2312" w:cs="Times New Roman"/>
          <w:sz w:val="32"/>
          <w:szCs w:val="32"/>
          <w:lang w:val="en-US" w:eastAsia="zh-CN"/>
        </w:rPr>
        <w:t>2025</w:t>
      </w:r>
      <w:r>
        <w:rPr>
          <w:rFonts w:hint="default" w:ascii="Times New Roman" w:hAnsi="Times New Roman" w:eastAsia="黑体" w:cs="Times New Roman"/>
          <w:sz w:val="32"/>
          <w:szCs w:val="32"/>
          <w:highlight w:val="none"/>
          <w:lang w:val="en-US" w:eastAsia="zh-CN"/>
        </w:rPr>
        <w:t>年推进法治政府建设存在的不足和原因</w:t>
      </w:r>
    </w:p>
    <w:p w14:paraId="143CB948">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right="0" w:rightChars="0" w:firstLine="640" w:firstLineChars="200"/>
        <w:jc w:val="both"/>
        <w:textAlignment w:val="auto"/>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t>（一）法治意识有待深化</w:t>
      </w:r>
    </w:p>
    <w:p w14:paraId="6DD6E127">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color w:val="333333"/>
          <w:kern w:val="0"/>
          <w:sz w:val="32"/>
          <w:szCs w:val="32"/>
          <w:highlight w:val="none"/>
          <w:lang w:val="en-US" w:eastAsia="zh-CN"/>
        </w:rPr>
        <w:t>对全面依法治国和法治政府建设的认识、依法治理思想有待进一步提升。一方面</w:t>
      </w:r>
      <w:r>
        <w:rPr>
          <w:rFonts w:hint="default" w:ascii="Times New Roman" w:hAnsi="Times New Roman" w:eastAsia="仿宋_GB2312" w:cs="Times New Roman"/>
          <w:color w:val="333333"/>
          <w:kern w:val="0"/>
          <w:sz w:val="32"/>
          <w:szCs w:val="32"/>
          <w:highlight w:val="none"/>
          <w:lang w:eastAsia="zh-CN"/>
        </w:rPr>
        <w:t>部分业务部门存在重工作轻宣传的问题，“谁执法谁普法”观念仍需在认识层面深化；另一方面法治宣传氛围不够浓厚，普法工作与绩效考核衔接不够紧密。</w:t>
      </w:r>
    </w:p>
    <w:p w14:paraId="32C60C79">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right="0" w:rightChars="0"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t>（二）普法效果仍需加强</w:t>
      </w:r>
    </w:p>
    <w:p w14:paraId="17AB8659">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right="0" w:righ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“以案释法”社会影响力有限，在向公众进行普法宣传时，未能充分发挥案例警示教育作用；普法形式有待创新，群众性法治宣传活动有待挖掘。</w:t>
      </w:r>
    </w:p>
    <w:p w14:paraId="6DC9E2D0">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right="0" w:rightChars="0" w:firstLine="640" w:firstLineChars="200"/>
        <w:jc w:val="both"/>
        <w:textAlignment w:val="auto"/>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sz w:val="32"/>
          <w:szCs w:val="32"/>
          <w:highlight w:val="none"/>
          <w:lang w:val="en-US" w:eastAsia="zh-CN"/>
        </w:rPr>
        <w:t>（三）执法水平可再提升</w:t>
      </w:r>
    </w:p>
    <w:p w14:paraId="583B15EF">
      <w:pPr>
        <w:keepNext/>
        <w:keepLines w:val="0"/>
        <w:pageBreakBefore w:val="0"/>
        <w:widowControl w:val="0"/>
        <w:pBdr>
          <w:bottom w:val="single" w:color="FFFFFF" w:sz="4" w:space="31"/>
        </w:pBdr>
        <w:kinsoku/>
        <w:wordWrap/>
        <w:overflowPunct/>
        <w:topLinePunct/>
        <w:autoSpaceDE/>
        <w:autoSpaceDN/>
        <w:bidi w:val="0"/>
        <w:adjustRightInd w:val="0"/>
        <w:snapToGrid w:val="0"/>
        <w:spacing w:line="560" w:lineRule="exact"/>
        <w:ind w:firstLine="640" w:firstLineChars="200"/>
        <w:jc w:val="both"/>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少数执法人员法治观念不强，执法程序不够规范，落实行政执法“三项制度”存在细节疏漏；非现场驱动监管模式的探索落实有待进一步深入；住建领域法律法规多、专业性强，专项培训针对性有待加强</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p>
    <w:p w14:paraId="29A2B8B1">
      <w:pPr>
        <w:keepNext/>
        <w:keepLines w:val="0"/>
        <w:pageBreakBefore w:val="0"/>
        <w:widowControl w:val="0"/>
        <w:pBdr>
          <w:bottom w:val="single" w:color="FFFFFF" w:sz="4" w:space="31"/>
        </w:pBdr>
        <w:kinsoku/>
        <w:wordWrap/>
        <w:overflowPunct/>
        <w:topLinePunct/>
        <w:autoSpaceDE/>
        <w:autoSpaceDN/>
        <w:bidi w:val="0"/>
        <w:adjustRightInd w:val="0"/>
        <w:snapToGrid w:val="0"/>
        <w:spacing w:line="560" w:lineRule="exact"/>
        <w:ind w:firstLine="640" w:firstLineChars="200"/>
        <w:jc w:val="both"/>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三、</w:t>
      </w:r>
      <w:r>
        <w:rPr>
          <w:rFonts w:hint="default" w:ascii="Times New Roman" w:hAnsi="Times New Roman" w:eastAsia="楷体_GB2312" w:cs="Times New Roman"/>
          <w:sz w:val="32"/>
          <w:szCs w:val="32"/>
          <w:lang w:val="en-US" w:eastAsia="zh-CN"/>
        </w:rPr>
        <w:t>2025</w:t>
      </w:r>
      <w:r>
        <w:rPr>
          <w:rFonts w:hint="default" w:ascii="Times New Roman" w:hAnsi="Times New Roman" w:eastAsia="黑体" w:cs="Times New Roman"/>
          <w:sz w:val="32"/>
          <w:szCs w:val="32"/>
          <w:highlight w:val="none"/>
          <w:lang w:val="en-US" w:eastAsia="zh-CN"/>
        </w:rPr>
        <w:t>年党政主要负责人履行推进法治建设第一责任人职责，加强法治政府建设的有关情况</w:t>
      </w:r>
    </w:p>
    <w:p w14:paraId="07EB683C">
      <w:pPr>
        <w:keepNext/>
        <w:keepLines w:val="0"/>
        <w:pageBreakBefore w:val="0"/>
        <w:widowControl w:val="0"/>
        <w:pBdr>
          <w:bottom w:val="single" w:color="FFFFFF" w:sz="4" w:space="31"/>
        </w:pBdr>
        <w:kinsoku/>
        <w:wordWrap/>
        <w:overflowPunct/>
        <w:topLinePunct/>
        <w:autoSpaceDE/>
        <w:autoSpaceDN/>
        <w:bidi w:val="0"/>
        <w:adjustRightInd w:val="0"/>
        <w:snapToGrid w:val="0"/>
        <w:spacing w:line="560" w:lineRule="exact"/>
        <w:ind w:firstLine="640" w:firstLineChars="200"/>
        <w:jc w:val="both"/>
        <w:rPr>
          <w:rFonts w:hint="default" w:ascii="Times New Roman" w:hAnsi="Times New Roman" w:eastAsia="仿宋_GB2312" w:cs="Times New Roman"/>
          <w:b w:val="0"/>
          <w:kern w:val="2"/>
          <w:sz w:val="32"/>
          <w:szCs w:val="32"/>
          <w:highlight w:val="none"/>
          <w:lang w:val="en-US" w:eastAsia="zh-CN" w:bidi="ar-SA"/>
        </w:rPr>
      </w:pPr>
      <w:r>
        <w:rPr>
          <w:rFonts w:hint="default" w:ascii="Times New Roman" w:hAnsi="Times New Roman" w:eastAsia="仿宋_GB2312" w:cs="Times New Roman"/>
          <w:b w:val="0"/>
          <w:kern w:val="2"/>
          <w:sz w:val="32"/>
          <w:szCs w:val="32"/>
          <w:highlight w:val="none"/>
          <w:lang w:val="en-US" w:eastAsia="zh-CN" w:bidi="ar-SA"/>
        </w:rPr>
        <w:t>党组书记、主任严格履行推进法治建设第一责任人职责，自觉运用法治思维和法治方式统筹工作、推动发展，对法治建设重要工作亲自部署、重大问题亲自过问、重点环节亲自协调、重要任务亲自督办，切实履行法治建设组织者、推动者和实践者职责。</w:t>
      </w:r>
    </w:p>
    <w:p w14:paraId="4E3269AC">
      <w:pPr>
        <w:keepNext/>
        <w:keepLines w:val="0"/>
        <w:pageBreakBefore w:val="0"/>
        <w:widowControl w:val="0"/>
        <w:numPr>
          <w:ilvl w:val="0"/>
          <w:numId w:val="4"/>
        </w:numPr>
        <w:pBdr>
          <w:bottom w:val="single" w:color="FFFFFF" w:sz="4" w:space="31"/>
        </w:pBdr>
        <w:kinsoku/>
        <w:wordWrap/>
        <w:overflowPunct/>
        <w:topLinePunct/>
        <w:autoSpaceDE/>
        <w:autoSpaceDN/>
        <w:bidi w:val="0"/>
        <w:adjustRightInd w:val="0"/>
        <w:snapToGrid w:val="0"/>
        <w:spacing w:line="560" w:lineRule="exact"/>
        <w:ind w:firstLine="640" w:firstLineChars="200"/>
        <w:jc w:val="both"/>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带头学习领会习近平法治思想</w:t>
      </w:r>
    </w:p>
    <w:p w14:paraId="3545A97C">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jc w:val="both"/>
        <w:rPr>
          <w:rFonts w:hint="default" w:ascii="Times New Roman" w:hAnsi="Times New Roman" w:eastAsia="仿宋_GB2312" w:cs="Times New Roman"/>
          <w:b w:val="0"/>
          <w:kern w:val="2"/>
          <w:sz w:val="32"/>
          <w:szCs w:val="32"/>
          <w:highlight w:val="none"/>
          <w:lang w:val="en-US" w:eastAsia="zh-CN" w:bidi="ar-SA"/>
        </w:rPr>
      </w:pPr>
      <w:r>
        <w:rPr>
          <w:rFonts w:hint="default" w:ascii="Times New Roman" w:hAnsi="Times New Roman" w:eastAsia="仿宋_GB2312" w:cs="Times New Roman"/>
          <w:b w:val="0"/>
          <w:kern w:val="2"/>
          <w:sz w:val="32"/>
          <w:szCs w:val="32"/>
          <w:highlight w:val="none"/>
          <w:lang w:val="en-US" w:eastAsia="zh-CN" w:bidi="ar-SA"/>
        </w:rPr>
        <w:t>通过理论学习中心组学习、党内法规专题学习等方式，党政主要负责人带领班子成员和全体党员干部深入学习习近平法治思想，深刻领会“十一个坚持”的丰富内涵，不断增强“四个意识”、坚定“四个自信”、做到“两个维护”，将科学思想转化为法治建设实际成效，以学习夯实思想基础，以问题作为教育导向，全方位推进法治政府建设。</w:t>
      </w:r>
    </w:p>
    <w:p w14:paraId="692C3207">
      <w:pPr>
        <w:keepNext/>
        <w:keepLines w:val="0"/>
        <w:pageBreakBefore w:val="0"/>
        <w:widowControl w:val="0"/>
        <w:numPr>
          <w:ilvl w:val="0"/>
          <w:numId w:val="4"/>
        </w:numPr>
        <w:pBdr>
          <w:bottom w:val="single" w:color="FFFFFF" w:sz="4" w:space="31"/>
        </w:pBdr>
        <w:kinsoku/>
        <w:wordWrap/>
        <w:overflowPunct/>
        <w:topLinePunct/>
        <w:autoSpaceDE/>
        <w:autoSpaceDN/>
        <w:bidi w:val="0"/>
        <w:adjustRightInd w:val="0"/>
        <w:snapToGrid w:val="0"/>
        <w:spacing w:line="560" w:lineRule="exact"/>
        <w:ind w:firstLine="640" w:firstLineChars="200"/>
        <w:jc w:val="both"/>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高度重视会前学法制度</w:t>
      </w:r>
    </w:p>
    <w:p w14:paraId="130E8EFB">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jc w:val="both"/>
        <w:rPr>
          <w:rFonts w:hint="default" w:ascii="Times New Roman" w:hAnsi="Times New Roman" w:eastAsia="仿宋_GB2312" w:cs="Times New Roman"/>
          <w:b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kern w:val="2"/>
          <w:sz w:val="32"/>
          <w:szCs w:val="32"/>
          <w:highlight w:val="none"/>
          <w:lang w:val="en-US" w:eastAsia="zh-CN" w:bidi="ar-SA"/>
        </w:rPr>
        <w:t>党政主要负责人高度重视主任办公会会前学法制度，高度</w:t>
      </w:r>
      <w:r>
        <w:rPr>
          <w:rFonts w:hint="default" w:ascii="Times New Roman" w:hAnsi="Times New Roman" w:eastAsia="仿宋_GB2312" w:cs="Times New Roman"/>
          <w:b w:val="0"/>
          <w:color w:val="000000" w:themeColor="text1"/>
          <w:kern w:val="2"/>
          <w:sz w:val="32"/>
          <w:szCs w:val="32"/>
          <w:highlight w:val="none"/>
          <w:lang w:val="en-US" w:eastAsia="zh-CN" w:bidi="ar-SA"/>
          <w14:textFill>
            <w14:solidFill>
              <w14:schemeClr w14:val="tx1"/>
            </w14:solidFill>
          </w14:textFill>
        </w:rPr>
        <w:t>关注年度学法安排及学习内容。</w:t>
      </w:r>
      <w:r>
        <w:rPr>
          <w:rFonts w:hint="default" w:ascii="Times New Roman" w:hAnsi="Times New Roman" w:eastAsia="仿宋_GB2312" w:cs="Times New Roman"/>
          <w:b w:val="0"/>
          <w:kern w:val="2"/>
          <w:sz w:val="32"/>
          <w:szCs w:val="32"/>
          <w:highlight w:val="none"/>
          <w:lang w:val="en-US" w:eastAsia="zh-CN" w:bidi="ar-SA"/>
        </w:rPr>
        <w:t>在年初拟定的学习计划基础上，根据区委、区政府阶段性工作要求及全委重点任务推进情况，适时调整学习计划，</w:t>
      </w:r>
      <w:r>
        <w:rPr>
          <w:rFonts w:hint="default" w:ascii="Times New Roman" w:hAnsi="Times New Roman" w:eastAsia="仿宋_GB2312" w:cs="Times New Roman"/>
          <w:b w:val="0"/>
          <w:color w:val="000000" w:themeColor="text1"/>
          <w:kern w:val="2"/>
          <w:sz w:val="32"/>
          <w:szCs w:val="32"/>
          <w:highlight w:val="none"/>
          <w:lang w:val="en-US" w:eastAsia="zh-CN" w:bidi="ar-SA"/>
          <w14:textFill>
            <w14:solidFill>
              <w14:schemeClr w14:val="tx1"/>
            </w14:solidFill>
          </w14:textFill>
        </w:rPr>
        <w:t>通过以案说法</w:t>
      </w:r>
      <w:r>
        <w:rPr>
          <w:rFonts w:hint="default" w:ascii="Times New Roman" w:hAnsi="Times New Roman" w:eastAsia="仿宋_GB2312" w:cs="Times New Roman"/>
          <w:color w:val="000000" w:themeColor="text1"/>
          <w:kern w:val="0"/>
          <w:sz w:val="32"/>
          <w:szCs w:val="32"/>
          <w:highlight w:val="none"/>
          <w:shd w:val="clear" w:color="auto" w:fill="FFFFFF"/>
          <w:lang w:eastAsia="zh-CN" w:bidi="ar"/>
          <w14:textFill>
            <w14:solidFill>
              <w14:schemeClr w14:val="tx1"/>
            </w14:solidFill>
          </w14:textFill>
        </w:rPr>
        <w:t>强化</w:t>
      </w:r>
      <w:r>
        <w:rPr>
          <w:rFonts w:hint="default"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领导干部</w:t>
      </w:r>
      <w:r>
        <w:rPr>
          <w:rFonts w:hint="default" w:ascii="Times New Roman" w:hAnsi="Times New Roman" w:eastAsia="仿宋_GB2312" w:cs="Times New Roman"/>
          <w:color w:val="000000" w:themeColor="text1"/>
          <w:kern w:val="0"/>
          <w:sz w:val="32"/>
          <w:szCs w:val="32"/>
          <w:highlight w:val="none"/>
          <w:shd w:val="clear" w:color="auto" w:fill="FFFFFF"/>
          <w:lang w:eastAsia="zh-CN" w:bidi="ar"/>
          <w14:textFill>
            <w14:solidFill>
              <w14:schemeClr w14:val="tx1"/>
            </w14:solidFill>
          </w14:textFill>
        </w:rPr>
        <w:t>依法行政观念，</w:t>
      </w:r>
      <w:r>
        <w:rPr>
          <w:rFonts w:hint="default"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全年组织理论</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学习</w:t>
      </w:r>
      <w:r>
        <w:rPr>
          <w:rFonts w:hint="default"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中心组学习</w:t>
      </w:r>
      <w:r>
        <w:rPr>
          <w:rFonts w:hint="default" w:ascii="Times New Roman" w:hAnsi="Times New Roman" w:eastAsia="楷体_GB2312" w:cs="Times New Roman"/>
          <w:sz w:val="32"/>
          <w:szCs w:val="32"/>
          <w:lang w:val="en-US" w:eastAsia="zh-CN"/>
        </w:rPr>
        <w:t>12</w:t>
      </w:r>
      <w:r>
        <w:rPr>
          <w:rFonts w:hint="default"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次，会前学法</w:t>
      </w:r>
      <w:r>
        <w:rPr>
          <w:rFonts w:hint="default" w:ascii="Times New Roman" w:hAnsi="Times New Roman" w:eastAsia="楷体_GB2312" w:cs="Times New Roman"/>
          <w:sz w:val="32"/>
          <w:szCs w:val="32"/>
          <w:lang w:val="en-US" w:eastAsia="zh-CN"/>
        </w:rPr>
        <w:t>7</w:t>
      </w:r>
      <w:r>
        <w:rPr>
          <w:rFonts w:hint="default"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次，</w:t>
      </w:r>
      <w:r>
        <w:rPr>
          <w:rFonts w:hint="default" w:ascii="Times New Roman" w:hAnsi="Times New Roman" w:eastAsia="仿宋_GB2312" w:cs="Times New Roman"/>
          <w:b w:val="0"/>
          <w:color w:val="000000" w:themeColor="text1"/>
          <w:kern w:val="2"/>
          <w:sz w:val="32"/>
          <w:szCs w:val="32"/>
          <w:highlight w:val="none"/>
          <w:lang w:val="en-US" w:eastAsia="zh-CN" w:bidi="ar-SA"/>
          <w14:textFill>
            <w14:solidFill>
              <w14:schemeClr w14:val="tx1"/>
            </w14:solidFill>
          </w14:textFill>
        </w:rPr>
        <w:t>组织领导干部参与干部教育培训“每月一题”——推进信访工作法治化专题培训，切实引领全委将科学思想转化为依法行政实效。</w:t>
      </w:r>
    </w:p>
    <w:p w14:paraId="480330F4">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jc w:val="both"/>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（三）定期研究部署法治重点工作</w:t>
      </w:r>
    </w:p>
    <w:p w14:paraId="41AC9CF7">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jc w:val="both"/>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党政主要负责人通过</w:t>
      </w:r>
      <w:r>
        <w:rPr>
          <w:rFonts w:hint="default" w:ascii="Times New Roman" w:hAnsi="Times New Roman" w:eastAsia="仿宋_GB2312" w:cs="Times New Roman"/>
          <w:color w:val="000000"/>
          <w:kern w:val="0"/>
          <w:sz w:val="32"/>
          <w:szCs w:val="32"/>
          <w:highlight w:val="none"/>
          <w:lang w:val="en-US" w:eastAsia="zh-CN"/>
        </w:rPr>
        <w:t>主任办公会每季度听取复议、诉讼案件办理、行政执法、信息公开等工作情况汇报，对安全生产、城市更新等重点领域的法律法规、执法普法、依法履责等工作亲自研究、部署、协调、督办；针对委内典型案件开展案例分析，以案释法；多次通过主任办公会和专题办公会调度法治政府创建工作，亲自部署、调度各项执法工作和重点任务。</w:t>
      </w:r>
    </w:p>
    <w:p w14:paraId="44D4B180">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jc w:val="both"/>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（四）坚持法治导向推进全委工作</w:t>
      </w:r>
    </w:p>
    <w:p w14:paraId="093EE48B">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jc w:val="both"/>
        <w:rPr>
          <w:rFonts w:hint="default" w:ascii="Times New Roman" w:hAnsi="Times New Roman" w:eastAsia="黑体" w:cs="Times New Roman"/>
          <w:sz w:val="32"/>
          <w:szCs w:val="32"/>
          <w:highlight w:val="none"/>
          <w:lang w:val="en-US" w:eastAsia="zh-CN"/>
        </w:rPr>
      </w:pPr>
      <w:r>
        <w:rPr>
          <w:rFonts w:hint="default" w:ascii="Times New Roman" w:hAnsi="Times New Roman" w:eastAsia="仿宋_GB2312" w:cs="Times New Roman"/>
          <w:b w:val="0"/>
          <w:kern w:val="2"/>
          <w:sz w:val="32"/>
          <w:szCs w:val="32"/>
          <w:highlight w:val="none"/>
          <w:lang w:val="en-US" w:eastAsia="zh-CN" w:bidi="ar-SA"/>
        </w:rPr>
        <w:t>在各项工作推进过程中，党政主要负责人全面贯彻落实习近平法治思想、中共中央关于依法治国重要精神，</w:t>
      </w:r>
      <w:r>
        <w:rPr>
          <w:rFonts w:hint="default" w:ascii="Times New Roman" w:hAnsi="Times New Roman" w:eastAsia="仿宋_GB2312" w:cs="Times New Roman"/>
          <w:kern w:val="0"/>
          <w:sz w:val="32"/>
          <w:szCs w:val="32"/>
          <w:highlight w:val="none"/>
          <w:lang w:bidi="ar"/>
        </w:rPr>
        <w:t>严格落实民主集中制各项规定，完善</w:t>
      </w:r>
      <w:r>
        <w:rPr>
          <w:rFonts w:hint="default" w:ascii="Times New Roman" w:hAnsi="Times New Roman" w:eastAsia="仿宋_GB2312" w:cs="Times New Roman"/>
          <w:kern w:val="0"/>
          <w:sz w:val="32"/>
          <w:szCs w:val="32"/>
          <w:highlight w:val="none"/>
          <w:lang w:eastAsia="zh-CN" w:bidi="ar"/>
        </w:rPr>
        <w:t>“</w:t>
      </w:r>
      <w:r>
        <w:rPr>
          <w:rFonts w:hint="default" w:ascii="Times New Roman" w:hAnsi="Times New Roman" w:eastAsia="仿宋_GB2312" w:cs="Times New Roman"/>
          <w:kern w:val="0"/>
          <w:sz w:val="32"/>
          <w:szCs w:val="32"/>
          <w:highlight w:val="none"/>
          <w:lang w:bidi="ar"/>
        </w:rPr>
        <w:t>三重一大</w:t>
      </w:r>
      <w:r>
        <w:rPr>
          <w:rFonts w:hint="default" w:ascii="Times New Roman" w:hAnsi="Times New Roman" w:eastAsia="仿宋_GB2312" w:cs="Times New Roman"/>
          <w:kern w:val="0"/>
          <w:sz w:val="32"/>
          <w:szCs w:val="32"/>
          <w:highlight w:val="none"/>
          <w:lang w:eastAsia="zh-CN" w:bidi="ar"/>
        </w:rPr>
        <w:t>”</w:t>
      </w:r>
      <w:r>
        <w:rPr>
          <w:rFonts w:hint="default" w:ascii="Times New Roman" w:hAnsi="Times New Roman" w:eastAsia="仿宋_GB2312" w:cs="Times New Roman"/>
          <w:kern w:val="0"/>
          <w:sz w:val="32"/>
          <w:szCs w:val="32"/>
          <w:highlight w:val="none"/>
          <w:lang w:bidi="ar"/>
        </w:rPr>
        <w:t>制度，贯彻执行</w:t>
      </w:r>
      <w:r>
        <w:rPr>
          <w:rFonts w:hint="eastAsia" w:eastAsia="仿宋_GB2312" w:cs="Times New Roman"/>
          <w:kern w:val="0"/>
          <w:sz w:val="32"/>
          <w:szCs w:val="32"/>
          <w:highlight w:val="none"/>
          <w:lang w:eastAsia="zh-CN" w:bidi="ar"/>
        </w:rPr>
        <w:t>重大事项请示报告制度</w:t>
      </w:r>
      <w:r>
        <w:rPr>
          <w:rFonts w:hint="default" w:ascii="Times New Roman" w:hAnsi="Times New Roman" w:eastAsia="仿宋_GB2312" w:cs="Times New Roman"/>
          <w:kern w:val="0"/>
          <w:sz w:val="32"/>
          <w:szCs w:val="32"/>
          <w:highlight w:val="none"/>
          <w:lang w:eastAsia="zh-CN" w:bidi="ar"/>
        </w:rPr>
        <w:t>，积极推进</w:t>
      </w:r>
      <w:r>
        <w:rPr>
          <w:rFonts w:hint="default" w:ascii="Times New Roman" w:hAnsi="Times New Roman" w:eastAsia="仿宋_GB2312" w:cs="Times New Roman"/>
          <w:sz w:val="32"/>
          <w:szCs w:val="32"/>
          <w:highlight w:val="none"/>
        </w:rPr>
        <w:t>安全生产监督责任和各项管理制度</w:t>
      </w:r>
      <w:r>
        <w:rPr>
          <w:rFonts w:hint="default" w:ascii="Times New Roman" w:hAnsi="Times New Roman" w:eastAsia="仿宋_GB2312" w:cs="Times New Roman"/>
          <w:sz w:val="32"/>
          <w:szCs w:val="32"/>
          <w:highlight w:val="none"/>
          <w:lang w:eastAsia="zh-CN"/>
        </w:rPr>
        <w:t>，严格执行</w:t>
      </w:r>
      <w:r>
        <w:rPr>
          <w:rFonts w:hint="default" w:ascii="Times New Roman" w:hAnsi="Times New Roman" w:eastAsia="仿宋_GB2312" w:cs="Times New Roman"/>
          <w:b w:val="0"/>
          <w:kern w:val="2"/>
          <w:sz w:val="32"/>
          <w:szCs w:val="32"/>
          <w:highlight w:val="none"/>
          <w:lang w:val="en-US" w:eastAsia="zh-CN" w:bidi="ar-SA"/>
        </w:rPr>
        <w:t>《行政执法机关内部人员干预、插手执法案件办理的记录、通报和责任追究工作细则（试行）》《行政执法与刑事司法衔接工作规定》《政府采购合同签订工作流程》《行政诉讼和行政复议案件应诉工作规定》《领导干部参与应诉及旁听工作规定》，根据实际工作要求修订《合同管理制度》，完善合同签署授权机制，身体力行以法治为导向，以制度为规范，</w:t>
      </w:r>
      <w:r>
        <w:rPr>
          <w:rFonts w:hint="default" w:ascii="Times New Roman" w:hAnsi="Times New Roman" w:eastAsia="仿宋_GB2312" w:cs="Times New Roman"/>
          <w:sz w:val="32"/>
          <w:szCs w:val="32"/>
          <w:highlight w:val="none"/>
          <w:lang w:val="en-US" w:eastAsia="zh-CN"/>
        </w:rPr>
        <w:t>以问题为靶向，真抓实干，推动全委工作在法治框架内有序开展。</w:t>
      </w:r>
    </w:p>
    <w:p w14:paraId="200DBF66">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jc w:val="both"/>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四、</w:t>
      </w:r>
      <w:r>
        <w:rPr>
          <w:rFonts w:hint="default" w:ascii="Times New Roman" w:hAnsi="Times New Roman" w:eastAsia="楷体_GB2312" w:cs="Times New Roman"/>
          <w:sz w:val="32"/>
          <w:szCs w:val="32"/>
          <w:lang w:val="en-US" w:eastAsia="zh-CN"/>
        </w:rPr>
        <w:t>2026</w:t>
      </w:r>
      <w:r>
        <w:rPr>
          <w:rFonts w:hint="default" w:ascii="Times New Roman" w:hAnsi="Times New Roman" w:eastAsia="黑体" w:cs="Times New Roman"/>
          <w:sz w:val="32"/>
          <w:szCs w:val="32"/>
          <w:highlight w:val="none"/>
          <w:lang w:val="en-US" w:eastAsia="zh-CN"/>
        </w:rPr>
        <w:t>年推进法治政府建设的主要安排</w:t>
      </w:r>
    </w:p>
    <w:p w14:paraId="2FFF1F4C">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jc w:val="both"/>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（一）学深悟透习近平法治思想，引领全委法治工作建设</w:t>
      </w:r>
    </w:p>
    <w:p w14:paraId="14C4AA52">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jc w:val="both"/>
        <w:rPr>
          <w:rFonts w:hint="default" w:ascii="Times New Roman" w:hAnsi="Times New Roman" w:eastAsia="仿宋_GB2312" w:cs="Times New Roman"/>
          <w:b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kern w:val="2"/>
          <w:sz w:val="32"/>
          <w:szCs w:val="32"/>
          <w:highlight w:val="none"/>
          <w:lang w:val="en-US" w:eastAsia="zh-CN" w:bidi="ar-SA"/>
        </w:rPr>
        <w:t>结合党的二十大精神和二十届二中、三中、四中全会精神，进一步深入学习习近平法治思想，准确把握“十一个坚持”的丰富内涵，</w:t>
      </w:r>
      <w:r>
        <w:rPr>
          <w:rFonts w:hint="default" w:ascii="Times New Roman" w:hAnsi="Times New Roman" w:eastAsia="仿宋_GB2312" w:cs="Times New Roman"/>
          <w:highlight w:val="none"/>
        </w:rPr>
        <w:t>按照区委</w:t>
      </w:r>
      <w:r>
        <w:rPr>
          <w:rFonts w:hint="default" w:ascii="Times New Roman" w:hAnsi="Times New Roman" w:eastAsia="仿宋_GB2312" w:cs="Times New Roman"/>
          <w:kern w:val="0"/>
          <w:highlight w:val="none"/>
        </w:rPr>
        <w:t>要求</w:t>
      </w:r>
      <w:r>
        <w:rPr>
          <w:rFonts w:hint="default" w:ascii="Times New Roman" w:hAnsi="Times New Roman" w:eastAsia="仿宋_GB2312" w:cs="Times New Roman"/>
          <w:kern w:val="0"/>
          <w:highlight w:val="none"/>
          <w:lang w:eastAsia="zh-CN"/>
        </w:rPr>
        <w:t>，</w:t>
      </w:r>
      <w:r>
        <w:rPr>
          <w:rFonts w:hint="default" w:ascii="Times New Roman" w:hAnsi="Times New Roman" w:eastAsia="仿宋_GB2312" w:cs="Times New Roman"/>
          <w:b w:val="0"/>
          <w:kern w:val="2"/>
          <w:sz w:val="32"/>
          <w:szCs w:val="32"/>
          <w:highlight w:val="none"/>
          <w:lang w:val="en-US" w:eastAsia="zh-CN" w:bidi="ar-SA"/>
        </w:rPr>
        <w:t>不断增强习近平法治思想的自觉性和坚定性，</w:t>
      </w:r>
      <w:r>
        <w:rPr>
          <w:rFonts w:hint="default" w:ascii="Times New Roman" w:hAnsi="Times New Roman" w:eastAsia="仿宋_GB2312" w:cs="Times New Roman"/>
          <w:b w:val="0"/>
          <w:color w:val="000000" w:themeColor="text1"/>
          <w:kern w:val="2"/>
          <w:sz w:val="32"/>
          <w:szCs w:val="32"/>
          <w:highlight w:val="none"/>
          <w:lang w:val="en-US" w:eastAsia="zh-CN" w:bidi="ar-SA"/>
          <w14:textFill>
            <w14:solidFill>
              <w14:schemeClr w14:val="tx1"/>
            </w14:solidFill>
          </w14:textFill>
        </w:rPr>
        <w:t>不断完善第一责任人推进法治政府建设职责，用习近平法治思想武装头脑、指导实践，把科学思想转化为法治工作实效。</w:t>
      </w:r>
    </w:p>
    <w:p w14:paraId="3EAF821E">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jc w:val="both"/>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 xml:space="preserve">（二）全面对应重点工作，明确工作目标和工作重点 </w:t>
      </w:r>
    </w:p>
    <w:p w14:paraId="554D746F">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jc w:val="both"/>
        <w:rPr>
          <w:rFonts w:hint="default" w:ascii="Times New Roman" w:hAnsi="Times New Roman" w:eastAsia="仿宋_GB2312" w:cs="Times New Roman"/>
          <w:b w:val="0"/>
          <w:kern w:val="2"/>
          <w:sz w:val="32"/>
          <w:szCs w:val="32"/>
          <w:highlight w:val="none"/>
          <w:lang w:val="en-US" w:eastAsia="zh-CN" w:bidi="ar-SA"/>
        </w:rPr>
      </w:pPr>
      <w:r>
        <w:rPr>
          <w:rFonts w:hint="default" w:ascii="Times New Roman" w:hAnsi="Times New Roman" w:eastAsia="仿宋_GB2312" w:cs="Times New Roman"/>
          <w:b w:val="0"/>
          <w:kern w:val="2"/>
          <w:sz w:val="32"/>
          <w:szCs w:val="32"/>
          <w:highlight w:val="none"/>
          <w:lang w:val="en-US" w:eastAsia="zh-CN" w:bidi="ar-SA"/>
        </w:rPr>
        <w:t>深入学习和理解北京市住房和城乡建设委员会各项通知精神，以权力清单为基准，强化落实执法主体责任，从行政执法检查量、行政处罚量、案卷评查优秀率等方面入手，结合年度重点工作，有计划、有目标、有针对性地开展行政执法工作。以维护好我区工程建设领域公平有序的发展为基石，提升政府公信力，有效开展执法工作，确保行政执法监督考评各项指标的圆满完成。</w:t>
      </w:r>
    </w:p>
    <w:p w14:paraId="70977E91">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jc w:val="both"/>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（三）推进落实行政执法“三项制度”</w:t>
      </w:r>
    </w:p>
    <w:p w14:paraId="31880814">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jc w:val="both"/>
        <w:rPr>
          <w:rFonts w:hint="default" w:ascii="Times New Roman" w:hAnsi="Times New Roman" w:eastAsia="仿宋_GB2312" w:cs="Times New Roman"/>
          <w:b w:val="0"/>
          <w:kern w:val="2"/>
          <w:sz w:val="32"/>
          <w:szCs w:val="32"/>
          <w:highlight w:val="none"/>
          <w:lang w:val="en-US" w:eastAsia="zh-CN" w:bidi="ar-SA"/>
        </w:rPr>
      </w:pPr>
      <w:r>
        <w:rPr>
          <w:rFonts w:hint="default" w:ascii="Times New Roman" w:hAnsi="Times New Roman" w:eastAsia="仿宋_GB2312" w:cs="Times New Roman"/>
          <w:b w:val="0"/>
          <w:kern w:val="2"/>
          <w:sz w:val="32"/>
          <w:szCs w:val="32"/>
          <w:highlight w:val="none"/>
          <w:lang w:val="en-US" w:eastAsia="zh-CN" w:bidi="ar-SA"/>
        </w:rPr>
        <w:t>持续推进落实行政执法“三项制度”，全面推进行政执法按时完整公示；推动行政执法全过程记录制度走深走实，做到执法全过程记录留痕可溯；全面推行重大决策、规范性文件、重大执法决定法制审核制度，确保决策、文件制定依法依规；提升执法专业化、规范化水平，执法案件做到事实清楚、证据充分确凿、法律法规适用准确、程序合法。</w:t>
      </w:r>
    </w:p>
    <w:p w14:paraId="5668513C">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jc w:val="both"/>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（四）继续加强宣传培训，为法治政府建设打牢基础</w:t>
      </w:r>
    </w:p>
    <w:p w14:paraId="0EBD8DCB">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jc w:val="both"/>
        <w:rPr>
          <w:rFonts w:hint="default" w:ascii="Times New Roman" w:hAnsi="Times New Roman" w:eastAsia="仿宋_GB2312" w:cs="Times New Roman"/>
          <w:b w:val="0"/>
          <w:kern w:val="2"/>
          <w:sz w:val="32"/>
          <w:szCs w:val="32"/>
          <w:highlight w:val="none"/>
          <w:lang w:val="en-US" w:eastAsia="zh-CN" w:bidi="ar-SA"/>
        </w:rPr>
      </w:pPr>
      <w:r>
        <w:rPr>
          <w:rFonts w:hint="default" w:ascii="Times New Roman" w:hAnsi="Times New Roman" w:eastAsia="仿宋_GB2312" w:cs="Times New Roman"/>
          <w:b w:val="0"/>
          <w:kern w:val="2"/>
          <w:sz w:val="32"/>
          <w:szCs w:val="32"/>
          <w:highlight w:val="none"/>
          <w:lang w:val="en-US" w:eastAsia="zh-CN" w:bidi="ar-SA"/>
        </w:rPr>
        <w:t>围绕新时代首都发展和东城区住建领域重点任务，细化“九五”普法实施方案，明确普法目标、重点内容、责任分工和保障措施。创新普法载体，深化“法治宣传培训月”品牌，推动普法与执法、服务、监管深度融合。进一步加强会前学法制度，发挥领导干部学习法律的表率作用，增强领导干部依法行政意识；结合重点及常规工作，及时、有效、有针对性地对工作人员进行法律培训，提高全员法律素质，为依法行政、依法治理培基固本；组织旁听行政诉讼案件，通过沉浸式法治实践教育强化程序意识和责任意识；自学和集中学习相结合，实现全体干部职工对新政策和新法新规应知尽知，</w:t>
      </w:r>
      <w:r>
        <w:rPr>
          <w:rFonts w:hint="default" w:ascii="Times New Roman" w:hAnsi="Times New Roman" w:eastAsia="仿宋_GB2312" w:cs="Times New Roman"/>
          <w:b w:val="0"/>
          <w:color w:val="000000" w:themeColor="text1"/>
          <w:kern w:val="2"/>
          <w:sz w:val="32"/>
          <w:szCs w:val="32"/>
          <w:highlight w:val="none"/>
          <w:lang w:val="en-US" w:eastAsia="zh-CN" w:bidi="ar-SA"/>
          <w14:textFill>
            <w14:solidFill>
              <w14:schemeClr w14:val="tx1"/>
            </w14:solidFill>
          </w14:textFill>
        </w:rPr>
        <w:t>确保一线执法人员年人均接受不少于规定学时的专业培训</w:t>
      </w:r>
      <w:r>
        <w:rPr>
          <w:rFonts w:hint="default" w:ascii="Times New Roman" w:hAnsi="Times New Roman" w:eastAsia="仿宋_GB2312" w:cs="Times New Roman"/>
          <w:b w:val="0"/>
          <w:kern w:val="2"/>
          <w:sz w:val="32"/>
          <w:szCs w:val="32"/>
          <w:highlight w:val="none"/>
          <w:lang w:val="en-US" w:eastAsia="zh-CN" w:bidi="ar-SA"/>
        </w:rPr>
        <w:t>。</w:t>
      </w:r>
    </w:p>
    <w:p w14:paraId="7CCD8388">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jc w:val="both"/>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（五）结合各领域的工作特点，细化执法目标及任务</w:t>
      </w:r>
    </w:p>
    <w:p w14:paraId="673DCD62">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jc w:val="both"/>
        <w:rPr>
          <w:rFonts w:hint="default" w:ascii="Times New Roman" w:hAnsi="Times New Roman" w:eastAsia="仿宋_GB2312" w:cs="Times New Roman"/>
          <w:b w:val="0"/>
          <w:kern w:val="2"/>
          <w:sz w:val="32"/>
          <w:szCs w:val="32"/>
          <w:highlight w:val="none"/>
          <w:lang w:val="en-US" w:eastAsia="zh-CN" w:bidi="ar-SA"/>
        </w:rPr>
      </w:pPr>
      <w:r>
        <w:rPr>
          <w:rFonts w:hint="default" w:ascii="Times New Roman" w:hAnsi="Times New Roman" w:eastAsia="仿宋_GB2312" w:cs="Times New Roman"/>
          <w:b w:val="0"/>
          <w:kern w:val="2"/>
          <w:sz w:val="32"/>
          <w:szCs w:val="32"/>
          <w:highlight w:val="none"/>
          <w:lang w:val="en-US" w:eastAsia="zh-CN" w:bidi="ar-SA"/>
        </w:rPr>
        <w:t>以明确执法职能，强化执法统筹，提高执法效率和职权全面履行为目标，以提升各领域执法质量和效果为主要内容，对目前执法工作中存在的突出问题进行深入分析，及时、有效改进，发挥法律、法规对行业的规范、引导和保障作用，充分运用法律手段约束和规范行业行为，努力实现依法检查、依法查处、依法履责。</w:t>
      </w:r>
    </w:p>
    <w:p w14:paraId="78EC5AB5">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jc w:val="both"/>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（六）善于运用法治思维，强化行业矛盾纠纷化解</w:t>
      </w:r>
    </w:p>
    <w:p w14:paraId="0DBB1C6E">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jc w:val="both"/>
        <w:rPr>
          <w:rFonts w:hint="default" w:ascii="Times New Roman" w:hAnsi="Times New Roman" w:eastAsia="仿宋_GB2312" w:cs="Times New Roman"/>
          <w:b w:val="0"/>
          <w:kern w:val="2"/>
          <w:sz w:val="32"/>
          <w:szCs w:val="32"/>
          <w:highlight w:val="none"/>
          <w:lang w:val="en-US" w:eastAsia="zh-CN" w:bidi="ar-SA"/>
        </w:rPr>
      </w:pPr>
      <w:r>
        <w:rPr>
          <w:rFonts w:hint="default" w:ascii="Times New Roman" w:hAnsi="Times New Roman" w:eastAsia="仿宋_GB2312" w:cs="Times New Roman"/>
          <w:b w:val="0"/>
          <w:kern w:val="2"/>
          <w:sz w:val="32"/>
          <w:szCs w:val="32"/>
          <w:highlight w:val="none"/>
          <w:lang w:val="en-US" w:eastAsia="zh-CN" w:bidi="ar-SA"/>
        </w:rPr>
        <w:t>继续紧盯当前安全生产形势，针对工程质量、安全等环节，做到深化整治，管控到位，从源头上减少纠纷矛盾产生，加大专项治理力度，积极开展普法宣传活动，系统研究解</w:t>
      </w:r>
      <w:bookmarkStart w:id="0" w:name="_GoBack"/>
      <w:r>
        <w:rPr>
          <w:rFonts w:hint="default" w:ascii="Times New Roman" w:hAnsi="Times New Roman" w:eastAsia="仿宋_GB2312" w:cs="Times New Roman"/>
          <w:b w:val="0"/>
          <w:kern w:val="2"/>
          <w:sz w:val="32"/>
          <w:szCs w:val="32"/>
          <w:highlight w:val="none"/>
          <w:lang w:val="en-US" w:eastAsia="zh-CN" w:bidi="ar-SA"/>
        </w:rPr>
        <w:t>决群众</w:t>
      </w:r>
      <w:r>
        <w:rPr>
          <w:rFonts w:hint="eastAsia" w:eastAsia="仿宋_GB2312" w:cs="Times New Roman"/>
          <w:b w:val="0"/>
          <w:kern w:val="2"/>
          <w:sz w:val="32"/>
          <w:szCs w:val="32"/>
          <w:highlight w:val="none"/>
          <w:lang w:val="en-US" w:eastAsia="zh-CN" w:bidi="ar-SA"/>
        </w:rPr>
        <w:t>急难愁盼问题</w:t>
      </w:r>
      <w:r>
        <w:rPr>
          <w:rFonts w:hint="default" w:ascii="Times New Roman" w:hAnsi="Times New Roman" w:eastAsia="仿宋_GB2312" w:cs="Times New Roman"/>
          <w:b w:val="0"/>
          <w:kern w:val="2"/>
          <w:sz w:val="32"/>
          <w:szCs w:val="32"/>
          <w:highlight w:val="none"/>
          <w:lang w:val="en-US" w:eastAsia="zh-CN" w:bidi="ar-SA"/>
        </w:rPr>
        <w:t>，推动住建领域各项工作取得长足发展。</w:t>
      </w:r>
    </w:p>
    <w:bookmarkEnd w:id="0"/>
    <w:p w14:paraId="09602F4A">
      <w:pPr>
        <w:pStyle w:val="2"/>
        <w:jc w:val="both"/>
        <w:rPr>
          <w:rFonts w:hint="default" w:ascii="Times New Roman" w:hAnsi="Times New Roman" w:eastAsia="仿宋_GB2312" w:cs="Times New Roman"/>
          <w:b w:val="0"/>
          <w:kern w:val="2"/>
          <w:sz w:val="32"/>
          <w:szCs w:val="32"/>
          <w:highlight w:val="none"/>
          <w:lang w:val="en-US" w:eastAsia="zh-CN" w:bidi="ar-SA"/>
        </w:rPr>
      </w:pPr>
      <w:r>
        <w:rPr>
          <w:rFonts w:hint="default" w:ascii="Times New Roman" w:hAnsi="Times New Roman" w:eastAsia="仿宋_GB2312" w:cs="Times New Roman"/>
          <w:b w:val="0"/>
          <w:kern w:val="2"/>
          <w:sz w:val="32"/>
          <w:szCs w:val="32"/>
          <w:highlight w:val="none"/>
          <w:lang w:val="en-US" w:eastAsia="zh-CN" w:bidi="ar-SA"/>
        </w:rPr>
        <w:t xml:space="preserve">          </w:t>
      </w:r>
    </w:p>
    <w:sectPr>
      <w:footerReference r:id="rId5" w:type="default"/>
      <w:pgSz w:w="11906" w:h="16838"/>
      <w:pgMar w:top="2098" w:right="1474" w:bottom="1984" w:left="1587" w:header="851" w:footer="992" w:gutter="0"/>
      <w:cols w:space="0" w:num="1"/>
      <w:rtlGutter w:val="0"/>
      <w:docGrid w:type="lines" w:linePitch="43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82DF3">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2098E0">
                          <w:pPr>
                            <w:snapToGrid w:val="0"/>
                            <w:rPr>
                              <w:rFonts w:hint="eastAsia" w:eastAsia="仿宋"/>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2098E0">
                    <w:pPr>
                      <w:snapToGrid w:val="0"/>
                      <w:rPr>
                        <w:rFonts w:hint="eastAsia" w:eastAsia="仿宋"/>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F76581"/>
    <w:multiLevelType w:val="multilevel"/>
    <w:tmpl w:val="C6F76581"/>
    <w:lvl w:ilvl="0" w:tentative="0">
      <w:start w:val="1"/>
      <w:numFmt w:val="chineseCounting"/>
      <w:pStyle w:val="3"/>
      <w:suff w:val="nothing"/>
      <w:lvlText w:val="%1、"/>
      <w:lvlJc w:val="left"/>
      <w:pPr>
        <w:ind w:left="420" w:leftChars="0" w:hanging="420" w:firstLineChars="0"/>
      </w:pPr>
      <w:rPr>
        <w:rFonts w:hint="eastAsia"/>
      </w:rPr>
    </w:lvl>
    <w:lvl w:ilvl="1" w:tentative="0">
      <w:start w:val="1"/>
      <w:numFmt w:val="chineseCounting"/>
      <w:pStyle w:val="4"/>
      <w:suff w:val="nothing"/>
      <w:lvlText w:val="（%2）"/>
      <w:lvlJc w:val="left"/>
      <w:pPr>
        <w:ind w:left="0" w:leftChars="0" w:firstLine="0" w:firstLineChars="0"/>
      </w:pPr>
      <w:rPr>
        <w:rFonts w:hint="eastAsia"/>
      </w:rPr>
    </w:lvl>
    <w:lvl w:ilvl="2" w:tentative="0">
      <w:start w:val="1"/>
      <w:numFmt w:val="decimal"/>
      <w:pStyle w:val="5"/>
      <w:suff w:val="nothing"/>
      <w:lvlText w:val="%3．"/>
      <w:lvlJc w:val="left"/>
      <w:pPr>
        <w:ind w:left="0" w:leftChars="0" w:firstLine="400" w:firstLineChars="0"/>
      </w:pPr>
      <w:rPr>
        <w:rFonts w:hint="eastAsia"/>
      </w:rPr>
    </w:lvl>
    <w:lvl w:ilvl="3" w:tentative="0">
      <w:start w:val="1"/>
      <w:numFmt w:val="decimal"/>
      <w:pStyle w:val="6"/>
      <w:suff w:val="nothing"/>
      <w:lvlText w:val="（%4）"/>
      <w:lvlJc w:val="left"/>
      <w:pPr>
        <w:ind w:left="0" w:leftChars="0" w:firstLine="402" w:firstLineChars="0"/>
      </w:pPr>
      <w:rPr>
        <w:rFonts w:hint="eastAsia"/>
      </w:rPr>
    </w:lvl>
    <w:lvl w:ilvl="4" w:tentative="0">
      <w:start w:val="1"/>
      <w:numFmt w:val="decimalEnclosedCircleChinese"/>
      <w:pStyle w:val="7"/>
      <w:suff w:val="nothing"/>
      <w:lvlText w:val="%5"/>
      <w:lvlJc w:val="left"/>
      <w:pPr>
        <w:ind w:left="0" w:leftChars="0" w:firstLine="402" w:firstLineChars="0"/>
      </w:pPr>
      <w:rPr>
        <w:rFonts w:hint="eastAsia"/>
      </w:rPr>
    </w:lvl>
    <w:lvl w:ilvl="5" w:tentative="0">
      <w:start w:val="1"/>
      <w:numFmt w:val="decimal"/>
      <w:pStyle w:val="8"/>
      <w:suff w:val="nothing"/>
      <w:lvlText w:val="%6）"/>
      <w:lvlJc w:val="left"/>
      <w:pPr>
        <w:ind w:left="0" w:leftChars="0" w:firstLine="402" w:firstLineChars="0"/>
      </w:pPr>
      <w:rPr>
        <w:rFonts w:hint="eastAsia"/>
      </w:rPr>
    </w:lvl>
    <w:lvl w:ilvl="6" w:tentative="0">
      <w:start w:val="1"/>
      <w:numFmt w:val="lowerLetter"/>
      <w:pStyle w:val="9"/>
      <w:suff w:val="nothing"/>
      <w:lvlText w:val="%7．"/>
      <w:lvlJc w:val="left"/>
      <w:pPr>
        <w:ind w:left="0" w:leftChars="0" w:firstLine="402" w:firstLineChars="0"/>
      </w:pPr>
      <w:rPr>
        <w:rFonts w:hint="eastAsia"/>
      </w:rPr>
    </w:lvl>
    <w:lvl w:ilvl="7" w:tentative="0">
      <w:start w:val="1"/>
      <w:numFmt w:val="lowerLetter"/>
      <w:pStyle w:val="10"/>
      <w:suff w:val="nothing"/>
      <w:lvlText w:val="%8）"/>
      <w:lvlJc w:val="left"/>
      <w:pPr>
        <w:ind w:left="0" w:leftChars="0" w:firstLine="402" w:firstLineChars="0"/>
      </w:pPr>
      <w:rPr>
        <w:rFonts w:hint="eastAsia"/>
      </w:rPr>
    </w:lvl>
    <w:lvl w:ilvl="8" w:tentative="0">
      <w:start w:val="1"/>
      <w:numFmt w:val="lowerRoman"/>
      <w:pStyle w:val="11"/>
      <w:suff w:val="nothing"/>
      <w:lvlText w:val="%9 "/>
      <w:lvlJc w:val="left"/>
      <w:pPr>
        <w:ind w:left="0" w:leftChars="0" w:firstLine="402" w:firstLineChars="0"/>
      </w:pPr>
      <w:rPr>
        <w:rFonts w:hint="eastAsia"/>
      </w:rPr>
    </w:lvl>
  </w:abstractNum>
  <w:abstractNum w:abstractNumId="1">
    <w:nsid w:val="4FA5377A"/>
    <w:multiLevelType w:val="singleLevel"/>
    <w:tmpl w:val="4FA5377A"/>
    <w:lvl w:ilvl="0" w:tentative="0">
      <w:start w:val="1"/>
      <w:numFmt w:val="bullet"/>
      <w:pStyle w:val="14"/>
      <w:lvlText w:val=""/>
      <w:lvlJc w:val="left"/>
      <w:pPr>
        <w:tabs>
          <w:tab w:val="left" w:pos="1200"/>
        </w:tabs>
        <w:ind w:left="1200" w:hanging="360"/>
      </w:pPr>
      <w:rPr>
        <w:rFonts w:hint="default" w:ascii="Wingdings" w:hAnsi="Wingdings"/>
      </w:rPr>
    </w:lvl>
  </w:abstractNum>
  <w:abstractNum w:abstractNumId="2">
    <w:nsid w:val="5DE9A9A5"/>
    <w:multiLevelType w:val="singleLevel"/>
    <w:tmpl w:val="5DE9A9A5"/>
    <w:lvl w:ilvl="0" w:tentative="0">
      <w:start w:val="1"/>
      <w:numFmt w:val="decimal"/>
      <w:suff w:val="nothing"/>
      <w:lvlText w:val="（%1）"/>
      <w:lvlJc w:val="left"/>
      <w:pPr>
        <w:ind w:left="0" w:leftChars="0" w:firstLine="397" w:firstLineChars="0"/>
      </w:pPr>
      <w:rPr>
        <w:rFonts w:hint="default"/>
      </w:rPr>
    </w:lvl>
  </w:abstractNum>
  <w:abstractNum w:abstractNumId="3">
    <w:nsid w:val="67E4FA9B"/>
    <w:multiLevelType w:val="singleLevel"/>
    <w:tmpl w:val="67E4FA9B"/>
    <w:lvl w:ilvl="0" w:tentative="0">
      <w:start w:val="1"/>
      <w:numFmt w:val="chineseCounting"/>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22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D0363A"/>
    <w:rsid w:val="00395FEE"/>
    <w:rsid w:val="003D28E1"/>
    <w:rsid w:val="006C059E"/>
    <w:rsid w:val="00EB0D15"/>
    <w:rsid w:val="00FB7798"/>
    <w:rsid w:val="01764033"/>
    <w:rsid w:val="01992A30"/>
    <w:rsid w:val="01D44CBD"/>
    <w:rsid w:val="01F70460"/>
    <w:rsid w:val="02841292"/>
    <w:rsid w:val="05566389"/>
    <w:rsid w:val="05A014DB"/>
    <w:rsid w:val="05D21C79"/>
    <w:rsid w:val="05EC4D95"/>
    <w:rsid w:val="06385E21"/>
    <w:rsid w:val="068D277D"/>
    <w:rsid w:val="071E165F"/>
    <w:rsid w:val="071F4E05"/>
    <w:rsid w:val="07D324F3"/>
    <w:rsid w:val="08E00E81"/>
    <w:rsid w:val="098971EA"/>
    <w:rsid w:val="0B68000F"/>
    <w:rsid w:val="0BB3443F"/>
    <w:rsid w:val="0C2A7692"/>
    <w:rsid w:val="0C4F04F1"/>
    <w:rsid w:val="0C5A4FC9"/>
    <w:rsid w:val="0CA87005"/>
    <w:rsid w:val="0D8571CC"/>
    <w:rsid w:val="0E076BB5"/>
    <w:rsid w:val="0E201D93"/>
    <w:rsid w:val="0E802665"/>
    <w:rsid w:val="0F300F5F"/>
    <w:rsid w:val="0F4A2121"/>
    <w:rsid w:val="10043139"/>
    <w:rsid w:val="10225C99"/>
    <w:rsid w:val="1090648A"/>
    <w:rsid w:val="11842B36"/>
    <w:rsid w:val="1199126F"/>
    <w:rsid w:val="1202308A"/>
    <w:rsid w:val="120A6EA9"/>
    <w:rsid w:val="12283FC9"/>
    <w:rsid w:val="122951A4"/>
    <w:rsid w:val="123E2FFB"/>
    <w:rsid w:val="13355430"/>
    <w:rsid w:val="13FA7751"/>
    <w:rsid w:val="14612913"/>
    <w:rsid w:val="14704FA1"/>
    <w:rsid w:val="14A027A8"/>
    <w:rsid w:val="14D04B5F"/>
    <w:rsid w:val="14FB3059"/>
    <w:rsid w:val="15081CAF"/>
    <w:rsid w:val="151F3A9B"/>
    <w:rsid w:val="15554A65"/>
    <w:rsid w:val="158008D4"/>
    <w:rsid w:val="158A4DC6"/>
    <w:rsid w:val="15AC3295"/>
    <w:rsid w:val="16802E6F"/>
    <w:rsid w:val="17114529"/>
    <w:rsid w:val="171A519A"/>
    <w:rsid w:val="17675C95"/>
    <w:rsid w:val="178A47EA"/>
    <w:rsid w:val="185E52B9"/>
    <w:rsid w:val="19433AC9"/>
    <w:rsid w:val="19AE3B24"/>
    <w:rsid w:val="19DF3698"/>
    <w:rsid w:val="1A46164F"/>
    <w:rsid w:val="1A5C1DE1"/>
    <w:rsid w:val="1A790343"/>
    <w:rsid w:val="1ABE0905"/>
    <w:rsid w:val="1B7A3C2F"/>
    <w:rsid w:val="1BDA26F4"/>
    <w:rsid w:val="1BFA017E"/>
    <w:rsid w:val="1C04371C"/>
    <w:rsid w:val="1C9A3CD0"/>
    <w:rsid w:val="1CE1301F"/>
    <w:rsid w:val="1D5F0B1F"/>
    <w:rsid w:val="1D8C1247"/>
    <w:rsid w:val="1DF555F9"/>
    <w:rsid w:val="1EE26D7C"/>
    <w:rsid w:val="1F941C82"/>
    <w:rsid w:val="20890365"/>
    <w:rsid w:val="20AD6FC9"/>
    <w:rsid w:val="21403C27"/>
    <w:rsid w:val="21ED3623"/>
    <w:rsid w:val="22534284"/>
    <w:rsid w:val="22B015E4"/>
    <w:rsid w:val="231B63DD"/>
    <w:rsid w:val="23260D18"/>
    <w:rsid w:val="23F83CB6"/>
    <w:rsid w:val="24291AAF"/>
    <w:rsid w:val="25145FD7"/>
    <w:rsid w:val="252D3B87"/>
    <w:rsid w:val="25396B0B"/>
    <w:rsid w:val="25411DDC"/>
    <w:rsid w:val="255F354F"/>
    <w:rsid w:val="259C7EAB"/>
    <w:rsid w:val="26056140"/>
    <w:rsid w:val="26770044"/>
    <w:rsid w:val="267D1241"/>
    <w:rsid w:val="27A564DF"/>
    <w:rsid w:val="27D52FF7"/>
    <w:rsid w:val="27D706B2"/>
    <w:rsid w:val="281E5BFE"/>
    <w:rsid w:val="283972B3"/>
    <w:rsid w:val="28522112"/>
    <w:rsid w:val="285E6D49"/>
    <w:rsid w:val="28746095"/>
    <w:rsid w:val="292B5BE1"/>
    <w:rsid w:val="292F4107"/>
    <w:rsid w:val="29606D1A"/>
    <w:rsid w:val="297A3BFD"/>
    <w:rsid w:val="298F2BC1"/>
    <w:rsid w:val="2B2F2C2D"/>
    <w:rsid w:val="2B3A4256"/>
    <w:rsid w:val="2C1858D6"/>
    <w:rsid w:val="2C6FEC5A"/>
    <w:rsid w:val="2C9E5340"/>
    <w:rsid w:val="2D267BC2"/>
    <w:rsid w:val="2D5868C0"/>
    <w:rsid w:val="2D656DDE"/>
    <w:rsid w:val="2D7723BC"/>
    <w:rsid w:val="2DA261B2"/>
    <w:rsid w:val="2DB11202"/>
    <w:rsid w:val="2DCE1AC0"/>
    <w:rsid w:val="2E0E038E"/>
    <w:rsid w:val="2E250FFA"/>
    <w:rsid w:val="2E29290D"/>
    <w:rsid w:val="2E3F287D"/>
    <w:rsid w:val="2F986692"/>
    <w:rsid w:val="2FE930FB"/>
    <w:rsid w:val="307D0D21"/>
    <w:rsid w:val="30B62520"/>
    <w:rsid w:val="30C64B1F"/>
    <w:rsid w:val="32BE261F"/>
    <w:rsid w:val="34F321C5"/>
    <w:rsid w:val="350B64CA"/>
    <w:rsid w:val="351C2721"/>
    <w:rsid w:val="353E5C33"/>
    <w:rsid w:val="35E770EB"/>
    <w:rsid w:val="370C1EE9"/>
    <w:rsid w:val="37245806"/>
    <w:rsid w:val="372D5DCE"/>
    <w:rsid w:val="37384F84"/>
    <w:rsid w:val="374863F4"/>
    <w:rsid w:val="37E239A6"/>
    <w:rsid w:val="380621DC"/>
    <w:rsid w:val="38636296"/>
    <w:rsid w:val="38EA65DF"/>
    <w:rsid w:val="39060978"/>
    <w:rsid w:val="391536EE"/>
    <w:rsid w:val="391D3E6B"/>
    <w:rsid w:val="39741A3F"/>
    <w:rsid w:val="39C87562"/>
    <w:rsid w:val="3A5947E5"/>
    <w:rsid w:val="3BDA79A3"/>
    <w:rsid w:val="3C01754C"/>
    <w:rsid w:val="3CCC39F0"/>
    <w:rsid w:val="3D0E172B"/>
    <w:rsid w:val="3D7E5B97"/>
    <w:rsid w:val="3E3D33AA"/>
    <w:rsid w:val="3EB9102E"/>
    <w:rsid w:val="3ECB2CFE"/>
    <w:rsid w:val="3FAF4661"/>
    <w:rsid w:val="3FD4574C"/>
    <w:rsid w:val="3FFF244E"/>
    <w:rsid w:val="40992884"/>
    <w:rsid w:val="41545161"/>
    <w:rsid w:val="41667422"/>
    <w:rsid w:val="421B3773"/>
    <w:rsid w:val="42781D29"/>
    <w:rsid w:val="438631D2"/>
    <w:rsid w:val="439B202F"/>
    <w:rsid w:val="43C8533B"/>
    <w:rsid w:val="4410644E"/>
    <w:rsid w:val="448F7E56"/>
    <w:rsid w:val="44BD45CF"/>
    <w:rsid w:val="4596377E"/>
    <w:rsid w:val="45C65FB0"/>
    <w:rsid w:val="45DC4A71"/>
    <w:rsid w:val="46D8081F"/>
    <w:rsid w:val="47E50547"/>
    <w:rsid w:val="47EB0788"/>
    <w:rsid w:val="484F0DE6"/>
    <w:rsid w:val="492D4E51"/>
    <w:rsid w:val="49E95964"/>
    <w:rsid w:val="4AC21D37"/>
    <w:rsid w:val="4AE21D6F"/>
    <w:rsid w:val="4AE377D5"/>
    <w:rsid w:val="4B817D62"/>
    <w:rsid w:val="4C6D775D"/>
    <w:rsid w:val="4D034A69"/>
    <w:rsid w:val="4D6123E6"/>
    <w:rsid w:val="4ED53913"/>
    <w:rsid w:val="4EEC66E4"/>
    <w:rsid w:val="4F246766"/>
    <w:rsid w:val="4FBE6B03"/>
    <w:rsid w:val="4FC75F48"/>
    <w:rsid w:val="4FDA28B9"/>
    <w:rsid w:val="4FE201A6"/>
    <w:rsid w:val="5069008A"/>
    <w:rsid w:val="50832633"/>
    <w:rsid w:val="508C6714"/>
    <w:rsid w:val="51461B3D"/>
    <w:rsid w:val="516D3B91"/>
    <w:rsid w:val="51946641"/>
    <w:rsid w:val="51953113"/>
    <w:rsid w:val="51A542DB"/>
    <w:rsid w:val="530669F9"/>
    <w:rsid w:val="534523A3"/>
    <w:rsid w:val="54ED56CA"/>
    <w:rsid w:val="55C865ED"/>
    <w:rsid w:val="55D16BB6"/>
    <w:rsid w:val="55EA6C98"/>
    <w:rsid w:val="562D1835"/>
    <w:rsid w:val="56482354"/>
    <w:rsid w:val="567C75E7"/>
    <w:rsid w:val="575E7B1A"/>
    <w:rsid w:val="577F1E04"/>
    <w:rsid w:val="57E53412"/>
    <w:rsid w:val="581E6191"/>
    <w:rsid w:val="588B3B0A"/>
    <w:rsid w:val="58C90DC0"/>
    <w:rsid w:val="58E07C69"/>
    <w:rsid w:val="59653256"/>
    <w:rsid w:val="5A3D1226"/>
    <w:rsid w:val="5A693276"/>
    <w:rsid w:val="5A716EF1"/>
    <w:rsid w:val="5A955D6A"/>
    <w:rsid w:val="5B0C1BFD"/>
    <w:rsid w:val="5BDA0683"/>
    <w:rsid w:val="5C53782B"/>
    <w:rsid w:val="5CA4668F"/>
    <w:rsid w:val="5CBA0E99"/>
    <w:rsid w:val="5CE045E7"/>
    <w:rsid w:val="6008423B"/>
    <w:rsid w:val="608E1651"/>
    <w:rsid w:val="608F7AC8"/>
    <w:rsid w:val="616A6B94"/>
    <w:rsid w:val="620703A7"/>
    <w:rsid w:val="624D6A42"/>
    <w:rsid w:val="6266339B"/>
    <w:rsid w:val="63010376"/>
    <w:rsid w:val="63377D77"/>
    <w:rsid w:val="639D2FD1"/>
    <w:rsid w:val="63CE1C74"/>
    <w:rsid w:val="64482610"/>
    <w:rsid w:val="64961328"/>
    <w:rsid w:val="650E0312"/>
    <w:rsid w:val="660E1AEC"/>
    <w:rsid w:val="66420CA5"/>
    <w:rsid w:val="67705E7C"/>
    <w:rsid w:val="677D73A0"/>
    <w:rsid w:val="682C00EC"/>
    <w:rsid w:val="684951F1"/>
    <w:rsid w:val="68AC65C2"/>
    <w:rsid w:val="69CE25C8"/>
    <w:rsid w:val="6A9950F8"/>
    <w:rsid w:val="6ADC644E"/>
    <w:rsid w:val="6B936B27"/>
    <w:rsid w:val="6BAC678D"/>
    <w:rsid w:val="6C0C40C6"/>
    <w:rsid w:val="6D7BD6E3"/>
    <w:rsid w:val="6D866865"/>
    <w:rsid w:val="6D8801B5"/>
    <w:rsid w:val="6DCF40F3"/>
    <w:rsid w:val="6DD0363A"/>
    <w:rsid w:val="6E386CF9"/>
    <w:rsid w:val="6E6B62E5"/>
    <w:rsid w:val="6F29798B"/>
    <w:rsid w:val="6F5445D3"/>
    <w:rsid w:val="6F96329C"/>
    <w:rsid w:val="6FA921D9"/>
    <w:rsid w:val="6FDF0E12"/>
    <w:rsid w:val="6FF5967E"/>
    <w:rsid w:val="70C07621"/>
    <w:rsid w:val="70D0452F"/>
    <w:rsid w:val="71087C8D"/>
    <w:rsid w:val="71B14111"/>
    <w:rsid w:val="730A6EFF"/>
    <w:rsid w:val="73376739"/>
    <w:rsid w:val="73406F58"/>
    <w:rsid w:val="73A7207D"/>
    <w:rsid w:val="73D87E33"/>
    <w:rsid w:val="74B82D7A"/>
    <w:rsid w:val="75EA7A16"/>
    <w:rsid w:val="772C6A64"/>
    <w:rsid w:val="774B4CDE"/>
    <w:rsid w:val="777F2A8E"/>
    <w:rsid w:val="77871C2E"/>
    <w:rsid w:val="77AF07BE"/>
    <w:rsid w:val="780543A4"/>
    <w:rsid w:val="784425FA"/>
    <w:rsid w:val="784723FD"/>
    <w:rsid w:val="787D7CD4"/>
    <w:rsid w:val="78904AB9"/>
    <w:rsid w:val="78AF3D0E"/>
    <w:rsid w:val="78DE2435"/>
    <w:rsid w:val="78FE3F59"/>
    <w:rsid w:val="79401AC7"/>
    <w:rsid w:val="795A33F3"/>
    <w:rsid w:val="7A093D56"/>
    <w:rsid w:val="7A206796"/>
    <w:rsid w:val="7A2F0BCA"/>
    <w:rsid w:val="7A3378D1"/>
    <w:rsid w:val="7A6F1FBF"/>
    <w:rsid w:val="7B7E3A83"/>
    <w:rsid w:val="7BCB43C4"/>
    <w:rsid w:val="7BD21A67"/>
    <w:rsid w:val="7C647581"/>
    <w:rsid w:val="7CFB0A94"/>
    <w:rsid w:val="7D466217"/>
    <w:rsid w:val="7D7642CC"/>
    <w:rsid w:val="7D7E0547"/>
    <w:rsid w:val="7DA002B0"/>
    <w:rsid w:val="7DB267A8"/>
    <w:rsid w:val="7F13FF6C"/>
    <w:rsid w:val="7F7FD8C7"/>
    <w:rsid w:val="7F8F3B8F"/>
    <w:rsid w:val="9ABB24E2"/>
    <w:rsid w:val="9DD57C98"/>
    <w:rsid w:val="DFFBC1A3"/>
    <w:rsid w:val="EDBF58D5"/>
    <w:rsid w:val="F41D2C43"/>
    <w:rsid w:val="F757B1A8"/>
    <w:rsid w:val="FF7F1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widowControl w:val="0"/>
      <w:ind w:firstLine="883" w:firstLineChars="200"/>
      <w:jc w:val="both"/>
    </w:pPr>
    <w:rPr>
      <w:rFonts w:ascii="Times New Roman" w:hAnsi="Times New Roman" w:eastAsia="仿宋" w:cs="Times New Roman"/>
      <w:kern w:val="2"/>
      <w:sz w:val="32"/>
      <w:szCs w:val="24"/>
      <w:lang w:val="en-US" w:eastAsia="zh-CN" w:bidi="ar-SA"/>
    </w:rPr>
  </w:style>
  <w:style w:type="paragraph" w:styleId="3">
    <w:name w:val="heading 1"/>
    <w:basedOn w:val="1"/>
    <w:next w:val="1"/>
    <w:link w:val="31"/>
    <w:qFormat/>
    <w:uiPriority w:val="0"/>
    <w:pPr>
      <w:keepNext/>
      <w:keepLines/>
      <w:numPr>
        <w:ilvl w:val="0"/>
        <w:numId w:val="1"/>
      </w:numPr>
      <w:tabs>
        <w:tab w:val="left" w:pos="0"/>
      </w:tabs>
      <w:spacing w:before="50" w:beforeLines="50" w:beforeAutospacing="0" w:after="50" w:afterLines="50" w:afterAutospacing="0" w:line="360" w:lineRule="auto"/>
      <w:ind w:left="0" w:firstLine="883" w:firstLineChars="200"/>
      <w:outlineLvl w:val="0"/>
    </w:pPr>
    <w:rPr>
      <w:rFonts w:ascii="Calibri" w:hAnsi="Calibri" w:eastAsia="黑体"/>
      <w:b/>
      <w:kern w:val="44"/>
    </w:rPr>
  </w:style>
  <w:style w:type="paragraph" w:styleId="4">
    <w:name w:val="heading 2"/>
    <w:basedOn w:val="1"/>
    <w:next w:val="1"/>
    <w:link w:val="32"/>
    <w:unhideWhenUsed/>
    <w:qFormat/>
    <w:uiPriority w:val="0"/>
    <w:pPr>
      <w:keepNext w:val="0"/>
      <w:keepLines w:val="0"/>
      <w:numPr>
        <w:ilvl w:val="1"/>
        <w:numId w:val="1"/>
      </w:numPr>
      <w:spacing w:before="140" w:beforeLines="0" w:beforeAutospacing="0" w:after="20" w:afterLines="0" w:afterAutospacing="0" w:line="360" w:lineRule="auto"/>
      <w:ind w:left="0" w:firstLine="883" w:firstLineChars="200"/>
      <w:outlineLvl w:val="1"/>
    </w:pPr>
    <w:rPr>
      <w:rFonts w:ascii="Arial" w:hAnsi="Arial" w:eastAsia="楷体"/>
      <w:b/>
      <w:szCs w:val="32"/>
    </w:rPr>
  </w:style>
  <w:style w:type="paragraph" w:styleId="5">
    <w:name w:val="heading 3"/>
    <w:basedOn w:val="4"/>
    <w:next w:val="1"/>
    <w:link w:val="33"/>
    <w:unhideWhenUsed/>
    <w:qFormat/>
    <w:uiPriority w:val="0"/>
    <w:pPr>
      <w:keepNext w:val="0"/>
      <w:keepLines w:val="0"/>
      <w:numPr>
        <w:ilvl w:val="2"/>
        <w:numId w:val="1"/>
      </w:numPr>
      <w:spacing w:before="50" w:beforeLines="50" w:beforeAutospacing="0" w:after="50" w:afterLines="50" w:afterAutospacing="0" w:line="360" w:lineRule="auto"/>
      <w:ind w:left="0" w:firstLine="403" w:firstLineChars="0"/>
      <w:outlineLvl w:val="2"/>
    </w:pPr>
    <w:rPr>
      <w:rFonts w:ascii="Calibri" w:hAnsi="Calibri"/>
      <w:b w:val="0"/>
    </w:rPr>
  </w:style>
  <w:style w:type="paragraph" w:styleId="6">
    <w:name w:val="heading 4"/>
    <w:basedOn w:val="1"/>
    <w:next w:val="1"/>
    <w:link w:val="34"/>
    <w:unhideWhenUsed/>
    <w:qFormat/>
    <w:uiPriority w:val="0"/>
    <w:pPr>
      <w:keepNext/>
      <w:keepLines/>
      <w:numPr>
        <w:ilvl w:val="3"/>
        <w:numId w:val="1"/>
      </w:numPr>
      <w:spacing w:before="40" w:beforeLines="0" w:beforeAutospacing="0" w:after="50" w:afterLines="0" w:afterAutospacing="0" w:line="360" w:lineRule="auto"/>
      <w:ind w:left="0" w:firstLine="402" w:firstLineChars="0"/>
      <w:outlineLvl w:val="3"/>
    </w:pPr>
    <w:rPr>
      <w:rFonts w:ascii="Arial" w:hAnsi="Arial" w:eastAsia="黑体" w:cs="Times New Roman"/>
      <w:sz w:val="28"/>
      <w:szCs w:val="24"/>
    </w:rPr>
  </w:style>
  <w:style w:type="paragraph" w:styleId="7">
    <w:name w:val="heading 5"/>
    <w:basedOn w:val="1"/>
    <w:next w:val="1"/>
    <w:link w:val="41"/>
    <w:unhideWhenUsed/>
    <w:qFormat/>
    <w:uiPriority w:val="0"/>
    <w:pPr>
      <w:keepNext w:val="0"/>
      <w:keepLines w:val="0"/>
      <w:numPr>
        <w:ilvl w:val="4"/>
        <w:numId w:val="1"/>
      </w:numPr>
      <w:spacing w:beforeLines="0" w:beforeAutospacing="0" w:afterLines="0" w:afterAutospacing="0" w:line="372" w:lineRule="auto"/>
      <w:ind w:left="0" w:firstLine="402" w:firstLineChars="0"/>
      <w:outlineLvl w:val="4"/>
    </w:pPr>
    <w:rPr>
      <w:rFonts w:ascii="Times New Roman" w:hAnsi="Times New Roman" w:cs="Times New Roman"/>
    </w:rPr>
  </w:style>
  <w:style w:type="paragraph" w:styleId="8">
    <w:name w:val="heading 6"/>
    <w:basedOn w:val="1"/>
    <w:next w:val="1"/>
    <w:unhideWhenUsed/>
    <w:qFormat/>
    <w:uiPriority w:val="0"/>
    <w:pPr>
      <w:keepNext/>
      <w:keepLines/>
      <w:numPr>
        <w:ilvl w:val="5"/>
        <w:numId w:val="1"/>
      </w:numPr>
      <w:spacing w:before="240" w:beforeLines="0" w:beforeAutospacing="0" w:after="64" w:afterLines="0" w:afterAutospacing="0" w:line="317" w:lineRule="auto"/>
      <w:ind w:firstLine="402" w:firstLineChars="0"/>
      <w:outlineLvl w:val="5"/>
    </w:pPr>
    <w:rPr>
      <w:rFonts w:ascii="Arial" w:hAnsi="Arial" w:eastAsia="黑体"/>
      <w:b/>
      <w:sz w:val="24"/>
    </w:rPr>
  </w:style>
  <w:style w:type="paragraph" w:styleId="9">
    <w:name w:val="heading 7"/>
    <w:basedOn w:val="1"/>
    <w:next w:val="1"/>
    <w:unhideWhenUsed/>
    <w:qFormat/>
    <w:uiPriority w:val="0"/>
    <w:pPr>
      <w:keepNext/>
      <w:keepLines/>
      <w:numPr>
        <w:ilvl w:val="6"/>
        <w:numId w:val="1"/>
      </w:numPr>
      <w:spacing w:before="240" w:beforeLines="0" w:beforeAutospacing="0" w:after="64" w:afterLines="0" w:afterAutospacing="0" w:line="317" w:lineRule="auto"/>
      <w:ind w:firstLine="402" w:firstLineChars="0"/>
      <w:outlineLvl w:val="6"/>
    </w:pPr>
    <w:rPr>
      <w:b/>
      <w:sz w:val="24"/>
    </w:rPr>
  </w:style>
  <w:style w:type="paragraph" w:styleId="10">
    <w:name w:val="heading 8"/>
    <w:basedOn w:val="1"/>
    <w:next w:val="1"/>
    <w:unhideWhenUsed/>
    <w:qFormat/>
    <w:uiPriority w:val="0"/>
    <w:pPr>
      <w:keepNext/>
      <w:keepLines/>
      <w:numPr>
        <w:ilvl w:val="7"/>
        <w:numId w:val="1"/>
      </w:numPr>
      <w:spacing w:before="240" w:beforeLines="0" w:beforeAutospacing="0" w:after="64" w:afterLines="0" w:afterAutospacing="0" w:line="317" w:lineRule="auto"/>
      <w:ind w:firstLine="402" w:firstLineChars="0"/>
      <w:outlineLvl w:val="7"/>
    </w:pPr>
    <w:rPr>
      <w:rFonts w:ascii="Arial" w:hAnsi="Arial" w:eastAsia="黑体"/>
      <w:sz w:val="24"/>
    </w:rPr>
  </w:style>
  <w:style w:type="paragraph" w:styleId="11">
    <w:name w:val="heading 9"/>
    <w:basedOn w:val="1"/>
    <w:next w:val="1"/>
    <w:unhideWhenUsed/>
    <w:qFormat/>
    <w:uiPriority w:val="0"/>
    <w:pPr>
      <w:keepNext/>
      <w:keepLines/>
      <w:numPr>
        <w:ilvl w:val="8"/>
        <w:numId w:val="1"/>
      </w:numPr>
      <w:spacing w:before="240" w:beforeLines="0" w:beforeAutospacing="0" w:after="64" w:afterLines="0" w:afterAutospacing="0" w:line="317" w:lineRule="auto"/>
      <w:ind w:firstLine="402" w:firstLineChars="0"/>
      <w:outlineLvl w:val="8"/>
    </w:pPr>
    <w:rPr>
      <w:rFonts w:ascii="Arial" w:hAnsi="Arial" w:eastAsia="黑体"/>
      <w:sz w:val="21"/>
    </w:rPr>
  </w:style>
  <w:style w:type="character" w:default="1" w:styleId="27">
    <w:name w:val="Default Paragraph Font"/>
    <w:semiHidden/>
    <w:qFormat/>
    <w:uiPriority w:val="0"/>
    <w:rPr>
      <w:rFonts w:ascii="Calibri" w:hAnsi="Calibri" w:eastAsia="仿宋"/>
      <w:sz w:val="32"/>
    </w:rPr>
  </w:style>
  <w:style w:type="table" w:default="1" w:styleId="26">
    <w:name w:val="Normal Table"/>
    <w:semiHidden/>
    <w:qFormat/>
    <w:uiPriority w:val="0"/>
    <w:tblPr>
      <w:tblCellMar>
        <w:top w:w="0" w:type="dxa"/>
        <w:left w:w="108" w:type="dxa"/>
        <w:bottom w:w="0" w:type="dxa"/>
        <w:right w:w="108" w:type="dxa"/>
      </w:tblCellMar>
    </w:tblPr>
  </w:style>
  <w:style w:type="paragraph" w:styleId="2">
    <w:name w:val="Body Text Indent 2"/>
    <w:qFormat/>
    <w:uiPriority w:val="0"/>
    <w:pPr>
      <w:widowControl w:val="0"/>
      <w:spacing w:after="12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12">
    <w:name w:val="caption"/>
    <w:basedOn w:val="1"/>
    <w:next w:val="1"/>
    <w:unhideWhenUsed/>
    <w:qFormat/>
    <w:uiPriority w:val="0"/>
    <w:pPr>
      <w:ind w:firstLine="0" w:firstLineChars="0"/>
    </w:pPr>
    <w:rPr>
      <w:rFonts w:ascii="Arial" w:hAnsi="Arial" w:eastAsia="黑体"/>
      <w:sz w:val="20"/>
    </w:rPr>
  </w:style>
  <w:style w:type="paragraph" w:styleId="13">
    <w:name w:val="annotation text"/>
    <w:basedOn w:val="1"/>
    <w:qFormat/>
    <w:uiPriority w:val="0"/>
    <w:pPr>
      <w:jc w:val="left"/>
    </w:pPr>
  </w:style>
  <w:style w:type="paragraph" w:styleId="14">
    <w:name w:val="List Bullet 3"/>
    <w:basedOn w:val="1"/>
    <w:qFormat/>
    <w:uiPriority w:val="0"/>
    <w:pPr>
      <w:numPr>
        <w:ilvl w:val="0"/>
        <w:numId w:val="2"/>
      </w:numPr>
    </w:pPr>
  </w:style>
  <w:style w:type="paragraph" w:styleId="15">
    <w:name w:val="Body Text"/>
    <w:basedOn w:val="1"/>
    <w:next w:val="1"/>
    <w:qFormat/>
    <w:uiPriority w:val="0"/>
    <w:pPr>
      <w:spacing w:after="120" w:afterLines="0" w:afterAutospacing="0"/>
    </w:pPr>
  </w:style>
  <w:style w:type="paragraph" w:styleId="16">
    <w:name w:val="Plain Text"/>
    <w:basedOn w:val="1"/>
    <w:qFormat/>
    <w:uiPriority w:val="0"/>
    <w:rPr>
      <w:rFonts w:ascii="宋体" w:hAnsi="Courier New"/>
    </w:rPr>
  </w:style>
  <w:style w:type="paragraph" w:styleId="17">
    <w:name w:val="endnote text"/>
    <w:basedOn w:val="1"/>
    <w:qFormat/>
    <w:uiPriority w:val="0"/>
    <w:pPr>
      <w:snapToGrid w:val="0"/>
      <w:jc w:val="left"/>
    </w:pPr>
  </w:style>
  <w:style w:type="paragraph" w:styleId="18">
    <w:name w:val="List Continue 5"/>
    <w:basedOn w:val="1"/>
    <w:link w:val="43"/>
    <w:qFormat/>
    <w:uiPriority w:val="0"/>
    <w:pPr>
      <w:spacing w:after="120" w:afterLines="0" w:afterAutospacing="0"/>
      <w:ind w:left="2100" w:leftChars="1000"/>
    </w:pPr>
  </w:style>
  <w:style w:type="paragraph" w:styleId="19">
    <w:name w:val="footer"/>
    <w:basedOn w:val="1"/>
    <w:next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table of figures"/>
    <w:basedOn w:val="1"/>
    <w:next w:val="1"/>
    <w:qFormat/>
    <w:uiPriority w:val="0"/>
    <w:pPr>
      <w:ind w:left="1523" w:leftChars="200" w:firstLine="0" w:firstLineChars="0"/>
    </w:pPr>
  </w:style>
  <w:style w:type="paragraph" w:styleId="22">
    <w:name w:val="toc 2"/>
    <w:basedOn w:val="1"/>
    <w:next w:val="1"/>
    <w:qFormat/>
    <w:uiPriority w:val="0"/>
    <w:pPr>
      <w:ind w:left="420" w:leftChars="200"/>
    </w:pPr>
  </w:style>
  <w:style w:type="paragraph" w:styleId="2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4">
    <w:name w:val="index 1"/>
    <w:basedOn w:val="1"/>
    <w:next w:val="1"/>
    <w:qFormat/>
    <w:uiPriority w:val="0"/>
  </w:style>
  <w:style w:type="paragraph" w:styleId="25">
    <w:name w:val="annotation subject"/>
    <w:basedOn w:val="13"/>
    <w:next w:val="13"/>
    <w:qFormat/>
    <w:uiPriority w:val="0"/>
    <w:rPr>
      <w:b/>
    </w:rPr>
  </w:style>
  <w:style w:type="character" w:styleId="28">
    <w:name w:val="Strong"/>
    <w:basedOn w:val="27"/>
    <w:qFormat/>
    <w:uiPriority w:val="0"/>
    <w:rPr>
      <w:b/>
    </w:rPr>
  </w:style>
  <w:style w:type="paragraph" w:customStyle="1" w:styleId="29">
    <w:name w:val="文头"/>
    <w:basedOn w:val="1"/>
    <w:next w:val="1"/>
    <w:qFormat/>
    <w:uiPriority w:val="0"/>
    <w:pPr>
      <w:keepNext/>
      <w:spacing w:line="360" w:lineRule="auto"/>
      <w:ind w:firstLine="0" w:firstLineChars="0"/>
      <w:jc w:val="center"/>
    </w:pPr>
    <w:rPr>
      <w:rFonts w:eastAsia="宋体"/>
      <w:b/>
      <w:sz w:val="44"/>
    </w:rPr>
  </w:style>
  <w:style w:type="paragraph" w:customStyle="1" w:styleId="30">
    <w:name w:val="表格"/>
    <w:basedOn w:val="1"/>
    <w:next w:val="1"/>
    <w:qFormat/>
    <w:uiPriority w:val="0"/>
    <w:pPr>
      <w:keepNext/>
      <w:keepLines/>
      <w:spacing w:line="400" w:lineRule="exact"/>
      <w:ind w:firstLine="0" w:firstLineChars="0"/>
      <w:jc w:val="center"/>
    </w:pPr>
    <w:rPr>
      <w:rFonts w:eastAsia="仿宋"/>
      <w:sz w:val="36"/>
    </w:rPr>
  </w:style>
  <w:style w:type="character" w:customStyle="1" w:styleId="31">
    <w:name w:val="标题 1 Char"/>
    <w:link w:val="3"/>
    <w:qFormat/>
    <w:uiPriority w:val="0"/>
    <w:rPr>
      <w:rFonts w:ascii="Calibri" w:hAnsi="Calibri" w:eastAsia="黑体" w:cs="Times New Roman"/>
      <w:b/>
      <w:kern w:val="44"/>
    </w:rPr>
  </w:style>
  <w:style w:type="character" w:customStyle="1" w:styleId="32">
    <w:name w:val="标题 2 Char"/>
    <w:link w:val="4"/>
    <w:qFormat/>
    <w:uiPriority w:val="0"/>
    <w:rPr>
      <w:rFonts w:ascii="Arial" w:hAnsi="Arial" w:eastAsia="楷体" w:cs="Times New Roman"/>
      <w:b/>
      <w:szCs w:val="32"/>
    </w:rPr>
  </w:style>
  <w:style w:type="character" w:customStyle="1" w:styleId="33">
    <w:name w:val="标题 3 Char"/>
    <w:link w:val="5"/>
    <w:qFormat/>
    <w:uiPriority w:val="0"/>
    <w:rPr>
      <w:rFonts w:ascii="Calibri" w:hAnsi="Calibri" w:eastAsia="楷体" w:cs="Times New Roman"/>
    </w:rPr>
  </w:style>
  <w:style w:type="character" w:customStyle="1" w:styleId="34">
    <w:name w:val="标题 4 Char"/>
    <w:link w:val="6"/>
    <w:qFormat/>
    <w:uiPriority w:val="0"/>
    <w:rPr>
      <w:rFonts w:ascii="Arial" w:hAnsi="Arial" w:eastAsia="黑体" w:cs="Times New Roman"/>
      <w:sz w:val="28"/>
      <w:szCs w:val="24"/>
    </w:rPr>
  </w:style>
  <w:style w:type="paragraph" w:customStyle="1" w:styleId="35">
    <w:name w:val="标题4"/>
    <w:basedOn w:val="5"/>
    <w:qFormat/>
    <w:uiPriority w:val="0"/>
    <w:pPr>
      <w:numPr>
        <w:numId w:val="3"/>
      </w:numPr>
    </w:pPr>
  </w:style>
  <w:style w:type="paragraph" w:customStyle="1" w:styleId="36">
    <w:name w:val="表格1"/>
    <w:basedOn w:val="1"/>
    <w:qFormat/>
    <w:uiPriority w:val="0"/>
    <w:pPr>
      <w:ind w:firstLine="0" w:firstLineChars="0"/>
    </w:pPr>
  </w:style>
  <w:style w:type="paragraph" w:customStyle="1" w:styleId="37">
    <w:name w:val="表头"/>
    <w:basedOn w:val="29"/>
    <w:qFormat/>
    <w:uiPriority w:val="0"/>
    <w:rPr>
      <w:rFonts w:eastAsia="黑体"/>
      <w:sz w:val="48"/>
    </w:rPr>
  </w:style>
  <w:style w:type="paragraph" w:customStyle="1" w:styleId="38">
    <w:name w:val="落款单位"/>
    <w:basedOn w:val="1"/>
    <w:qFormat/>
    <w:uiPriority w:val="0"/>
    <w:pPr>
      <w:tabs>
        <w:tab w:val="left" w:pos="3465"/>
      </w:tabs>
      <w:ind w:firstLine="5760" w:firstLineChars="1800"/>
    </w:pPr>
  </w:style>
  <w:style w:type="paragraph" w:customStyle="1" w:styleId="39">
    <w:name w:val="落款日期"/>
    <w:basedOn w:val="38"/>
    <w:qFormat/>
    <w:uiPriority w:val="0"/>
    <w:pPr>
      <w:ind w:firstLine="4960" w:firstLineChars="1550"/>
    </w:pPr>
  </w:style>
  <w:style w:type="paragraph" w:customStyle="1" w:styleId="40">
    <w:name w:val="文号"/>
    <w:basedOn w:val="1"/>
    <w:qFormat/>
    <w:uiPriority w:val="0"/>
    <w:pPr>
      <w:ind w:firstLine="0" w:firstLineChars="0"/>
      <w:jc w:val="center"/>
    </w:pPr>
  </w:style>
  <w:style w:type="character" w:customStyle="1" w:styleId="41">
    <w:name w:val="标题 5 Char"/>
    <w:link w:val="7"/>
    <w:qFormat/>
    <w:uiPriority w:val="0"/>
    <w:rPr>
      <w:rFonts w:ascii="Times New Roman" w:hAnsi="Times New Roman" w:eastAsia="仿宋" w:cs="Times New Roman"/>
      <w:sz w:val="32"/>
      <w:szCs w:val="24"/>
    </w:rPr>
  </w:style>
  <w:style w:type="paragraph" w:customStyle="1" w:styleId="42">
    <w:name w:val="List Paragraph"/>
    <w:basedOn w:val="1"/>
    <w:qFormat/>
    <w:uiPriority w:val="0"/>
    <w:pPr>
      <w:ind w:firstLine="420" w:firstLineChars="200"/>
    </w:pPr>
  </w:style>
  <w:style w:type="character" w:customStyle="1" w:styleId="43">
    <w:name w:val="列表接续 5 Char"/>
    <w:link w:val="18"/>
    <w:qFormat/>
    <w:uiPriority w:val="0"/>
  </w:style>
  <w:style w:type="paragraph" w:customStyle="1" w:styleId="44">
    <w:name w:val="修改"/>
    <w:basedOn w:val="1"/>
    <w:qFormat/>
    <w:uiPriority w:val="0"/>
    <w:pPr>
      <w:spacing w:line="560" w:lineRule="exact"/>
      <w:ind w:firstLine="420" w:firstLineChars="200"/>
    </w:pPr>
    <w:rPr>
      <w:rFonts w:eastAsia="仿宋_GB2312"/>
      <w:sz w:val="32"/>
    </w:rPr>
  </w:style>
  <w:style w:type="paragraph" w:customStyle="1" w:styleId="45">
    <w:name w:val="列表段落1"/>
    <w:basedOn w:val="1"/>
    <w:qFormat/>
    <w:uiPriority w:val="34"/>
    <w:pPr>
      <w:ind w:firstLine="420" w:firstLineChars="200"/>
    </w:pPr>
    <w:rPr>
      <w:rFonts w:ascii="Times New Roman" w:hAnsi="Times New Roman" w:eastAsia="仿宋"/>
      <w:sz w:val="32"/>
      <w:szCs w:val="32"/>
    </w:rPr>
  </w:style>
  <w:style w:type="paragraph" w:customStyle="1" w:styleId="46">
    <w:name w:val="Normal Indent1"/>
    <w:qFormat/>
    <w:uiPriority w:val="99"/>
    <w:pPr>
      <w:widowControl w:val="0"/>
      <w:ind w:firstLine="420" w:firstLine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8dac8848-a521-4954-b0ba-6e7a8d22240d</errorID>
      <errorWord xmlns="http://schemas.wps.cn/vas-ai-hub/contract-review">市委市政府</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市委、市政府</item>
      </candidateList>
      <explain xmlns="http://schemas.wps.cn/vas-ai-hub/contract-review"/>
      <paraID xmlns="http://schemas.wps.cn/vas-ai-hub/contract-review">4851D8E3</paraID>
      <start xmlns="http://schemas.wps.cn/vas-ai-hub/contract-review">96</start>
      <end xmlns="http://schemas.wps.cn/vas-ai-hub/contract-review">101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9b0ab1ee-6433-49f3-ad3c-236e4840fcfa</errorID>
      <errorWord xmlns="http://schemas.wps.cn/vas-ai-hub/contract-review">区委区政府</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区委、区政府</item>
      </candidateList>
      <explain xmlns="http://schemas.wps.cn/vas-ai-hub/contract-review">注意检查当前固定表述标点是否使用规范。</explain>
      <paraID xmlns="http://schemas.wps.cn/vas-ai-hub/contract-review">4851D8E3</paraID>
      <start xmlns="http://schemas.wps.cn/vas-ai-hub/contract-review">102</start>
      <end xmlns="http://schemas.wps.cn/vas-ai-hub/contract-review">107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8a454216-0e8e-4ab7-8c67-5ae862cfa6fd</errorID>
      <errorWord xmlns="http://schemas.wps.cn/vas-ai-hub/contract-review">法治宣传培训</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法治宣传教育</item>
      </candidateList>
      <explain xmlns="http://schemas.wps.cn/vas-ai-hub/contract-review">词汇“法治宣传教育”在特定场景下为固定表述形式，请确认此处的“法治宣传培训”是否存在不当。</explain>
      <paraID xmlns="http://schemas.wps.cn/vas-ai-hub/contract-review">73223B04</paraID>
      <start xmlns="http://schemas.wps.cn/vas-ai-hub/contract-review">5</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61192381-7800-4d78-9a5c-a0e7ca207017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6FCEAD0F</paraID>
      <start xmlns="http://schemas.wps.cn/vas-ai-hub/contract-review">44</start>
      <end xmlns="http://schemas.wps.cn/vas-ai-hub/contract-review">45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807fb51b-61ae-4e58-bfd3-76a8db5ab128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6FCEAD0F</paraID>
      <start xmlns="http://schemas.wps.cn/vas-ai-hub/contract-review">52</start>
      <end xmlns="http://schemas.wps.cn/vas-ai-hub/contract-review">53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84bfdac6-5e5e-43a5-bee2-6e91be2accda</errorID>
      <errorWord xmlns="http://schemas.wps.cn/vas-ai-hub/contract-review">执证</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持证</item>
      </candidateList>
      <explain xmlns="http://schemas.wps.cn/vas-ai-hub/contract-review"/>
      <paraID xmlns="http://schemas.wps.cn/vas-ai-hub/contract-review"> CFA9900</paraID>
      <start xmlns="http://schemas.wps.cn/vas-ai-hub/contract-review">264</start>
      <end xmlns="http://schemas.wps.cn/vas-ai-hub/contract-review">266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dd1661ec-c861-4643-8273-6de7d13c0e34</errorID>
      <errorWord xmlns="http://schemas.wps.cn/vas-ai-hub/contract-review">制定计划</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制订计划</item>
      </candidateList>
      <explain xmlns="http://schemas.wps.cn/vas-ai-hub/contract-review"/>
      <paraID xmlns="http://schemas.wps.cn/vas-ai-hub/contract-review"> CFA9900</paraID>
      <start xmlns="http://schemas.wps.cn/vas-ai-hub/contract-review">285</start>
      <end xmlns="http://schemas.wps.cn/vas-ai-hub/contract-review">289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32488d69-c91f-448c-acb9-44668eed613a</errorID>
      <errorWord xmlns="http://schemas.wps.cn/vas-ai-hub/contract-review">一岗双责</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‘一岗双责’</item>
      </candidateList>
      <explain xmlns="http://schemas.wps.cn/vas-ai-hub/contract-review">注意检查当前固定表述标点是否使用规范。</explain>
      <paraID xmlns="http://schemas.wps.cn/vas-ai-hub/contract-review">32D14A44</paraID>
      <start xmlns="http://schemas.wps.cn/vas-ai-hub/contract-review">92</start>
      <end xmlns="http://schemas.wps.cn/vas-ai-hub/contract-review">96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dacba9bd-37ab-40bb-ad31-fafd1d36b3ca</errorID>
      <errorWord xmlns="http://schemas.wps.cn/vas-ai-hub/contract-review">一岗双责</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‘一岗双责’</item>
      </candidateList>
      <explain xmlns="http://schemas.wps.cn/vas-ai-hub/contract-review">注意检查当前固定表述标点是否使用规范。</explain>
      <paraID xmlns="http://schemas.wps.cn/vas-ai-hub/contract-review">32D14A44</paraID>
      <start xmlns="http://schemas.wps.cn/vas-ai-hub/contract-review">129</start>
      <end xmlns="http://schemas.wps.cn/vas-ai-hub/contract-review">133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b5dc180a-cbda-4800-ab4b-1bd8095966b7</errorID>
      <errorWord xmlns="http://schemas.wps.cn/vas-ai-hub/contract-review">加强</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加大</item>
      </candidateList>
      <explain xmlns="http://schemas.wps.cn/vas-ai-hub/contract-review">“加强～力度”搭配不当，建议修改为“加大～力度”。</explain>
      <paraID xmlns="http://schemas.wps.cn/vas-ai-hub/contract-review"> 129A5EC</paraID>
      <start xmlns="http://schemas.wps.cn/vas-ai-hub/contract-review">127</start>
      <end xmlns="http://schemas.wps.cn/vas-ai-hub/contract-review">129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9a8b2ddc-a0f8-4ea4-ab63-a5e94f0728df</errorID>
      <errorWord xmlns="http://schemas.wps.cn/vas-ai-hub/contract-review">法治宣传培训</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法治宣传教育</item>
      </candidateList>
      <explain xmlns="http://schemas.wps.cn/vas-ai-hub/contract-review">词汇“法治宣传教育”在特定场景下为固定表述形式，请确认此处的“法治宣传培训”是否存在不当。</explain>
      <paraID xmlns="http://schemas.wps.cn/vas-ai-hub/contract-review"> EBD8DCB</paraID>
      <start xmlns="http://schemas.wps.cn/vas-ai-hub/contract-review">67</start>
      <end xmlns="http://schemas.wps.cn/vas-ai-hub/contract-review">73</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4f74cd-767c-4a0e-903a-192f6122634f}">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7524</Words>
  <Characters>7641</Characters>
  <Lines>0</Lines>
  <Paragraphs>0</Paragraphs>
  <TotalTime>191</TotalTime>
  <ScaleCrop>false</ScaleCrop>
  <LinksUpToDate>false</LinksUpToDate>
  <CharactersWithSpaces>7654</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2020-12-07T06:32:00Z</dcterms:created>
  <dc:creator>萌萌妈</dc:creator>
  <cp:lastModifiedBy>user</cp:lastModifiedBy>
  <cp:lastPrinted>2024-12-16T08:01:00Z</cp:lastPrinted>
  <dcterms:modified xsi:type="dcterms:W3CDTF">2026-03-20T16:55:32Z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CA91AACF35F4A4B0F0B04869A86DA473_43</vt:lpwstr>
  </property>
  <property fmtid="{D5CDD505-2E9C-101B-9397-08002B2CF9AE}" pid="4" name="KSOTemplateDocerSaveRecord">
    <vt:lpwstr>eyJoZGlkIjoiMGU3M2U2NzEwNTZmNTk2Mjk1MjBlYzY0MTM1MzM0YTUiLCJ1c2VySWQiOiI2Mzc1MDI3OTEifQ==</vt:lpwstr>
  </property>
</Properties>
</file>