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1B06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北京市东城区文化和旅游局</w:t>
      </w:r>
    </w:p>
    <w:p w14:paraId="070B986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2025年</w:t>
      </w:r>
      <w:r>
        <w:rPr>
          <w:rFonts w:hint="default" w:ascii="Times New Roman" w:hAnsi="Times New Roman" w:eastAsia="方正小标宋简体" w:cs="Times New Roman"/>
          <w:sz w:val="44"/>
          <w:szCs w:val="44"/>
          <w:lang w:eastAsia="zh-CN"/>
        </w:rPr>
        <w:t>法治政府建设年度情况</w:t>
      </w:r>
      <w:r>
        <w:rPr>
          <w:rFonts w:hint="default" w:ascii="Times New Roman" w:hAnsi="Times New Roman" w:eastAsia="方正小标宋简体" w:cs="Times New Roman"/>
          <w:sz w:val="44"/>
          <w:szCs w:val="44"/>
        </w:rPr>
        <w:t>报告</w:t>
      </w:r>
    </w:p>
    <w:p w14:paraId="22629CB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sz w:val="44"/>
          <w:szCs w:val="44"/>
          <w:lang w:eastAsia="zh-CN"/>
        </w:rPr>
      </w:pPr>
    </w:p>
    <w:p w14:paraId="492FE91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东城区文化和旅游局深入贯彻党的二十大精神，以习近平法治思想为指引，紧紧围绕市、区法治政府建设工作部署，扎实推进各项法治建设任务，不断提升依法行政水平，为区域文化和旅游事业高质量发展提供坚实的法治保障。现将本年度法治政府建设情况报告如下。</w:t>
      </w:r>
    </w:p>
    <w:p w14:paraId="3DC840F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一、2025年推进法治政府建设的主要举措和成效</w:t>
      </w:r>
    </w:p>
    <w:p w14:paraId="5ABD03D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（一）规范审批流程，筑牢意识形态防线</w:t>
      </w:r>
    </w:p>
    <w:p w14:paraId="194C2AB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严格审批制度落实：审批科严格执行四级联审制度、首演剧本专家审读制度、现场勘查制度以及电子公章使用制度，强化审批工作人员专业素养与服务意识。在演员筛选方面，落实负面清单筛查，对涉及禁演人员的，及时督促提醒主办方，避免负面舆</w:t>
      </w:r>
      <w:r>
        <w:rPr>
          <w:rFonts w:hint="default" w:ascii="Times New Roman" w:hAnsi="Times New Roman" w:eastAsia="仿宋_GB2312" w:cs="Times New Roman"/>
          <w:sz w:val="32"/>
          <w:szCs w:val="32"/>
          <w:highlight w:val="none"/>
          <w:lang w:val="en-US" w:eastAsia="zh-CN"/>
        </w:rPr>
        <w:t>情。</w:t>
      </w:r>
    </w:p>
    <w:p w14:paraId="19C4930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加强审批法规学习：科室人员深入学习审批工作相关法律法规，强化</w:t>
      </w:r>
      <w:r>
        <w:rPr>
          <w:rFonts w:hint="eastAsia" w:ascii="Times New Roman" w:hAnsi="Times New Roman" w:eastAsia="仿宋_GB2312" w:cs="Times New Roman"/>
          <w:sz w:val="32"/>
          <w:szCs w:val="32"/>
          <w:highlight w:val="none"/>
          <w:lang w:val="en-US" w:eastAsia="zh-CN"/>
        </w:rPr>
        <w:t>意识形态工作责任制</w:t>
      </w:r>
      <w:r>
        <w:rPr>
          <w:rFonts w:hint="default" w:ascii="Times New Roman" w:hAnsi="Times New Roman" w:eastAsia="仿宋_GB2312" w:cs="Times New Roman"/>
          <w:sz w:val="32"/>
          <w:szCs w:val="32"/>
          <w:highlight w:val="none"/>
          <w:lang w:val="en-US" w:eastAsia="zh-CN"/>
        </w:rPr>
        <w:t>落实。结合《营业性演出管理条例》等法规，对当前审批形势、存在问题及立法情况进行分析研判，提升审批工作的科学性与规范性。</w:t>
      </w:r>
    </w:p>
    <w:p w14:paraId="5F5A894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强化非备案场所审批管理：2025年，非备案演出场所的演出已占东城全部内地营业性演出审批量的一半以上。为确保营业性演出审批工作规范有序开展，保障演出市场持续健康发展，在非传统剧场审批方面积极寻求市文旅局工作指导，同时做好场地踏勘，剧本审核等工作，对30余家非备案演出场所举办演出作出明确要求并做好演出申报指导。</w:t>
      </w:r>
    </w:p>
    <w:p w14:paraId="2B4E023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yellow"/>
          <w:lang w:val="en-US" w:eastAsia="zh-CN"/>
        </w:rPr>
      </w:pPr>
      <w:r>
        <w:rPr>
          <w:rFonts w:hint="default" w:ascii="Times New Roman" w:hAnsi="Times New Roman" w:eastAsia="仿宋_GB2312" w:cs="Times New Roman"/>
          <w:sz w:val="32"/>
          <w:szCs w:val="32"/>
          <w:highlight w:val="none"/>
          <w:lang w:val="en-US" w:eastAsia="zh-CN"/>
        </w:rPr>
        <w:t>市场经营成效显著：2025年1月1日-12月31日，东城区完成行政审批事项2274件，其中文化市场1978件，出版、广电市场285件，旅游市场9件，剧本娱乐市场2件。营业性演出审批方面，受理演出1883个，涉及演出场次共计42526场。</w:t>
      </w:r>
    </w:p>
    <w:p w14:paraId="6243B7D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（二）优化执法管理，提升市场监管效能</w:t>
      </w:r>
    </w:p>
    <w:p w14:paraId="3037A43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基层行政执法突出问题专项治理工作：</w:t>
      </w:r>
      <w:r>
        <w:rPr>
          <w:rFonts w:hint="default" w:ascii="Times New Roman" w:hAnsi="Times New Roman" w:eastAsia="仿宋_GB2312" w:cs="Times New Roman"/>
          <w:sz w:val="32"/>
          <w:szCs w:val="32"/>
          <w:lang w:val="en-US" w:eastAsia="zh-CN"/>
        </w:rPr>
        <w:t>一是迅速部署，成立领导小组和工作专班，印发工作方案，明确责任分工。二是多维排查，构建线索收集体系，通过信访舆论监督、巡察审计、执法案卷评查等方式深挖问题线索。三是刀刃向内，健全制度，制定多项工作制度和管理规定；强化审核监督，全程指导在办案件；加强沟通协调，建立多种联系机制。四是教育培训，开展调研座谈，组织法制培训，进行警示教育宣教学习。五是精准整改，梳理问题线索，建立台账，10项问题已全部整改。六是多措并举优化营商环境，探索非现场检查监管方式，制定检查计划，采用柔性执法，形成“线上 + 线下”协同模式。七是聚焦民生，联合多部门净化文旅市场，打击各类违法行为。2025年以来成效显著。八是长效巩固，以专项整治为契机，建立健全长效管理机制，加强队伍建设，强化监督与法治宣传。</w:t>
      </w:r>
    </w:p>
    <w:p w14:paraId="4036269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强化执法队伍建设：</w:t>
      </w:r>
      <w:r>
        <w:rPr>
          <w:rFonts w:hint="default" w:ascii="Times New Roman" w:hAnsi="Times New Roman" w:eastAsia="仿宋_GB2312" w:cs="Times New Roman"/>
          <w:sz w:val="32"/>
          <w:szCs w:val="32"/>
          <w:lang w:val="en-US" w:eastAsia="zh-CN"/>
        </w:rPr>
        <w:t>建立健全各项规章制度，加强人员管理与教育，执法人员着装整齐、作风严谨、业务熟练。充分利用</w:t>
      </w:r>
      <w:r>
        <w:rPr>
          <w:rFonts w:hint="eastAsia" w:ascii="Times New Roman" w:hAnsi="Times New Roman" w:eastAsia="仿宋_GB2312" w:cs="Times New Roman"/>
          <w:sz w:val="32"/>
          <w:szCs w:val="32"/>
          <w:lang w:val="en-US" w:eastAsia="zh-CN"/>
        </w:rPr>
        <w:t>文化和旅游部</w:t>
      </w:r>
      <w:r>
        <w:rPr>
          <w:rFonts w:hint="default" w:ascii="Times New Roman" w:hAnsi="Times New Roman" w:eastAsia="仿宋_GB2312" w:cs="Times New Roman"/>
          <w:sz w:val="32"/>
          <w:szCs w:val="32"/>
          <w:lang w:val="en-US" w:eastAsia="zh-CN"/>
        </w:rPr>
        <w:t>学习平台、北京市干部教育在线、法治东城公众号等资源开展线上学习，拓宽政治视野，提高思想觉悟。目前，执法大队30名执法人员均通过执法资格考试，具备扎实的业务知识和能力。</w:t>
      </w:r>
    </w:p>
    <w:p w14:paraId="143CCAA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highlight w:val="yellow"/>
          <w:lang w:val="en-US" w:eastAsia="zh-CN"/>
        </w:rPr>
      </w:pPr>
      <w:r>
        <w:rPr>
          <w:rFonts w:hint="default" w:ascii="Times New Roman" w:hAnsi="Times New Roman" w:eastAsia="仿宋_GB2312" w:cs="Times New Roman"/>
          <w:b/>
          <w:bCs/>
          <w:sz w:val="32"/>
          <w:szCs w:val="32"/>
          <w:lang w:val="en-US" w:eastAsia="zh-CN"/>
        </w:rPr>
        <w:t>推进非现场监管：</w:t>
      </w:r>
      <w:r>
        <w:rPr>
          <w:rFonts w:hint="default" w:ascii="Times New Roman" w:hAnsi="Times New Roman" w:eastAsia="仿宋_GB2312" w:cs="Times New Roman"/>
          <w:sz w:val="32"/>
          <w:szCs w:val="32"/>
          <w:lang w:val="en-US" w:eastAsia="zh-CN"/>
        </w:rPr>
        <w:t>坚持“双随机、一公开”，制定《东城区文化和旅游局2025年行政执法检查计划》《北京市东城区文化和旅游局2025年度部门联合双随机抽查计划表》等制度，依计划开展检查，杜绝计划外检查和重复检查扰企。配合总队对演出、旅游、文娱和星级酒店等行业进行非现场监管，通过安装非现场监控系统等方式，打造新型执法生态。组织业务培训会，规范企业在线填报制度，提升非现场监管质量与效率。截至目前，执法人员共开具检查单1206单，其中非现场1101单，占比91.30%，非现场检查问题单244单，非现场检查问题率22.16%；现场检查单105单，占比8.7%，现场检查问题单21单，现场检查问题率20%。</w:t>
      </w:r>
    </w:p>
    <w:p w14:paraId="42B8619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规范执法公示与记录：</w:t>
      </w:r>
      <w:r>
        <w:rPr>
          <w:rFonts w:hint="default" w:ascii="Times New Roman" w:hAnsi="Times New Roman" w:eastAsia="仿宋_GB2312" w:cs="Times New Roman"/>
          <w:sz w:val="32"/>
          <w:szCs w:val="32"/>
          <w:lang w:val="en-US" w:eastAsia="zh-CN"/>
        </w:rPr>
        <w:t>及时公示《东城区文化和旅游局2025年行政执法检查计划》《北京市东城区文化和旅游局2025年季度检查结果》等，并定期动态更新公示内容，确保法律法规更新及时。按照区司法局要求，对双公示网站信息内容进行审查，保证公示内容准确无误。</w:t>
      </w:r>
    </w:p>
    <w:p w14:paraId="35C1A59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严格执法办案流程：</w:t>
      </w:r>
      <w:r>
        <w:rPr>
          <w:rFonts w:hint="default" w:ascii="Times New Roman" w:hAnsi="Times New Roman" w:eastAsia="仿宋_GB2312" w:cs="Times New Roman"/>
          <w:sz w:val="32"/>
          <w:szCs w:val="32"/>
          <w:lang w:val="en-US" w:eastAsia="zh-CN"/>
        </w:rPr>
        <w:t>全面优化案件审核流程，在各执法分队设立专职法制员，构建法制部门与分队法制员“双审双核”的案件审核机制。建立案件审核问题台账，实行清单化管理，形成闭环，提升案件办理质量。以执法“正面 + 负面”清单为抓手，完善以案卷评查制度为支撑的执法考核机制，月月通报案件评查情况。制定《北京市东城区文化市场综合执法大队案件审核专题会工作制度</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试行</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》，对重大案件进行专题审议，每月定期召开案件质量讨论会。</w:t>
      </w:r>
    </w:p>
    <w:p w14:paraId="63C803D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（三）加强学法普法，营造法治市场氛围</w:t>
      </w:r>
    </w:p>
    <w:p w14:paraId="74D6017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开展多样化学法活动：</w:t>
      </w:r>
      <w:r>
        <w:rPr>
          <w:rFonts w:hint="default" w:ascii="Times New Roman" w:hAnsi="Times New Roman" w:eastAsia="仿宋_GB2312" w:cs="Times New Roman"/>
          <w:sz w:val="32"/>
          <w:szCs w:val="32"/>
          <w:lang w:val="en-US" w:eastAsia="zh-CN"/>
        </w:rPr>
        <w:t>利用法制工作日组织执法人员学习《中华人民共和国宪法》《中华人民共和国民法典》《中华人民共和国行政处罚法》《中华人民共和国统计法》《接诉即办条例解读》等法律法规，分析重大、疑难案件，交流办案经验，提高执法人员案件办理水平和依法行政能力。</w:t>
      </w:r>
    </w:p>
    <w:p w14:paraId="0C07330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推进执法普法融合：</w:t>
      </w:r>
      <w:r>
        <w:rPr>
          <w:rFonts w:hint="default" w:ascii="Times New Roman" w:hAnsi="Times New Roman" w:eastAsia="仿宋_GB2312" w:cs="Times New Roman"/>
          <w:sz w:val="32"/>
          <w:szCs w:val="32"/>
          <w:lang w:val="en-US" w:eastAsia="zh-CN"/>
        </w:rPr>
        <w:t>坚持在执法检查、执法办案过程中开展普法宣传，增强针对性与实效性。利用“4·26”知识产权日等活动，集中开展普法宣传，宣传法律法规知识，引导市场主体自觉形成合法开办、守法经营理念。</w:t>
      </w:r>
    </w:p>
    <w:p w14:paraId="5BFE27C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（四）维护消费者权益，及时解决投诉问题</w:t>
      </w:r>
    </w:p>
    <w:p w14:paraId="36E0DB3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维护消费者合法权益</w:t>
      </w:r>
      <w:r>
        <w:rPr>
          <w:rFonts w:hint="default" w:ascii="Times New Roman" w:hAnsi="Times New Roman" w:eastAsia="仿宋_GB2312" w:cs="Times New Roman"/>
          <w:sz w:val="32"/>
          <w:szCs w:val="32"/>
          <w:lang w:val="en-US" w:eastAsia="zh-CN"/>
        </w:rPr>
        <w:t>是文旅工作的重要职责。</w:t>
      </w:r>
      <w:r>
        <w:rPr>
          <w:rFonts w:hint="default" w:ascii="Times New Roman" w:hAnsi="Times New Roman" w:eastAsia="仿宋_GB2312" w:cs="Times New Roman"/>
          <w:sz w:val="32"/>
          <w:szCs w:val="32"/>
          <w:highlight w:val="none"/>
          <w:lang w:val="en-US" w:eastAsia="zh-CN"/>
        </w:rPr>
        <w:t>2025年，累计接到12345平台和电话投诉31213 件，面对</w:t>
      </w:r>
      <w:r>
        <w:rPr>
          <w:rFonts w:hint="default" w:ascii="Times New Roman" w:hAnsi="Times New Roman" w:eastAsia="仿宋_GB2312" w:cs="Times New Roman"/>
          <w:sz w:val="32"/>
          <w:szCs w:val="32"/>
          <w:lang w:val="en-US" w:eastAsia="zh-CN"/>
        </w:rPr>
        <w:t>如此庞大的投诉数量，坚持快速响应机制，确保在接到投诉的第一时间与消费者取得联系，了解具体情况；精准处理每一个问题，依据相关法律法规和行业规范，对投诉事项进行细致分析，找准问题关键所在；并及时反馈处理进度和结果，让消费者随时掌握投诉处理动态。对于疑难问题，不推诿、不回避，持续关注问题发展态势，并联合执法力量多措并举，通过开展专项整治行动、加强市场巡查监管等方式，推进问题得到妥善解决，切实维护了消费者的合法权益，营造了安全、有序、放心的文旅消费环境。</w:t>
      </w:r>
    </w:p>
    <w:p w14:paraId="165AE2F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（五）组织专项培训，提升行业服务质量</w:t>
      </w:r>
    </w:p>
    <w:p w14:paraId="7360852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旅行社质量提升培训：</w:t>
      </w:r>
      <w:r>
        <w:rPr>
          <w:rFonts w:hint="default" w:ascii="Times New Roman" w:hAnsi="Times New Roman" w:eastAsia="仿宋_GB2312" w:cs="Times New Roman"/>
          <w:sz w:val="32"/>
          <w:szCs w:val="32"/>
          <w:lang w:val="en-US" w:eastAsia="zh-CN"/>
        </w:rPr>
        <w:t>组织召开2025年东城区旅行社质量提升培训会，辖区内近200家旅行社负责人参会。培训会上，对《中华人民共和国旅游法》中涉及旅行社质量保证金以及责任险的内容进行宣贯，提升旅行社服务质量与风险防范意识。</w:t>
      </w:r>
    </w:p>
    <w:p w14:paraId="3C330E1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住宿业安全生产培训：</w:t>
      </w:r>
      <w:r>
        <w:rPr>
          <w:rFonts w:hint="default" w:ascii="Times New Roman" w:hAnsi="Times New Roman" w:eastAsia="仿宋_GB2312" w:cs="Times New Roman"/>
          <w:sz w:val="32"/>
          <w:szCs w:val="32"/>
          <w:lang w:val="en-US" w:eastAsia="zh-CN"/>
        </w:rPr>
        <w:t>组织召开全区住宿业安全生产暨重大活动保障工作部署培训会，全区星级酒店、社会旅馆主要负责人、安全工作负责人共计500余人参加。开展《北京市消防条例》《北京市安全生产条例》《北京市生产经营单位安全生产主体责任规定》的宣贯培训，对风险评估、重大隐患判定标准进行讲解，并就督察检查中发现的问题隐患开展警示教育，要求各单位举一反三，开展安全隐患排查治理，切实消除各类隐患。</w:t>
      </w:r>
    </w:p>
    <w:p w14:paraId="50CF826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二、2025年推进法治政府建设存在的不足和原因</w:t>
      </w:r>
    </w:p>
    <w:p w14:paraId="71A0405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（一）新业态监管存在盲区</w:t>
      </w:r>
    </w:p>
    <w:p w14:paraId="3EE820B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法规依据不足：虽然《北京市文化娱乐场所经营单位安全生产规定》和《北京市星级饭店安全生产规定》为文娱行业和星级宾馆提供了明确的法律依据和操作指南，但对于占监管比例较大的社会旅馆、旅行社等行业安全生产监管仍处于法规空白阶段，导致执法人员无法实施有效的安全生产监督管理。部分企业存在安全意识淡薄、重效益轻安全、安全投入不足、管理制度不健全、应急预案流于形式等问题和隐患。</w:t>
      </w:r>
    </w:p>
    <w:p w14:paraId="158ABA0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专业知识储备有限：我区以文物、热门景区、“文商旅”综合体等为代表的安全生产重点单位数量大、密度高，面对复杂多样的风险类型，执法人员的安全生产专业知识储备难以覆盖，精准识别深层次、系统性风险的能力有待加强。</w:t>
      </w:r>
    </w:p>
    <w:p w14:paraId="79F553B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（二）法治宣传教育的深度和广度有待拓展</w:t>
      </w:r>
    </w:p>
    <w:p w14:paraId="0CEFAB4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法治宣传教育活动在形式和内容上仍需进一步创新，以更好地满足不同群体的需求，提高法治宣传教育的覆盖面和影响力。</w:t>
      </w:r>
    </w:p>
    <w:p w14:paraId="49A35D4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三、2025年党政主要负责人履行推进法治建设第一责任人职责，加强法治政府建设的有关情况</w:t>
      </w:r>
    </w:p>
    <w:p w14:paraId="0B1DAFB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（一）坚持党政领导带头学法</w:t>
      </w:r>
    </w:p>
    <w:p w14:paraId="3521955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局党组通过第一议题深入学习习近平法治思想，分别集中学习《习近平法治思想学习纲要》中“坚持以习近平法治思想为指导加快推进法治中国建设</w:t>
      </w:r>
      <w:r>
        <w:rPr>
          <w:rFonts w:hint="eastAsia" w:ascii="Times New Roman" w:hAnsi="Times New Roman" w:eastAsia="仿宋_GB2312" w:cs="Times New Roman"/>
          <w:sz w:val="32"/>
          <w:szCs w:val="32"/>
          <w:lang w:val="en-US" w:eastAsia="zh-CN"/>
        </w:rPr>
        <w:t>”第</w:t>
      </w:r>
      <w:r>
        <w:rPr>
          <w:rFonts w:hint="default" w:ascii="Times New Roman" w:hAnsi="Times New Roman" w:eastAsia="仿宋_GB2312" w:cs="Times New Roman"/>
          <w:sz w:val="32"/>
          <w:szCs w:val="32"/>
          <w:lang w:val="en-US" w:eastAsia="zh-CN"/>
        </w:rPr>
        <w:t>一章内容和第十一章内容。局领导班子带头尊崇法治、掌握法律、遵纪守法、依法办事，发挥“头雁”作用，将法治意识、法治思维贯穿到文化和旅游工作各方面，局领导、机关科室在实际工作中依法决策、依法办事的法治思维和法治观念得到进一步加强。</w:t>
      </w:r>
    </w:p>
    <w:p w14:paraId="01D3946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（二）营造学法用法浓厚氛围</w:t>
      </w:r>
    </w:p>
    <w:p w14:paraId="1D2802F8">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3"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sz w:val="32"/>
          <w:szCs w:val="32"/>
          <w:lang w:val="en-US" w:eastAsia="zh-CN"/>
        </w:rPr>
        <w:t>开展专题学法活动：</w:t>
      </w:r>
      <w:r>
        <w:rPr>
          <w:rFonts w:hint="default" w:ascii="Times New Roman" w:hAnsi="Times New Roman" w:eastAsia="仿宋_GB2312" w:cs="Times New Roman"/>
          <w:sz w:val="32"/>
          <w:szCs w:val="32"/>
          <w:lang w:val="en-US" w:eastAsia="zh-CN"/>
        </w:rPr>
        <w:t>会前学法4次。由</w:t>
      </w:r>
      <w:r>
        <w:rPr>
          <w:rFonts w:hint="default" w:ascii="Times New Roman" w:hAnsi="Times New Roman" w:eastAsia="仿宋_GB2312" w:cs="Times New Roman"/>
          <w:kern w:val="2"/>
          <w:sz w:val="32"/>
          <w:szCs w:val="32"/>
          <w:lang w:val="en-US" w:eastAsia="zh-CN" w:bidi="ar-SA"/>
        </w:rPr>
        <w:t>局长主持召开局长办公会，组织内</w:t>
      </w:r>
      <w:bookmarkStart w:id="0" w:name="_GoBack"/>
      <w:r>
        <w:rPr>
          <w:rFonts w:hint="default" w:ascii="Times New Roman" w:hAnsi="Times New Roman" w:eastAsia="仿宋_GB2312" w:cs="Times New Roman"/>
          <w:kern w:val="2"/>
          <w:sz w:val="32"/>
          <w:szCs w:val="32"/>
          <w:lang w:val="en-US" w:eastAsia="zh-CN" w:bidi="ar-SA"/>
        </w:rPr>
        <w:t>容为《中华人民共和国文物保护法（修订版）》《北京市消防条例（修订版）解读》《</w:t>
      </w:r>
      <w:r>
        <w:rPr>
          <w:rFonts w:hint="eastAsia" w:eastAsia="仿宋_GB2312" w:cs="Times New Roman"/>
          <w:kern w:val="2"/>
          <w:sz w:val="32"/>
          <w:szCs w:val="32"/>
          <w:lang w:val="en-US" w:eastAsia="zh-CN" w:bidi="ar-SA"/>
        </w:rPr>
        <w:t>中华人民共和国统计法</w:t>
      </w:r>
      <w:r>
        <w:rPr>
          <w:rFonts w:hint="default" w:ascii="Times New Roman" w:hAnsi="Times New Roman" w:eastAsia="仿宋_GB2312" w:cs="Times New Roman"/>
          <w:kern w:val="2"/>
          <w:sz w:val="32"/>
          <w:szCs w:val="32"/>
          <w:lang w:val="en-US" w:eastAsia="zh-CN" w:bidi="ar-SA"/>
        </w:rPr>
        <w:t>》及新《</w:t>
      </w:r>
      <w:r>
        <w:rPr>
          <w:rFonts w:hint="eastAsia" w:eastAsia="仿宋_GB2312" w:cs="Times New Roman"/>
          <w:kern w:val="2"/>
          <w:sz w:val="32"/>
          <w:szCs w:val="32"/>
          <w:lang w:val="en-US" w:eastAsia="zh-CN" w:bidi="ar-SA"/>
        </w:rPr>
        <w:t>中华人民共和国文物保护法</w:t>
      </w:r>
      <w:r>
        <w:rPr>
          <w:rFonts w:hint="default" w:ascii="Times New Roman" w:hAnsi="Times New Roman" w:eastAsia="仿宋_GB2312" w:cs="Times New Roman"/>
          <w:kern w:val="2"/>
          <w:sz w:val="32"/>
          <w:szCs w:val="32"/>
          <w:lang w:val="en-US" w:eastAsia="zh-CN" w:bidi="ar-SA"/>
        </w:rPr>
        <w:t>》职权划分的会前学法。局领导班子发挥“头雁”作用，将法治意识、思维贯</w:t>
      </w:r>
      <w:bookmarkEnd w:id="0"/>
      <w:r>
        <w:rPr>
          <w:rFonts w:hint="default" w:ascii="Times New Roman" w:hAnsi="Times New Roman" w:eastAsia="仿宋_GB2312" w:cs="Times New Roman"/>
          <w:kern w:val="2"/>
          <w:sz w:val="32"/>
          <w:szCs w:val="32"/>
          <w:lang w:val="en-US" w:eastAsia="zh-CN" w:bidi="ar-SA"/>
        </w:rPr>
        <w:t>穿文旅工作各方面。</w:t>
      </w:r>
    </w:p>
    <w:p w14:paraId="3F0538A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提供法律支持与服务：</w:t>
      </w:r>
      <w:r>
        <w:rPr>
          <w:rFonts w:hint="default" w:ascii="Times New Roman" w:hAnsi="Times New Roman" w:eastAsia="仿宋_GB2312" w:cs="Times New Roman"/>
          <w:sz w:val="32"/>
          <w:szCs w:val="32"/>
          <w:lang w:val="en-US" w:eastAsia="zh-CN"/>
        </w:rPr>
        <w:t>2025年，聘请专业律师事务所审阅各类合同（包括委托、承揽、建设工程、买卖、演出、租赁、服务、劳务派遣等合同）</w:t>
      </w:r>
      <w:r>
        <w:rPr>
          <w:rFonts w:hint="default" w:ascii="Times New Roman" w:hAnsi="Times New Roman" w:eastAsia="仿宋_GB2312" w:cs="Times New Roman"/>
          <w:sz w:val="32"/>
          <w:szCs w:val="32"/>
          <w:highlight w:val="none"/>
          <w:lang w:val="en-US" w:eastAsia="zh-CN"/>
        </w:rPr>
        <w:t>共计590份，提供法律咨询5次，草拟文书6份，修改文书20次，出具法律意见书10份。</w:t>
      </w:r>
      <w:r>
        <w:rPr>
          <w:rFonts w:hint="default" w:ascii="Times New Roman" w:hAnsi="Times New Roman" w:eastAsia="仿宋_GB2312" w:cs="Times New Roman"/>
          <w:sz w:val="32"/>
          <w:szCs w:val="32"/>
          <w:lang w:val="en-US" w:eastAsia="zh-CN"/>
        </w:rPr>
        <w:t>依托智库专家，在新品新作排演、文物修缮项目审核、非遗项目评审等方面提供专业支持。定期组织公平竞争审查工作培训，提高工作人员审查能力和水平，防止滥用行政权力排除、限制竞争。适时征求专家学者、法律顾问、专业机构意见，保证文化旅游市场相关政策公开、公平、公正，促进市场健康发展。积极应对行政复议和诉讼案件，2025年处理行政复议7个案子，行政诉讼1个，维护了行政行为的合法性与权威性。</w:t>
      </w:r>
    </w:p>
    <w:p w14:paraId="5F6A334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四、2026年推进法治政府建设的主要安排</w:t>
      </w:r>
    </w:p>
    <w:p w14:paraId="2F19BE4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（一）持续强化法治学习，提升依法行政能力</w:t>
      </w:r>
    </w:p>
    <w:p w14:paraId="46A7BD7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将学习贯彻习近平法治思想作为长期重要任务，持续组织干部职工深入学习，不断提高法治素养。加强业务法规培训，针对文化和旅游市场新业态、新问题，开展专题法律培训，提升工作人员依法审批、依法监管、依法处置的能力。</w:t>
      </w:r>
    </w:p>
    <w:p w14:paraId="2B7B4EB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（二）完善监管机制，消除新业态监管盲区</w:t>
      </w:r>
    </w:p>
    <w:p w14:paraId="61218DB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积极推动相关法规的制定和完善，填补社会旅馆、旅行社和新闻出版等行业安全生产监管的法规空白，为执法工作提供有力依据。加强执法人员专业知识培训，邀请专家进行授课，组织实地考察学习，提高执法人员精准识别风险的能力。建立跨部门、跨领域的联合监管机制，加强信息共享与协作配合，形成监管合力。</w:t>
      </w:r>
    </w:p>
    <w:p w14:paraId="0FF5970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（三）创新法治宣传方式，扩大法治宣传覆盖面</w:t>
      </w:r>
    </w:p>
    <w:p w14:paraId="5AA2DC8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结合文化和旅游工作特点，创新法治宣传形式和内容，利用新媒体平台、文化活动等载体，开展形式多样、内容丰富的法治宣传活动。针对不同群体，制定个性化的法治宣传方案，提高法治宣传的针对性和实效性，营造全社会尊法学法守法用法的良好氛围。</w:t>
      </w:r>
    </w:p>
    <w:p w14:paraId="1F5D483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（四）优化执法方式，提高执法效能</w:t>
      </w:r>
    </w:p>
    <w:p w14:paraId="6AAE2A4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持续优化营商环境，创新行政执法方式，广泛运用说服教育、警示告诫、行政指导等非强制性执法手段，及时查处违法行为。采用非强制性手段能达到行政管理目的的，不实施行政强制。建立健全行政执法和刑事司法衔接机制，畅通信息共享、案情通报、案件移送渠道，杜绝有案不移、以罚代刑现象。依法依规公开、更新行政执法信息，全面落实行政裁量权基准制度，适时公布行政执法行为的裁量范围、种类、幅度。执法行动中，坚持主动出示执法证件，出具执法文书，主动告知当事人执法事由、执法依据、权利义务、救济渠道等。及时向社会公布执法机关、执法对象、执法类别、执法结论等信息，接受社会监督。坚持执法音像记录制度，对查封扣押财产、强制拆除等直接涉及人身自由、生命健康、重大财产权益的现场执法活动和执法办案场所，全程音像记录。推行“一户式”集中储存，严格依法依规归档保存执法全过程记录资料，完善行政执法全过程数据化记录工作机制和数字化归档管理制度。坚持重大执法决定前的法制审核制度，法制审核率达100%。严格按照权责事项清单分解执法职权、确定执法责任，建立健全行政执法日常检查监督机制，年内按照市、区两级要求组织落实行政执法案卷评查、抽查工作。</w:t>
      </w:r>
    </w:p>
    <w:p w14:paraId="787DBFA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p>
    <w:p w14:paraId="4F7927D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2026年，东城区文化和旅游局将继续以习近平法治思想为指导，不断推进法治政府建设，为区域文化和旅游事业高质量发展提供更加坚实的法治保障。</w:t>
      </w:r>
    </w:p>
    <w:p w14:paraId="4628FE0B">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textAlignment w:val="auto"/>
        <w:rPr>
          <w:rFonts w:hint="default" w:ascii="Times New Roman" w:hAnsi="Times New Roman" w:eastAsia="仿宋_GB2312" w:cs="Times New Roman"/>
          <w:sz w:val="32"/>
          <w:szCs w:val="32"/>
          <w:lang w:val="en-US" w:eastAsia="zh-CN"/>
        </w:rPr>
      </w:pPr>
    </w:p>
    <w:p w14:paraId="4568B887">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4480" w:firstLineChars="1400"/>
        <w:textAlignment w:val="auto"/>
        <w:rPr>
          <w:rFonts w:hint="default" w:ascii="Times New Roman" w:hAnsi="Times New Roman" w:eastAsia="仿宋_GB2312" w:cs="Times New Roman"/>
          <w:sz w:val="32"/>
          <w:szCs w:val="32"/>
          <w:lang w:val="en-US" w:eastAsia="zh-CN"/>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794B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1DD083">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1DD083">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1F1868"/>
    <w:rsid w:val="035F656D"/>
    <w:rsid w:val="04640F89"/>
    <w:rsid w:val="0E8533BE"/>
    <w:rsid w:val="24997BD9"/>
    <w:rsid w:val="269667BC"/>
    <w:rsid w:val="41285B7D"/>
    <w:rsid w:val="4B1A2A8A"/>
    <w:rsid w:val="4FEF3D30"/>
    <w:rsid w:val="5A1F1868"/>
    <w:rsid w:val="69EA0718"/>
    <w:rsid w:val="6C292EC9"/>
    <w:rsid w:val="6D2A2B4F"/>
    <w:rsid w:val="6DFB9F8D"/>
    <w:rsid w:val="6E575EBF"/>
    <w:rsid w:val="76FA4011"/>
    <w:rsid w:val="7B722979"/>
    <w:rsid w:val="7E9F2109"/>
    <w:rsid w:val="7F36B333"/>
    <w:rsid w:val="BFFC7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qFormat/>
    <w:uiPriority w:val="0"/>
    <w:pPr>
      <w:widowControl w:val="0"/>
      <w:spacing w:after="12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a5e0b8f4-3599-4485-a362-aae22df8132e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2B4E0236</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7f482e-8998-4e9e-919e-81fb67825844}">
  <ds:schemaRefs/>
</ds:datastoreItem>
</file>

<file path=docProps/app.xml><?xml version="1.0" encoding="utf-8"?>
<Properties xmlns="http://schemas.openxmlformats.org/officeDocument/2006/extended-properties" xmlns:vt="http://schemas.openxmlformats.org/officeDocument/2006/docPropsVTypes">
  <Template>Normal.dotm</Template>
  <Pages>9</Pages>
  <Words>4618</Words>
  <Characters>4743</Characters>
  <Lines>0</Lines>
  <Paragraphs>0</Paragraphs>
  <TotalTime>19</TotalTime>
  <ScaleCrop>false</ScaleCrop>
  <LinksUpToDate>false</LinksUpToDate>
  <CharactersWithSpaces>4748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2025-11-17T20:08:00Z</dcterms:created>
  <dc:creator>陈洁</dc:creator>
  <cp:lastModifiedBy>user</cp:lastModifiedBy>
  <cp:lastPrinted>2025-12-16T00:14:00Z</cp:lastPrinted>
  <dcterms:modified xsi:type="dcterms:W3CDTF">2026-03-20T16:50:07Z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482CF181A38E23A7BB7EAE694BDB790C_42</vt:lpwstr>
  </property>
  <property fmtid="{D5CDD505-2E9C-101B-9397-08002B2CF9AE}" pid="4" name="KSOTemplateDocerSaveRecord">
    <vt:lpwstr>eyJoZGlkIjoiMGU3M2U2NzEwNTZmNTk2Mjk1MjBlYzY0MTM1MzM0YTUiLCJ1c2VySWQiOiI2Mzc1MDI3OTEifQ==</vt:lpwstr>
  </property>
</Properties>
</file>