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9CF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lang w:eastAsia="zh-CN"/>
        </w:rPr>
      </w:pPr>
      <w:r>
        <w:rPr>
          <w:rFonts w:hint="eastAsia" w:ascii="Times New Roman" w:hAnsi="Times New Roman" w:eastAsia="方正小标宋简体" w:cs="Times New Roman"/>
          <w:spacing w:val="-20"/>
          <w:sz w:val="44"/>
          <w:szCs w:val="44"/>
          <w:lang w:eastAsia="zh-CN"/>
        </w:rPr>
        <w:t>北京市</w:t>
      </w:r>
      <w:r>
        <w:rPr>
          <w:rFonts w:hint="default" w:ascii="Times New Roman" w:hAnsi="Times New Roman" w:eastAsia="方正小标宋简体" w:cs="Times New Roman"/>
          <w:spacing w:val="-20"/>
          <w:sz w:val="44"/>
          <w:szCs w:val="44"/>
          <w:lang w:eastAsia="zh-CN"/>
        </w:rPr>
        <w:t>东城区人民政府国有资产监督管理委员会</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年法治政府建设年度情况</w:t>
      </w:r>
      <w:r>
        <w:rPr>
          <w:rFonts w:hint="default" w:ascii="Times New Roman" w:hAnsi="Times New Roman" w:eastAsia="方正小标宋简体" w:cs="Times New Roman"/>
          <w:sz w:val="44"/>
          <w:szCs w:val="44"/>
          <w:lang w:eastAsia="zh-CN"/>
        </w:rPr>
        <w:t>报告</w:t>
      </w:r>
    </w:p>
    <w:p w14:paraId="433BB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BDF3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2025年，</w:t>
      </w:r>
      <w:r>
        <w:rPr>
          <w:rFonts w:hint="default" w:ascii="Times New Roman" w:hAnsi="Times New Roman" w:eastAsia="仿宋_GB2312" w:cs="Times New Roman"/>
          <w:sz w:val="32"/>
          <w:szCs w:val="32"/>
          <w:highlight w:val="none"/>
          <w:lang w:eastAsia="zh-CN"/>
        </w:rPr>
        <w:t>区国资委</w:t>
      </w:r>
      <w:r>
        <w:rPr>
          <w:rFonts w:hint="default" w:ascii="Times New Roman" w:hAnsi="Times New Roman" w:eastAsia="仿宋_GB2312" w:cs="Times New Roman"/>
          <w:sz w:val="32"/>
          <w:szCs w:val="32"/>
          <w:highlight w:val="none"/>
        </w:rPr>
        <w:t>坚持以习近平新时代中国特色社会主义思想为指导，全面贯彻落实</w:t>
      </w:r>
      <w:bookmarkStart w:id="0" w:name="OLE_LINK1"/>
      <w:bookmarkStart w:id="9" w:name="_GoBack"/>
      <w:r>
        <w:rPr>
          <w:rFonts w:hint="eastAsia" w:ascii="Times New Roman" w:hAnsi="Times New Roman" w:eastAsia="仿宋_GB2312" w:cs="Times New Roman"/>
          <w:sz w:val="32"/>
          <w:szCs w:val="32"/>
          <w:highlight w:val="none"/>
          <w:lang w:eastAsia="zh-CN"/>
        </w:rPr>
        <w:t>党的</w:t>
      </w:r>
      <w:bookmarkEnd w:id="9"/>
      <w:r>
        <w:rPr>
          <w:rFonts w:hint="eastAsia" w:ascii="Times New Roman" w:hAnsi="Times New Roman" w:eastAsia="仿宋_GB2312" w:cs="Times New Roman"/>
          <w:sz w:val="32"/>
          <w:szCs w:val="32"/>
          <w:highlight w:val="none"/>
          <w:lang w:val="en-US" w:eastAsia="zh-CN"/>
        </w:rPr>
        <w:t>二十大和二十届历次全会精神</w:t>
      </w:r>
      <w:bookmarkEnd w:id="0"/>
      <w:r>
        <w:rPr>
          <w:rFonts w:hint="default" w:ascii="Times New Roman" w:hAnsi="Times New Roman" w:eastAsia="仿宋_GB2312" w:cs="Times New Roman"/>
          <w:sz w:val="32"/>
          <w:szCs w:val="32"/>
          <w:highlight w:val="none"/>
        </w:rPr>
        <w:t>，严格落实法治政府建设各项任务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全面营造</w:t>
      </w:r>
      <w:r>
        <w:rPr>
          <w:rFonts w:hint="default" w:ascii="Times New Roman" w:hAnsi="Times New Roman" w:eastAsia="仿宋_GB2312" w:cs="Times New Roman"/>
          <w:sz w:val="32"/>
          <w:szCs w:val="32"/>
          <w:highlight w:val="none"/>
          <w:lang w:eastAsia="zh-CN"/>
        </w:rPr>
        <w:t>国资事业发展</w:t>
      </w:r>
      <w:r>
        <w:rPr>
          <w:rFonts w:hint="default" w:ascii="Times New Roman" w:hAnsi="Times New Roman" w:eastAsia="仿宋_GB2312" w:cs="Times New Roman"/>
          <w:sz w:val="32"/>
          <w:szCs w:val="32"/>
          <w:highlight w:val="none"/>
        </w:rPr>
        <w:t>的良好法治环境，</w:t>
      </w:r>
      <w:r>
        <w:rPr>
          <w:rFonts w:hint="default" w:ascii="Times New Roman" w:hAnsi="Times New Roman" w:eastAsia="仿宋_GB2312" w:cs="Times New Roman"/>
          <w:sz w:val="32"/>
          <w:szCs w:val="32"/>
          <w:highlight w:val="none"/>
          <w:lang w:eastAsia="zh-CN"/>
        </w:rPr>
        <w:t>有效支撑“十四五”规划与新一轮国企改革顺利收官，同时为科学谋划下一轮国企改革与“十五五”时期高质量发展奠定坚实的法治根基，引领国资国企在法治轨道上行稳致远、开启</w:t>
      </w:r>
      <w:r>
        <w:rPr>
          <w:rFonts w:hint="eastAsia" w:ascii="Times New Roman" w:hAnsi="Times New Roman" w:eastAsia="仿宋_GB2312" w:cs="Times New Roman"/>
          <w:sz w:val="32"/>
          <w:szCs w:val="32"/>
          <w:highlight w:val="none"/>
          <w:lang w:eastAsia="zh-CN"/>
        </w:rPr>
        <w:t>新征</w:t>
      </w:r>
      <w:r>
        <w:rPr>
          <w:rFonts w:hint="default" w:ascii="Times New Roman" w:hAnsi="Times New Roman" w:eastAsia="仿宋_GB2312" w:cs="Times New Roman"/>
          <w:sz w:val="32"/>
          <w:szCs w:val="32"/>
          <w:highlight w:val="none"/>
          <w:lang w:eastAsia="zh-CN"/>
        </w:rPr>
        <w:t>程。</w:t>
      </w:r>
      <w:r>
        <w:rPr>
          <w:rFonts w:hint="default" w:ascii="Times New Roman" w:hAnsi="Times New Roman" w:eastAsia="仿宋_GB2312" w:cs="Times New Roman"/>
          <w:sz w:val="32"/>
          <w:szCs w:val="32"/>
          <w:highlight w:val="none"/>
        </w:rPr>
        <w:t>现将本年度</w:t>
      </w:r>
      <w:r>
        <w:rPr>
          <w:rFonts w:hint="default" w:ascii="Times New Roman" w:hAnsi="Times New Roman" w:eastAsia="仿宋_GB2312" w:cs="Times New Roman"/>
          <w:sz w:val="32"/>
          <w:szCs w:val="32"/>
          <w:highlight w:val="none"/>
          <w:lang w:eastAsia="zh-CN"/>
        </w:rPr>
        <w:t>法治政府建设年度情况</w:t>
      </w:r>
      <w:r>
        <w:rPr>
          <w:rFonts w:hint="default" w:ascii="Times New Roman" w:hAnsi="Times New Roman" w:eastAsia="仿宋_GB2312" w:cs="Times New Roman"/>
          <w:sz w:val="32"/>
          <w:szCs w:val="32"/>
          <w:highlight w:val="none"/>
        </w:rPr>
        <w:t>报告如下：</w:t>
      </w:r>
    </w:p>
    <w:p w14:paraId="4462B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一、202</w:t>
      </w:r>
      <w:r>
        <w:rPr>
          <w:rFonts w:hint="default"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年</w:t>
      </w:r>
      <w:r>
        <w:rPr>
          <w:rFonts w:hint="default" w:ascii="Times New Roman" w:hAnsi="Times New Roman" w:eastAsia="黑体" w:cs="Times New Roman"/>
          <w:sz w:val="32"/>
          <w:szCs w:val="32"/>
          <w:highlight w:val="none"/>
          <w:lang w:eastAsia="zh-CN"/>
        </w:rPr>
        <w:t>推进法治政府建设的</w:t>
      </w:r>
      <w:r>
        <w:rPr>
          <w:rFonts w:hint="default" w:ascii="Times New Roman" w:hAnsi="Times New Roman" w:eastAsia="黑体" w:cs="Times New Roman"/>
          <w:sz w:val="32"/>
          <w:szCs w:val="32"/>
          <w:highlight w:val="none"/>
        </w:rPr>
        <w:t>主要举措和成效</w:t>
      </w:r>
    </w:p>
    <w:p w14:paraId="2930F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6"/>
          <w:highlight w:val="none"/>
          <w:lang w:val="en-US" w:eastAsia="zh-CN"/>
        </w:rPr>
      </w:pPr>
      <w:r>
        <w:rPr>
          <w:rFonts w:hint="default" w:ascii="Times New Roman" w:hAnsi="Times New Roman" w:eastAsia="楷体_GB2312" w:cs="Times New Roman"/>
          <w:sz w:val="32"/>
          <w:szCs w:val="36"/>
          <w:highlight w:val="none"/>
          <w:lang w:val="en-US" w:eastAsia="zh-CN"/>
        </w:rPr>
        <w:t>（</w:t>
      </w:r>
      <w:r>
        <w:rPr>
          <w:rFonts w:hint="eastAsia" w:ascii="Times New Roman" w:hAnsi="Times New Roman" w:eastAsia="楷体_GB2312" w:cs="Times New Roman"/>
          <w:sz w:val="32"/>
          <w:szCs w:val="36"/>
          <w:highlight w:val="none"/>
          <w:lang w:val="en-US" w:eastAsia="zh-CN"/>
        </w:rPr>
        <w:t>一</w:t>
      </w:r>
      <w:r>
        <w:rPr>
          <w:rFonts w:hint="default" w:ascii="Times New Roman" w:hAnsi="Times New Roman" w:eastAsia="楷体_GB2312" w:cs="Times New Roman"/>
          <w:sz w:val="32"/>
          <w:szCs w:val="36"/>
          <w:highlight w:val="none"/>
          <w:lang w:val="en-US" w:eastAsia="zh-CN"/>
        </w:rPr>
        <w:t>）抓实学习</w:t>
      </w:r>
      <w:r>
        <w:rPr>
          <w:rFonts w:hint="eastAsia" w:ascii="Times New Roman" w:hAnsi="Times New Roman" w:eastAsia="楷体_GB2312" w:cs="Times New Roman"/>
          <w:sz w:val="32"/>
          <w:szCs w:val="36"/>
          <w:highlight w:val="none"/>
          <w:lang w:val="en-US" w:eastAsia="zh-CN"/>
        </w:rPr>
        <w:t>落实</w:t>
      </w:r>
      <w:r>
        <w:rPr>
          <w:rFonts w:hint="default" w:ascii="Times New Roman" w:hAnsi="Times New Roman" w:eastAsia="楷体_GB2312" w:cs="Times New Roman"/>
          <w:sz w:val="32"/>
          <w:szCs w:val="36"/>
          <w:highlight w:val="none"/>
          <w:lang w:val="en-US" w:eastAsia="zh-CN"/>
        </w:rPr>
        <w:t>，提升依法履职能力</w:t>
      </w:r>
    </w:p>
    <w:p w14:paraId="23F74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持续强化法治学习与理论武装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及时传达学习中央</w:t>
      </w:r>
      <w:r>
        <w:rPr>
          <w:rFonts w:hint="eastAsia" w:ascii="Times New Roman" w:hAnsi="Times New Roman" w:eastAsia="仿宋_GB2312" w:cs="Times New Roman"/>
          <w:sz w:val="32"/>
          <w:szCs w:val="32"/>
          <w:highlight w:val="none"/>
          <w:lang w:val="en-US" w:eastAsia="zh-CN"/>
        </w:rPr>
        <w:t>及北京市</w:t>
      </w:r>
      <w:r>
        <w:rPr>
          <w:rFonts w:hint="default" w:ascii="Times New Roman" w:hAnsi="Times New Roman" w:eastAsia="仿宋_GB2312" w:cs="Times New Roman"/>
          <w:sz w:val="32"/>
          <w:szCs w:val="32"/>
          <w:highlight w:val="none"/>
          <w:lang w:val="en-US" w:eastAsia="zh-CN"/>
        </w:rPr>
        <w:t>法治政府建设工作相关会议和文件精神</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将法治学习纳入党委</w:t>
      </w:r>
      <w:r>
        <w:rPr>
          <w:rFonts w:hint="eastAsia" w:ascii="Times New Roman" w:hAnsi="Times New Roman" w:eastAsia="仿宋_GB2312" w:cs="Times New Roman"/>
          <w:sz w:val="32"/>
          <w:szCs w:val="32"/>
          <w:highlight w:val="none"/>
          <w:lang w:val="en-US" w:eastAsia="zh-CN"/>
        </w:rPr>
        <w:t>理论学习中心组</w:t>
      </w:r>
      <w:r>
        <w:rPr>
          <w:rFonts w:hint="default" w:ascii="Times New Roman" w:hAnsi="Times New Roman" w:eastAsia="仿宋_GB2312" w:cs="Times New Roman"/>
          <w:sz w:val="32"/>
          <w:szCs w:val="32"/>
          <w:highlight w:val="none"/>
          <w:lang w:val="en-US" w:eastAsia="zh-CN"/>
        </w:rPr>
        <w:t>年度学习计划，认真学习习近平法治思想、《中华人民共和国宪法》《中华人民共和国民法典》《中国共产党章程》《中国共产党纪律处分条例》等内容，全年开展</w:t>
      </w:r>
      <w:r>
        <w:rPr>
          <w:rFonts w:hint="eastAsia" w:ascii="Times New Roman" w:hAnsi="Times New Roman" w:eastAsia="仿宋_GB2312" w:cs="Times New Roman"/>
          <w:sz w:val="32"/>
          <w:szCs w:val="32"/>
          <w:highlight w:val="none"/>
          <w:lang w:val="en-US" w:eastAsia="zh-CN"/>
        </w:rPr>
        <w:t>专题学习16</w:t>
      </w:r>
      <w:r>
        <w:rPr>
          <w:rFonts w:hint="default" w:ascii="Times New Roman" w:hAnsi="Times New Roman" w:eastAsia="仿宋_GB2312" w:cs="Times New Roman"/>
          <w:sz w:val="32"/>
          <w:szCs w:val="32"/>
          <w:highlight w:val="none"/>
          <w:lang w:val="en-US" w:eastAsia="zh-CN"/>
        </w:rPr>
        <w:t>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有效提升领导干部运用法治思维和法治方式开展工作的能力。通过会前学法等形式，先后组织对《东城区行政事业单位财务管理及风险管控指引》《北京市消防条例》《党政领导干部选拔任用工作条例》《</w:t>
      </w:r>
      <w:r>
        <w:rPr>
          <w:rFonts w:hint="eastAsia" w:ascii="Times New Roman" w:hAnsi="Times New Roman" w:eastAsia="仿宋_GB2312" w:cs="Times New Roman"/>
          <w:sz w:val="32"/>
          <w:szCs w:val="32"/>
          <w:highlight w:val="none"/>
          <w:lang w:val="en-US" w:eastAsia="zh-CN"/>
        </w:rPr>
        <w:t>整治形式主义为基层减负若干规定</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释义读本（试行）</w:t>
      </w:r>
      <w:r>
        <w:rPr>
          <w:rFonts w:hint="default" w:ascii="Times New Roman" w:hAnsi="Times New Roman" w:eastAsia="仿宋_GB2312" w:cs="Times New Roman"/>
          <w:sz w:val="32"/>
          <w:szCs w:val="32"/>
          <w:highlight w:val="none"/>
          <w:lang w:val="en-US" w:eastAsia="zh-CN"/>
        </w:rPr>
        <w:t>等多部新规政策的专题解读，</w:t>
      </w:r>
      <w:r>
        <w:rPr>
          <w:rFonts w:hint="eastAsia" w:ascii="Times New Roman" w:hAnsi="Times New Roman" w:eastAsia="仿宋_GB2312" w:cs="Times New Roman"/>
          <w:sz w:val="32"/>
          <w:szCs w:val="32"/>
          <w:highlight w:val="none"/>
          <w:lang w:val="en-US" w:eastAsia="zh-CN"/>
        </w:rPr>
        <w:t>组织机关领导干部通过干部网络学院学习</w:t>
      </w:r>
      <w:r>
        <w:rPr>
          <w:rFonts w:hint="default" w:ascii="Times New Roman" w:hAnsi="Times New Roman" w:eastAsia="仿宋_GB2312" w:cs="Times New Roman"/>
          <w:sz w:val="32"/>
          <w:szCs w:val="32"/>
          <w:highlight w:val="none"/>
          <w:lang w:val="en-US" w:eastAsia="zh-CN"/>
        </w:rPr>
        <w:t>应知应会党内法规和法律法规网上专题培训班</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助力干部准确把握政策要求，增强依法履职的实际本领。</w:t>
      </w:r>
      <w:r>
        <w:rPr>
          <w:rFonts w:hint="default" w:ascii="Times New Roman" w:hAnsi="Times New Roman" w:eastAsia="仿宋_GB2312" w:cs="Times New Roman"/>
          <w:sz w:val="32"/>
          <w:szCs w:val="32"/>
          <w:highlight w:val="none"/>
        </w:rPr>
        <w:t>自觉接受各方监督，按要求及时报送东城区党政领导干部经济责任审计及自然资源资产审计整改情况，确保问题整改到位、机制持续完善。将法治建设、</w:t>
      </w:r>
      <w:r>
        <w:rPr>
          <w:rFonts w:hint="eastAsia" w:ascii="Times New Roman" w:hAnsi="Times New Roman" w:eastAsia="仿宋_GB2312" w:cs="Times New Roman"/>
          <w:sz w:val="32"/>
          <w:szCs w:val="32"/>
          <w:highlight w:val="none"/>
          <w:lang w:eastAsia="zh-CN"/>
        </w:rPr>
        <w:t>案件纠纷</w:t>
      </w:r>
      <w:r>
        <w:rPr>
          <w:rFonts w:hint="default" w:ascii="Times New Roman" w:hAnsi="Times New Roman" w:eastAsia="仿宋_GB2312" w:cs="Times New Roman"/>
          <w:sz w:val="32"/>
          <w:szCs w:val="32"/>
          <w:highlight w:val="none"/>
        </w:rPr>
        <w:t>化解纳入区属国有企业负责人经营业绩考核体系，有效推动企业依法经营、规范管理，为全区高质量发展营造良好的法治环境。</w:t>
      </w:r>
    </w:p>
    <w:p w14:paraId="06784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6"/>
          <w:highlight w:val="none"/>
          <w:lang w:val="en-US" w:eastAsia="zh-CN"/>
        </w:rPr>
      </w:pPr>
      <w:r>
        <w:rPr>
          <w:rFonts w:hint="default" w:ascii="Times New Roman" w:hAnsi="Times New Roman" w:eastAsia="楷体_GB2312" w:cs="Times New Roman"/>
          <w:sz w:val="32"/>
          <w:szCs w:val="36"/>
          <w:highlight w:val="none"/>
          <w:lang w:val="en-US" w:eastAsia="zh-CN"/>
        </w:rPr>
        <w:t>（二）完善制度体系，筑牢依法监管根基</w:t>
      </w:r>
    </w:p>
    <w:p w14:paraId="6E034D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一是</w:t>
      </w:r>
      <w:r>
        <w:rPr>
          <w:rFonts w:hint="default" w:ascii="Times New Roman" w:hAnsi="Times New Roman" w:eastAsia="仿宋_GB2312" w:cs="Times New Roman"/>
          <w:sz w:val="32"/>
          <w:szCs w:val="36"/>
          <w:highlight w:val="none"/>
          <w:lang w:val="en-US" w:eastAsia="zh-CN"/>
        </w:rPr>
        <w:t>坚持立改废释并举，持续完善以管资本为主的国资监管制度体系</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年初系统梳理并印发制度汇编（四），年内根据改革发展需要，制定、修订了</w:t>
      </w:r>
      <w:r>
        <w:rPr>
          <w:rFonts w:hint="eastAsia" w:ascii="Times New Roman" w:hAnsi="Times New Roman" w:eastAsia="仿宋_GB2312" w:cs="Times New Roman"/>
          <w:sz w:val="32"/>
          <w:szCs w:val="36"/>
          <w:highlight w:val="none"/>
          <w:lang w:val="en-US" w:eastAsia="zh-CN"/>
        </w:rPr>
        <w:t>2</w:t>
      </w:r>
      <w:r>
        <w:rPr>
          <w:rFonts w:hint="default" w:ascii="Times New Roman" w:hAnsi="Times New Roman" w:eastAsia="仿宋_GB2312" w:cs="Times New Roman"/>
          <w:sz w:val="32"/>
          <w:szCs w:val="36"/>
          <w:highlight w:val="none"/>
          <w:lang w:val="en-US" w:eastAsia="zh-CN"/>
        </w:rPr>
        <w:t>项国资监管制度，促使国资监管制度链条更加严密、规范，为依法履行出资人职责、提升监管效能提供坚实制度支撑。其中，制定了</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东城区区管企业公司章程管理办法</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构建权责清晰、规范统一、运转高效的章程管理机制，夯实企业治理基础；修订了</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东城区国资委合同管理办法</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，进一步规范机关合同管理流程，严控法律风险。</w:t>
      </w:r>
      <w:r>
        <w:rPr>
          <w:rFonts w:hint="eastAsia" w:ascii="Times New Roman" w:hAnsi="Times New Roman" w:eastAsia="仿宋_GB2312" w:cs="Times New Roman"/>
          <w:sz w:val="32"/>
          <w:szCs w:val="36"/>
          <w:highlight w:val="none"/>
          <w:lang w:val="en-US" w:eastAsia="zh-CN"/>
        </w:rPr>
        <w:t>二是</w:t>
      </w:r>
      <w:r>
        <w:rPr>
          <w:rFonts w:hint="default" w:ascii="Times New Roman" w:hAnsi="Times New Roman" w:eastAsia="仿宋_GB2312" w:cs="Times New Roman"/>
          <w:sz w:val="32"/>
          <w:szCs w:val="36"/>
          <w:highlight w:val="none"/>
          <w:lang w:val="en-US" w:eastAsia="zh-CN"/>
        </w:rPr>
        <w:t>严格规范审核审查程序，落实《公平竞争审查条例》要求，对所有拟出台的制度、政策均开展公平竞争审查自查，并</w:t>
      </w:r>
      <w:bookmarkStart w:id="1" w:name="OLE_LINK5"/>
      <w:r>
        <w:rPr>
          <w:rFonts w:hint="default" w:ascii="Times New Roman" w:hAnsi="Times New Roman" w:eastAsia="仿宋_GB2312" w:cs="Times New Roman"/>
          <w:sz w:val="32"/>
          <w:szCs w:val="36"/>
          <w:highlight w:val="none"/>
          <w:lang w:val="en-US" w:eastAsia="zh-CN"/>
        </w:rPr>
        <w:t>积极配合区公平竞争审查工作联席会议办公室完成抽查工作</w:t>
      </w:r>
      <w:bookmarkEnd w:id="1"/>
      <w:r>
        <w:rPr>
          <w:rFonts w:hint="default" w:ascii="Times New Roman" w:hAnsi="Times New Roman" w:eastAsia="仿宋_GB2312" w:cs="Times New Roman"/>
          <w:sz w:val="32"/>
          <w:szCs w:val="36"/>
          <w:highlight w:val="none"/>
          <w:lang w:val="en-US" w:eastAsia="zh-CN"/>
        </w:rPr>
        <w:t>。持续加强制度（办法）文件的合法合规性审核，充分发挥机关外聘法律顾问的专业作用，在重要制度性文件制定、重要行政管理决定作出前，均征求并采纳法律顾问意见，确保决策科学、程序正当、内容合法。</w:t>
      </w:r>
      <w:r>
        <w:rPr>
          <w:rFonts w:hint="eastAsia" w:ascii="Times New Roman" w:hAnsi="Times New Roman" w:eastAsia="仿宋_GB2312" w:cs="Times New Roman"/>
          <w:sz w:val="32"/>
          <w:szCs w:val="36"/>
          <w:highlight w:val="none"/>
          <w:lang w:val="en-US" w:eastAsia="zh-CN"/>
        </w:rPr>
        <w:t>三是</w:t>
      </w:r>
      <w:r>
        <w:rPr>
          <w:rFonts w:hint="default" w:ascii="Times New Roman" w:hAnsi="Times New Roman" w:eastAsia="仿宋_GB2312" w:cs="Times New Roman"/>
          <w:sz w:val="32"/>
          <w:szCs w:val="36"/>
          <w:highlight w:val="none"/>
          <w:lang w:val="en-US" w:eastAsia="zh-CN"/>
        </w:rPr>
        <w:t>严格落实人大代表建议和政协提案办理制度，规范办理流程，提升办理质量，本届会议区国资委共收到建议、提案15件，其中，人大代表建议4件，政协委员提案11件，均按要求办复。</w:t>
      </w:r>
    </w:p>
    <w:p w14:paraId="66BA4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6"/>
          <w:highlight w:val="none"/>
          <w:lang w:val="en-US" w:eastAsia="zh-CN"/>
        </w:rPr>
      </w:pPr>
      <w:r>
        <w:rPr>
          <w:rFonts w:hint="default" w:ascii="Times New Roman" w:hAnsi="Times New Roman" w:eastAsia="楷体_GB2312" w:cs="Times New Roman"/>
          <w:sz w:val="32"/>
          <w:szCs w:val="36"/>
          <w:highlight w:val="none"/>
          <w:lang w:val="en-US" w:eastAsia="zh-CN"/>
        </w:rPr>
        <w:t>（</w:t>
      </w:r>
      <w:r>
        <w:rPr>
          <w:rFonts w:hint="eastAsia" w:ascii="Times New Roman" w:hAnsi="Times New Roman" w:eastAsia="楷体_GB2312" w:cs="Times New Roman"/>
          <w:sz w:val="32"/>
          <w:szCs w:val="36"/>
          <w:highlight w:val="none"/>
          <w:lang w:val="en-US" w:eastAsia="zh-CN"/>
        </w:rPr>
        <w:t>三</w:t>
      </w:r>
      <w:r>
        <w:rPr>
          <w:rFonts w:hint="default" w:ascii="Times New Roman" w:hAnsi="Times New Roman" w:eastAsia="楷体_GB2312" w:cs="Times New Roman"/>
          <w:sz w:val="32"/>
          <w:szCs w:val="36"/>
          <w:highlight w:val="none"/>
          <w:lang w:val="en-US" w:eastAsia="zh-CN"/>
        </w:rPr>
        <w:t>）聚焦风险化解，提升依法治理效能</w:t>
      </w:r>
    </w:p>
    <w:p w14:paraId="3CAB5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2" w:name="OLE_LINK2"/>
      <w:r>
        <w:rPr>
          <w:rFonts w:hint="eastAsia" w:ascii="Times New Roman" w:hAnsi="Times New Roman" w:eastAsia="仿宋_GB2312" w:cs="Times New Roman"/>
          <w:sz w:val="32"/>
          <w:szCs w:val="36"/>
          <w:highlight w:val="none"/>
          <w:lang w:val="en-US" w:eastAsia="zh-CN"/>
        </w:rPr>
        <w:t>一是加强系统谋划，</w:t>
      </w:r>
      <w:r>
        <w:rPr>
          <w:rFonts w:hint="default" w:ascii="Times New Roman" w:hAnsi="Times New Roman" w:eastAsia="仿宋_GB2312" w:cs="Times New Roman"/>
          <w:sz w:val="32"/>
          <w:szCs w:val="36"/>
          <w:highlight w:val="none"/>
          <w:lang w:val="en-US" w:eastAsia="zh-CN"/>
        </w:rPr>
        <w:t>将风险案件化解纳入年度法治工作重点，</w:t>
      </w:r>
      <w:r>
        <w:rPr>
          <w:rFonts w:hint="eastAsia" w:ascii="Times New Roman" w:hAnsi="Times New Roman" w:eastAsia="仿宋_GB2312" w:cs="Times New Roman"/>
          <w:sz w:val="32"/>
          <w:szCs w:val="36"/>
          <w:highlight w:val="none"/>
          <w:lang w:val="en-US" w:eastAsia="zh-CN"/>
        </w:rPr>
        <w:t>制定</w:t>
      </w:r>
      <w:r>
        <w:rPr>
          <w:rFonts w:hint="default" w:ascii="Times New Roman" w:hAnsi="Times New Roman" w:eastAsia="仿宋_GB2312" w:cs="Times New Roman"/>
          <w:sz w:val="32"/>
          <w:szCs w:val="36"/>
          <w:highlight w:val="none"/>
          <w:lang w:val="en-US" w:eastAsia="zh-CN"/>
        </w:rPr>
        <w:t>区属国有企业涉法涉诉风险案件治理工作方案</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lang w:val="en-US" w:eastAsia="zh-CN"/>
        </w:rPr>
        <w:t>建立专班工作机制，</w:t>
      </w:r>
      <w:r>
        <w:rPr>
          <w:rFonts w:hint="eastAsia" w:ascii="Times New Roman" w:hAnsi="Times New Roman" w:eastAsia="仿宋_GB2312" w:cs="Times New Roman"/>
          <w:sz w:val="32"/>
          <w:szCs w:val="36"/>
          <w:highlight w:val="none"/>
          <w:lang w:val="en-US" w:eastAsia="zh-CN"/>
        </w:rPr>
        <w:t>统筹内外部法治力量，</w:t>
      </w:r>
      <w:r>
        <w:rPr>
          <w:rFonts w:hint="default" w:ascii="Times New Roman" w:hAnsi="Times New Roman" w:eastAsia="仿宋_GB2312" w:cs="Times New Roman"/>
          <w:sz w:val="32"/>
          <w:szCs w:val="36"/>
          <w:highlight w:val="none"/>
          <w:lang w:val="en-US" w:eastAsia="zh-CN"/>
        </w:rPr>
        <w:t>集中</w:t>
      </w:r>
      <w:r>
        <w:rPr>
          <w:rFonts w:hint="eastAsia" w:ascii="Times New Roman" w:hAnsi="Times New Roman" w:eastAsia="仿宋_GB2312" w:cs="Times New Roman"/>
          <w:sz w:val="32"/>
          <w:szCs w:val="36"/>
          <w:highlight w:val="none"/>
          <w:lang w:val="en-US" w:eastAsia="zh-CN"/>
        </w:rPr>
        <w:t>攻坚突破</w:t>
      </w:r>
      <w:r>
        <w:rPr>
          <w:rFonts w:hint="default" w:ascii="Times New Roman" w:hAnsi="Times New Roman" w:eastAsia="仿宋_GB2312" w:cs="Times New Roman"/>
          <w:sz w:val="32"/>
          <w:szCs w:val="36"/>
          <w:highlight w:val="none"/>
          <w:lang w:val="en-US" w:eastAsia="zh-CN"/>
        </w:rPr>
        <w:t>17件国资系统重点涉法涉诉风险案件，通过加强统筹协调、明确责任主体、多方寻求证据、积极谈判沟通等措施，案件化解工作取得显著成效</w:t>
      </w:r>
      <w:r>
        <w:rPr>
          <w:rFonts w:hint="eastAsia" w:ascii="Times New Roman" w:hAnsi="Times New Roman" w:eastAsia="仿宋_GB2312" w:cs="Times New Roman"/>
          <w:sz w:val="32"/>
          <w:szCs w:val="36"/>
          <w:highlight w:val="none"/>
          <w:lang w:val="en-US" w:eastAsia="zh-CN"/>
        </w:rPr>
        <w:t>。二是将法治价值转化为切实成果，</w:t>
      </w:r>
      <w:r>
        <w:rPr>
          <w:rFonts w:hint="default" w:ascii="Times New Roman" w:hAnsi="Times New Roman" w:eastAsia="仿宋_GB2312" w:cs="Times New Roman"/>
          <w:sz w:val="32"/>
          <w:szCs w:val="36"/>
          <w:highlight w:val="none"/>
          <w:lang w:val="en-US" w:eastAsia="zh-CN"/>
        </w:rPr>
        <w:t>截至12月，共有计算机二厂涉诉案件、体育基金会案件等5起案件</w:t>
      </w:r>
      <w:r>
        <w:rPr>
          <w:rFonts w:hint="eastAsia" w:ascii="Times New Roman" w:hAnsi="Times New Roman" w:eastAsia="仿宋_GB2312" w:cs="Times New Roman"/>
          <w:sz w:val="32"/>
          <w:szCs w:val="36"/>
          <w:highlight w:val="none"/>
          <w:lang w:val="en-US" w:eastAsia="zh-CN"/>
        </w:rPr>
        <w:t>达成和解、</w:t>
      </w:r>
      <w:r>
        <w:rPr>
          <w:rFonts w:hint="default" w:ascii="Times New Roman" w:hAnsi="Times New Roman" w:eastAsia="仿宋_GB2312" w:cs="Times New Roman"/>
          <w:sz w:val="32"/>
          <w:szCs w:val="36"/>
          <w:highlight w:val="none"/>
          <w:lang w:val="en-US" w:eastAsia="zh-CN"/>
        </w:rPr>
        <w:t>彻底结案，另有2起案件因我方充分举证、积极应对，对方主动撤诉，有效维护国有资产安全，提升企业依法维权和风险应对能力，推动企业轻装上阵、聚焦主业。</w:t>
      </w:r>
      <w:bookmarkEnd w:id="2"/>
      <w:r>
        <w:rPr>
          <w:rFonts w:hint="eastAsia" w:ascii="Times New Roman" w:hAnsi="Times New Roman" w:eastAsia="仿宋_GB2312" w:cs="Times New Roman"/>
          <w:sz w:val="32"/>
          <w:szCs w:val="36"/>
          <w:highlight w:val="none"/>
          <w:lang w:val="en-US" w:eastAsia="zh-CN"/>
        </w:rPr>
        <w:t>三是</w:t>
      </w:r>
      <w:r>
        <w:rPr>
          <w:rFonts w:hint="default" w:ascii="Times New Roman" w:hAnsi="Times New Roman" w:eastAsia="仿宋_GB2312" w:cs="Times New Roman"/>
          <w:sz w:val="32"/>
          <w:szCs w:val="36"/>
          <w:highlight w:val="none"/>
          <w:lang w:val="en-US" w:eastAsia="zh-CN"/>
        </w:rPr>
        <w:t>深化以案促管长效机制，研究制定东城区国有企业历史遗留问题造成资产损失责任追究办法，从制度层面明确责任、规范程序、强化约束，激励区属国有企业在履职中更加注重依法合规、担当作为，同时也为积极稳妥、公平合理地追究历史遗留问题导致造成资产损失责任提供坚实的制度保障。</w:t>
      </w:r>
    </w:p>
    <w:p w14:paraId="0E11E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6"/>
          <w:highlight w:val="none"/>
          <w:lang w:val="en-US" w:eastAsia="zh-CN"/>
        </w:rPr>
        <w:t>（四）</w:t>
      </w:r>
      <w:r>
        <w:rPr>
          <w:rFonts w:hint="default" w:ascii="Times New Roman" w:hAnsi="Times New Roman" w:eastAsia="楷体_GB2312" w:cs="Times New Roman"/>
          <w:sz w:val="32"/>
          <w:szCs w:val="36"/>
          <w:highlight w:val="none"/>
          <w:lang w:val="en-US" w:eastAsia="zh-CN"/>
        </w:rPr>
        <w:t>深化法治宣教，营造浓厚法治氛围</w:t>
      </w:r>
    </w:p>
    <w:p w14:paraId="1B10D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eastAsia="zh-CN"/>
        </w:rPr>
        <w:t>一是深化普法宣传与法治实践，</w:t>
      </w:r>
      <w:bookmarkStart w:id="3" w:name="OLE_LINK6"/>
      <w:r>
        <w:rPr>
          <w:rFonts w:hint="default" w:ascii="Times New Roman" w:hAnsi="Times New Roman" w:eastAsia="仿宋_GB2312" w:cs="Times New Roman"/>
          <w:sz w:val="32"/>
          <w:szCs w:val="32"/>
        </w:rPr>
        <w:t>全面总结“八五”普法期间工作成效，</w:t>
      </w:r>
      <w:bookmarkEnd w:id="3"/>
      <w:r>
        <w:rPr>
          <w:rFonts w:hint="default" w:ascii="Times New Roman" w:hAnsi="Times New Roman" w:eastAsia="仿宋_GB2312" w:cs="Times New Roman"/>
          <w:sz w:val="32"/>
          <w:szCs w:val="32"/>
        </w:rPr>
        <w:t>为下一步普法规划奠定基础。</w:t>
      </w:r>
      <w:r>
        <w:rPr>
          <w:rFonts w:hint="eastAsia" w:ascii="Times New Roman" w:hAnsi="Times New Roman" w:eastAsia="仿宋_GB2312" w:cs="Times New Roman"/>
          <w:sz w:val="32"/>
          <w:szCs w:val="32"/>
          <w:lang w:eastAsia="zh-CN"/>
        </w:rPr>
        <w:t>协办区级</w:t>
      </w:r>
      <w:r>
        <w:rPr>
          <w:rFonts w:hint="default" w:ascii="Times New Roman" w:hAnsi="Times New Roman" w:eastAsia="仿宋_GB2312" w:cs="Times New Roman"/>
          <w:sz w:val="32"/>
          <w:szCs w:val="32"/>
        </w:rPr>
        <w:t>“民法典进企业”知识竞赛，国资系统选派的三支队伍凭借扎实的法律知识和出色的现场表现，</w:t>
      </w:r>
      <w:r>
        <w:rPr>
          <w:rFonts w:hint="eastAsia" w:ascii="Times New Roman" w:hAnsi="Times New Roman" w:eastAsia="仿宋_GB2312" w:cs="Times New Roman"/>
          <w:sz w:val="32"/>
          <w:szCs w:val="32"/>
          <w:highlight w:val="none"/>
          <w:lang w:eastAsia="zh-CN"/>
        </w:rPr>
        <w:t>分别获得</w:t>
      </w:r>
      <w:r>
        <w:rPr>
          <w:rFonts w:hint="default" w:ascii="Times New Roman" w:hAnsi="Times New Roman" w:eastAsia="仿宋_GB2312" w:cs="Times New Roman"/>
          <w:sz w:val="32"/>
          <w:szCs w:val="32"/>
          <w:highlight w:val="none"/>
        </w:rPr>
        <w:t>一、二、三等奖，达到了以赛促学、以学促用的良好效果。</w:t>
      </w:r>
      <w:bookmarkStart w:id="4" w:name="OLE_LINK8"/>
      <w:r>
        <w:rPr>
          <w:rFonts w:hint="default" w:ascii="Times New Roman" w:hAnsi="Times New Roman" w:eastAsia="仿宋_GB2312" w:cs="Times New Roman"/>
          <w:sz w:val="32"/>
          <w:szCs w:val="32"/>
          <w:highlight w:val="none"/>
        </w:rPr>
        <w:t>在第十二个国家宪法</w:t>
      </w:r>
      <w:r>
        <w:rPr>
          <w:rFonts w:hint="eastAsia" w:ascii="Times New Roman" w:hAnsi="Times New Roman" w:eastAsia="仿宋_GB2312" w:cs="Times New Roman"/>
          <w:sz w:val="32"/>
          <w:szCs w:val="32"/>
          <w:highlight w:val="none"/>
          <w:lang w:eastAsia="zh-CN"/>
        </w:rPr>
        <w:t>周</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40"/>
          <w:highlight w:val="none"/>
          <w:lang w:eastAsia="zh-CN"/>
        </w:rPr>
        <w:t>开展“宪法引领 合规护航”宪法进国企活动，</w:t>
      </w:r>
      <w:r>
        <w:rPr>
          <w:rFonts w:hint="eastAsia" w:ascii="仿宋_GB2312" w:hAnsi="仿宋_GB2312" w:eastAsia="仿宋_GB2312" w:cs="仿宋_GB2312"/>
          <w:sz w:val="32"/>
          <w:szCs w:val="40"/>
          <w:lang w:eastAsia="zh-CN"/>
        </w:rPr>
        <w:t>采取“线上</w:t>
      </w:r>
      <w:r>
        <w:rPr>
          <w:rFonts w:hint="eastAsia" w:ascii="仿宋_GB2312" w:hAnsi="仿宋_GB2312" w:eastAsia="仿宋_GB2312" w:cs="仿宋_GB2312"/>
          <w:sz w:val="32"/>
          <w:szCs w:val="40"/>
          <w:lang w:val="en-US" w:eastAsia="zh-CN"/>
        </w:rPr>
        <w:t>+线下</w:t>
      </w:r>
      <w:r>
        <w:rPr>
          <w:rFonts w:hint="eastAsia" w:ascii="仿宋_GB2312" w:hAnsi="仿宋_GB2312" w:eastAsia="仿宋_GB2312" w:cs="仿宋_GB2312"/>
          <w:sz w:val="32"/>
          <w:szCs w:val="40"/>
          <w:lang w:eastAsia="zh-CN"/>
        </w:rPr>
        <w:t>”专题讲座方式，特邀国资委机关法律顾问围绕</w:t>
      </w:r>
      <w:r>
        <w:rPr>
          <w:rFonts w:hint="default" w:ascii="Times New Roman" w:hAnsi="Times New Roman" w:eastAsia="仿宋_GB2312" w:cs="Times New Roman"/>
          <w:sz w:val="32"/>
          <w:szCs w:val="40"/>
          <w:lang w:eastAsia="zh-CN"/>
        </w:rPr>
        <w:t>宪法视角下的企业合规与法律风险防范、物业法律事务两个专题对系统</w:t>
      </w:r>
      <w:r>
        <w:rPr>
          <w:rFonts w:hint="default" w:ascii="Times New Roman" w:hAnsi="Times New Roman" w:eastAsia="仿宋_GB2312" w:cs="Times New Roman"/>
          <w:sz w:val="32"/>
          <w:szCs w:val="40"/>
          <w:lang w:val="en-US" w:eastAsia="zh-CN"/>
        </w:rPr>
        <w:t>300名</w:t>
      </w:r>
      <w:r>
        <w:rPr>
          <w:rFonts w:hint="eastAsia" w:ascii="Times New Roman" w:hAnsi="Times New Roman" w:eastAsia="仿宋_GB2312" w:cs="Times New Roman"/>
          <w:sz w:val="32"/>
          <w:szCs w:val="40"/>
          <w:lang w:val="en-US" w:eastAsia="zh-CN"/>
        </w:rPr>
        <w:t>法务</w:t>
      </w:r>
      <w:r>
        <w:rPr>
          <w:rFonts w:hint="default" w:ascii="Times New Roman" w:hAnsi="Times New Roman" w:eastAsia="仿宋_GB2312" w:cs="Times New Roman"/>
          <w:sz w:val="32"/>
          <w:szCs w:val="40"/>
          <w:lang w:val="en-US" w:eastAsia="zh-CN"/>
        </w:rPr>
        <w:t>干部</w:t>
      </w:r>
      <w:r>
        <w:rPr>
          <w:rFonts w:hint="default" w:ascii="Times New Roman" w:hAnsi="Times New Roman" w:eastAsia="仿宋_GB2312" w:cs="Times New Roman"/>
          <w:sz w:val="32"/>
          <w:szCs w:val="40"/>
          <w:lang w:eastAsia="zh-CN"/>
        </w:rPr>
        <w:t>进行专题辅导，以案为鉴、以学促干，切实增强区属国企干</w:t>
      </w:r>
      <w:r>
        <w:rPr>
          <w:rFonts w:hint="eastAsia" w:ascii="仿宋_GB2312" w:hAnsi="仿宋_GB2312" w:eastAsia="仿宋_GB2312" w:cs="仿宋_GB2312"/>
          <w:sz w:val="32"/>
          <w:szCs w:val="40"/>
          <w:lang w:eastAsia="zh-CN"/>
        </w:rPr>
        <w:t>部职工的法治意识、风险意识和合规履职能力</w:t>
      </w:r>
      <w:r>
        <w:rPr>
          <w:rFonts w:hint="default" w:ascii="Times New Roman" w:hAnsi="Times New Roman" w:eastAsia="仿宋_GB2312" w:cs="Times New Roman"/>
          <w:sz w:val="32"/>
          <w:szCs w:val="32"/>
          <w:highlight w:val="none"/>
        </w:rPr>
        <w:t>。</w:t>
      </w:r>
      <w:bookmarkEnd w:id="4"/>
      <w:bookmarkStart w:id="5" w:name="OLE_LINK7"/>
      <w:r>
        <w:rPr>
          <w:rFonts w:hint="default" w:ascii="Times New Roman" w:hAnsi="Times New Roman" w:eastAsia="仿宋_GB2312" w:cs="Times New Roman"/>
          <w:sz w:val="32"/>
          <w:szCs w:val="32"/>
          <w:highlight w:val="none"/>
        </w:rPr>
        <w:t>利用公平竞争政策宣传周等重要节点，在机关宣传栏张贴宣传海报，</w:t>
      </w:r>
      <w:r>
        <w:rPr>
          <w:rFonts w:hint="eastAsia" w:ascii="Times New Roman" w:hAnsi="Times New Roman" w:eastAsia="仿宋_GB2312" w:cs="Times New Roman"/>
          <w:sz w:val="32"/>
          <w:szCs w:val="32"/>
          <w:highlight w:val="none"/>
          <w:lang w:eastAsia="zh-CN"/>
        </w:rPr>
        <w:t>组织观</w:t>
      </w:r>
      <w:r>
        <w:rPr>
          <w:rFonts w:hint="eastAsia" w:ascii="Times New Roman" w:hAnsi="Times New Roman" w:eastAsia="仿宋_GB2312" w:cs="Times New Roman"/>
          <w:sz w:val="32"/>
          <w:szCs w:val="32"/>
          <w:lang w:eastAsia="zh-CN"/>
        </w:rPr>
        <w:t>看宣传片，</w:t>
      </w:r>
      <w:r>
        <w:rPr>
          <w:rFonts w:hint="default" w:ascii="Times New Roman" w:hAnsi="Times New Roman" w:eastAsia="仿宋_GB2312" w:cs="Times New Roman"/>
          <w:sz w:val="32"/>
          <w:szCs w:val="32"/>
        </w:rPr>
        <w:t>营造尊法学法守法用法的环境。</w:t>
      </w:r>
      <w:bookmarkEnd w:id="5"/>
      <w:r>
        <w:rPr>
          <w:rFonts w:hint="eastAsia" w:ascii="Times New Roman" w:hAnsi="Times New Roman" w:eastAsia="仿宋_GB2312" w:cs="Times New Roman"/>
          <w:sz w:val="32"/>
          <w:szCs w:val="32"/>
          <w:lang w:eastAsia="zh-CN"/>
        </w:rPr>
        <w:t>二是积极</w:t>
      </w:r>
      <w:r>
        <w:rPr>
          <w:rFonts w:hint="default" w:ascii="Times New Roman" w:hAnsi="Times New Roman" w:eastAsia="仿宋_GB2312" w:cs="Times New Roman"/>
          <w:sz w:val="32"/>
          <w:szCs w:val="32"/>
        </w:rPr>
        <w:t>参与政策解读与专业培训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组织企业参加北京市国资委“京企云帆”法治讲堂系列活动1期、“两区”政策直通车专业服务专场政策解读会1期，组织</w:t>
      </w:r>
      <w:r>
        <w:rPr>
          <w:rFonts w:hint="eastAsia" w:ascii="Times New Roman" w:hAnsi="Times New Roman" w:eastAsia="仿宋_GB2312" w:cs="Times New Roman"/>
          <w:sz w:val="32"/>
          <w:szCs w:val="32"/>
          <w:lang w:eastAsia="zh-CN"/>
        </w:rPr>
        <w:t>机关干部参加</w:t>
      </w:r>
      <w:r>
        <w:rPr>
          <w:rFonts w:hint="default" w:ascii="Times New Roman" w:hAnsi="Times New Roman" w:eastAsia="仿宋_GB2312" w:cs="Times New Roman"/>
          <w:sz w:val="32"/>
          <w:szCs w:val="32"/>
        </w:rPr>
        <w:t>行政诉讼案件观摩庭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提升政策理解与运用能力。</w:t>
      </w:r>
      <w:r>
        <w:rPr>
          <w:rFonts w:hint="eastAsia"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强化廉政教育与能力考核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加强反腐倡廉警示教育，组织全系统处级领导干部多次参观市、区警示教育基地，筑牢拒腐防变思想防线。组织单位相关人员参加东城区国家工作人员2025年第一批学法考试，取得优秀率100%的佳绩，有效检验和提升了干部的法治素养。</w:t>
      </w:r>
    </w:p>
    <w:p w14:paraId="013C1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年推进法治政府建设存在的不足和原因</w:t>
      </w:r>
    </w:p>
    <w:p w14:paraId="4C8DE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法治宣传力度还需进一步加大</w:t>
      </w:r>
      <w:r>
        <w:rPr>
          <w:rFonts w:hint="eastAsia" w:ascii="Times New Roman" w:hAnsi="Times New Roman" w:eastAsia="仿宋_GB2312" w:cs="Times New Roman"/>
          <w:sz w:val="32"/>
          <w:szCs w:val="32"/>
          <w:lang w:eastAsia="zh-CN"/>
        </w:rPr>
        <w:t>，法律进国企</w:t>
      </w:r>
      <w:r>
        <w:rPr>
          <w:rFonts w:hint="default" w:ascii="Times New Roman" w:hAnsi="Times New Roman" w:eastAsia="仿宋_GB2312" w:cs="Times New Roman"/>
          <w:sz w:val="32"/>
          <w:szCs w:val="32"/>
        </w:rPr>
        <w:t>宣传覆盖面还不够广，法治宣传教育的形式和内容还不够丰富，宣传教育形式有待进一步创新。</w:t>
      </w:r>
    </w:p>
    <w:p w14:paraId="60DDB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二是复合型法治人才储备不足，系统内缺乏</w:t>
      </w:r>
      <w:r>
        <w:rPr>
          <w:rFonts w:hint="default" w:ascii="Times New Roman" w:hAnsi="Times New Roman" w:eastAsia="仿宋_GB2312" w:cs="Times New Roman"/>
          <w:sz w:val="32"/>
          <w:szCs w:val="32"/>
        </w:rPr>
        <w:t>既精通法律法规又熟悉资本运营和现代企业管理的人才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运用法治思维和法治方式破解复杂难题的能力仍需通过实践锻炼普遍增强</w:t>
      </w:r>
      <w:r>
        <w:rPr>
          <w:rFonts w:hint="eastAsia" w:ascii="Times New Roman" w:hAnsi="Times New Roman" w:eastAsia="仿宋_GB2312" w:cs="Times New Roman"/>
          <w:sz w:val="32"/>
          <w:szCs w:val="32"/>
          <w:lang w:eastAsia="zh-CN"/>
        </w:rPr>
        <w:t>。</w:t>
      </w:r>
    </w:p>
    <w:p w14:paraId="2864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三是国资监管的预见性和精准性有待进一步提高，利用信息化、大数据等技术，对区属企业生产经营中进行风险早期识别和趋势性分析的能力不足，动态风险监测与预警能力有待增强。</w:t>
      </w:r>
    </w:p>
    <w:p w14:paraId="759C5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bookmarkStart w:id="6" w:name="OLE_LINK3"/>
      <w:r>
        <w:rPr>
          <w:rFonts w:hint="default"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年党政主要负责人履行推进法治建设第一责任人职责，加强法治政府建设的有关情况</w:t>
      </w:r>
      <w:bookmarkEnd w:id="6"/>
    </w:p>
    <w:p w14:paraId="0BD000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为保证法治政府工作扎实开展，区国资委严格落实</w:t>
      </w:r>
      <w:bookmarkStart w:id="7" w:name="OLE_LINK4"/>
      <w:r>
        <w:rPr>
          <w:rFonts w:hint="default" w:ascii="Times New Roman" w:hAnsi="Times New Roman" w:eastAsia="仿宋_GB2312" w:cs="Times New Roman"/>
          <w:sz w:val="32"/>
          <w:szCs w:val="32"/>
        </w:rPr>
        <w:t>党政主要负责人</w:t>
      </w:r>
      <w:bookmarkEnd w:id="7"/>
      <w:r>
        <w:rPr>
          <w:rFonts w:hint="default" w:ascii="Times New Roman" w:hAnsi="Times New Roman" w:eastAsia="仿宋_GB2312" w:cs="Times New Roman"/>
          <w:sz w:val="32"/>
          <w:szCs w:val="32"/>
        </w:rPr>
        <w:t>履行法治建设第一责任人职责</w:t>
      </w:r>
      <w:r>
        <w:rPr>
          <w:rFonts w:hint="default" w:ascii="Times New Roman" w:hAnsi="Times New Roman" w:eastAsia="仿宋_GB2312" w:cs="Times New Roman"/>
          <w:sz w:val="32"/>
          <w:szCs w:val="32"/>
          <w:highlight w:val="none"/>
        </w:rPr>
        <w:t>，全面贯彻落实习近平法治思想及</w:t>
      </w:r>
      <w:r>
        <w:rPr>
          <w:rFonts w:hint="eastAsia" w:ascii="Times New Roman" w:hAnsi="Times New Roman" w:eastAsia="仿宋_GB2312" w:cs="Times New Roman"/>
          <w:sz w:val="32"/>
          <w:szCs w:val="32"/>
          <w:highlight w:val="none"/>
          <w:lang w:eastAsia="zh-CN"/>
        </w:rPr>
        <w:t>党的二十大和二十届历次全会精神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深刻学习领会习近平总书记全面依法治国新理念新思想新战略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将法治建设纳入国资委年度工作要点和国有企业经营业绩考核体系，实现与改革发展、安全生产等重点工作同部署、同推进、同考核。</w:t>
      </w:r>
      <w:bookmarkStart w:id="8" w:name="OLE_LINK9"/>
      <w:r>
        <w:rPr>
          <w:rFonts w:hint="default" w:ascii="Times New Roman" w:hAnsi="Times New Roman" w:eastAsia="仿宋_GB2312" w:cs="Times New Roman"/>
          <w:sz w:val="32"/>
          <w:szCs w:val="32"/>
          <w:highlight w:val="none"/>
        </w:rPr>
        <w:t>按照“主要领导负总责，分管领导具体负责”的要求健全组织机构，设立了由党委书记、主任为组长、各副主任为副组长、各科室科长为成员的法治政府工作领导小组，加强指导、督促和检查，确保各项工作任务得到落实。党政主要负责人统筹推动国资系统法</w:t>
      </w:r>
      <w:r>
        <w:rPr>
          <w:rFonts w:hint="default" w:ascii="Times New Roman" w:hAnsi="Times New Roman" w:eastAsia="仿宋_GB2312" w:cs="Times New Roman"/>
          <w:sz w:val="32"/>
          <w:szCs w:val="32"/>
          <w:highlight w:val="none"/>
          <w:lang w:eastAsia="zh-CN"/>
        </w:rPr>
        <w:t>治</w:t>
      </w:r>
      <w:r>
        <w:rPr>
          <w:rFonts w:hint="default" w:ascii="Times New Roman" w:hAnsi="Times New Roman" w:eastAsia="仿宋_GB2312" w:cs="Times New Roman"/>
          <w:sz w:val="32"/>
          <w:szCs w:val="32"/>
          <w:highlight w:val="none"/>
        </w:rPr>
        <w:t>建设和国资国企改革发展监管工作</w:t>
      </w:r>
      <w:r>
        <w:rPr>
          <w:rFonts w:hint="eastAsia" w:ascii="Times New Roman" w:hAnsi="Times New Roman" w:eastAsia="仿宋_GB2312" w:cs="Times New Roman"/>
          <w:sz w:val="32"/>
          <w:szCs w:val="32"/>
          <w:highlight w:val="none"/>
          <w:lang w:eastAsia="zh-CN"/>
        </w:rPr>
        <w:t>，在推动化解系统内涉法涉诉案件过程中亲自调度、破解难题。</w:t>
      </w:r>
      <w:bookmarkEnd w:id="8"/>
      <w:r>
        <w:rPr>
          <w:rFonts w:hint="default" w:ascii="Times New Roman" w:hAnsi="Times New Roman" w:eastAsia="仿宋_GB2312" w:cs="Times New Roman"/>
          <w:sz w:val="32"/>
          <w:szCs w:val="32"/>
          <w:highlight w:val="none"/>
        </w:rPr>
        <w:t>在经费上给予充分支持保证，年度法律顾问工作经费列入部门预算，确保专款专用。</w:t>
      </w:r>
    </w:p>
    <w:p w14:paraId="6EEA0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2026年推进法治政府建设的主要安排</w:t>
      </w:r>
    </w:p>
    <w:p w14:paraId="212FAD5E">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健全普法联动机制，提高普法供给质量，</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整合</w:t>
      </w:r>
      <w:r>
        <w:rPr>
          <w:rFonts w:hint="eastAsia" w:ascii="Times New Roman" w:hAnsi="Times New Roman" w:eastAsia="仿宋_GB2312" w:cs="Times New Roman"/>
          <w:sz w:val="32"/>
          <w:szCs w:val="32"/>
          <w:lang w:eastAsia="zh-CN"/>
        </w:rPr>
        <w:t>国资系统</w:t>
      </w:r>
      <w:r>
        <w:rPr>
          <w:rFonts w:hint="default" w:ascii="Times New Roman" w:hAnsi="Times New Roman" w:eastAsia="仿宋_GB2312" w:cs="Times New Roman"/>
          <w:sz w:val="32"/>
          <w:szCs w:val="32"/>
        </w:rPr>
        <w:t>内部资源，打造分层分类的法治宣传体系，创新运用情景模拟、互动研讨等形式，增强法治宣传的吸引力和覆盖面</w:t>
      </w:r>
    </w:p>
    <w:p w14:paraId="5ACEBF7B">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构建人才培育体系，通过轮岗交流、专题研修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实践锻炼等方式，加强法治与资本运营、企业管理等领域的人才梯队建设，加快培养既懂法律又通业务的复合型骨干力量。</w:t>
      </w:r>
    </w:p>
    <w:p w14:paraId="7CF6946A">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强化</w:t>
      </w:r>
      <w:r>
        <w:rPr>
          <w:rFonts w:hint="eastAsia" w:ascii="Times New Roman" w:hAnsi="Times New Roman" w:eastAsia="仿宋_GB2312" w:cs="Times New Roman"/>
          <w:sz w:val="32"/>
          <w:szCs w:val="32"/>
          <w:lang w:eastAsia="zh-CN"/>
        </w:rPr>
        <w:t>数智</w:t>
      </w:r>
      <w:r>
        <w:rPr>
          <w:rFonts w:hint="default" w:ascii="Times New Roman" w:hAnsi="Times New Roman" w:eastAsia="仿宋_GB2312" w:cs="Times New Roman"/>
          <w:sz w:val="32"/>
          <w:szCs w:val="32"/>
        </w:rPr>
        <w:t>监管应用，推动国资监管与大数据技术深度融合，建立动态风险监测指标体系，提升风险预警的前瞻性和精准性，为国资国企高质量发展筑牢法治屏障。</w:t>
      </w:r>
    </w:p>
    <w:p w14:paraId="2CB47DA6">
      <w:pPr>
        <w:numPr>
          <w:ilvl w:val="0"/>
          <w:numId w:val="0"/>
        </w:numPr>
        <w:spacing w:line="560" w:lineRule="exact"/>
        <w:ind w:firstLine="640" w:firstLineChars="200"/>
        <w:rPr>
          <w:rFonts w:hint="default" w:ascii="Times New Roman" w:hAnsi="Times New Roman" w:eastAsia="仿宋_GB2312" w:cs="Times New Roman"/>
          <w:sz w:val="32"/>
          <w:szCs w:val="32"/>
        </w:rPr>
      </w:pPr>
    </w:p>
    <w:p w14:paraId="7A291EDC">
      <w:pPr>
        <w:numPr>
          <w:ilvl w:val="0"/>
          <w:numId w:val="0"/>
        </w:numPr>
        <w:spacing w:line="560" w:lineRule="exact"/>
        <w:ind w:firstLine="640" w:firstLineChars="200"/>
        <w:jc w:val="center"/>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F2E9ED-F818-4EE0-AA4C-954B35B50E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A2E9076A-ECC5-47F7-BEBE-E99F2F34A05D}"/>
  </w:font>
  <w:font w:name="仿宋_GB2312">
    <w:panose1 w:val="02010609030101010101"/>
    <w:charset w:val="86"/>
    <w:family w:val="modern"/>
    <w:pitch w:val="default"/>
    <w:sig w:usb0="00000001" w:usb1="080E0000" w:usb2="00000000" w:usb3="00000000" w:csb0="00040000" w:csb1="00000000"/>
    <w:embedRegular r:id="rId3" w:fontKey="{8BF3BCD9-D69F-4484-87E6-D06E49556458}"/>
  </w:font>
  <w:font w:name="楷体_GB2312">
    <w:altName w:val="楷体"/>
    <w:panose1 w:val="02010609030101010101"/>
    <w:charset w:val="86"/>
    <w:family w:val="auto"/>
    <w:pitch w:val="default"/>
    <w:sig w:usb0="00000000" w:usb1="00000000" w:usb2="00000000" w:usb3="00000000" w:csb0="00040000" w:csb1="00000000"/>
    <w:embedRegular r:id="rId4" w:fontKey="{AE529E79-EE55-41C5-9C38-F284248DDD8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33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751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0751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NzJlNzk1NmVmNzY0OTQ5YTQ4ZTVlMjdhYjFkNDIifQ=="/>
  </w:docVars>
  <w:rsids>
    <w:rsidRoot w:val="00000000"/>
    <w:rsid w:val="0094394A"/>
    <w:rsid w:val="00AE25C4"/>
    <w:rsid w:val="012D30C0"/>
    <w:rsid w:val="02716883"/>
    <w:rsid w:val="03D646B0"/>
    <w:rsid w:val="03DE5957"/>
    <w:rsid w:val="05564740"/>
    <w:rsid w:val="05762049"/>
    <w:rsid w:val="05B543D3"/>
    <w:rsid w:val="062D262A"/>
    <w:rsid w:val="07612104"/>
    <w:rsid w:val="08BF6824"/>
    <w:rsid w:val="08C67F21"/>
    <w:rsid w:val="08FF5E26"/>
    <w:rsid w:val="092F4D3C"/>
    <w:rsid w:val="0A59356D"/>
    <w:rsid w:val="0AAB226E"/>
    <w:rsid w:val="0B6634F5"/>
    <w:rsid w:val="0B9C20F7"/>
    <w:rsid w:val="0C115E07"/>
    <w:rsid w:val="103E662F"/>
    <w:rsid w:val="138B31C5"/>
    <w:rsid w:val="13C23177"/>
    <w:rsid w:val="14653AF1"/>
    <w:rsid w:val="14A05712"/>
    <w:rsid w:val="14CB1E94"/>
    <w:rsid w:val="14E7405D"/>
    <w:rsid w:val="172A0F94"/>
    <w:rsid w:val="1833318D"/>
    <w:rsid w:val="19436935"/>
    <w:rsid w:val="1A7A25A5"/>
    <w:rsid w:val="1B350A3F"/>
    <w:rsid w:val="1CF53868"/>
    <w:rsid w:val="1CFC7436"/>
    <w:rsid w:val="1F951D9F"/>
    <w:rsid w:val="1FE048BA"/>
    <w:rsid w:val="20096E42"/>
    <w:rsid w:val="207F7315"/>
    <w:rsid w:val="21995262"/>
    <w:rsid w:val="21D54104"/>
    <w:rsid w:val="23CF1F3D"/>
    <w:rsid w:val="241D07E5"/>
    <w:rsid w:val="248D075F"/>
    <w:rsid w:val="25EF13D7"/>
    <w:rsid w:val="27A57E62"/>
    <w:rsid w:val="2B2E4AA1"/>
    <w:rsid w:val="2CEC62FE"/>
    <w:rsid w:val="2DC16F2C"/>
    <w:rsid w:val="2E3953C5"/>
    <w:rsid w:val="2EB87E12"/>
    <w:rsid w:val="2F4D7B58"/>
    <w:rsid w:val="312C1317"/>
    <w:rsid w:val="314B05E8"/>
    <w:rsid w:val="31D51294"/>
    <w:rsid w:val="327F31B5"/>
    <w:rsid w:val="32F43327"/>
    <w:rsid w:val="338E44C8"/>
    <w:rsid w:val="33D70183"/>
    <w:rsid w:val="35F10FDE"/>
    <w:rsid w:val="3649688A"/>
    <w:rsid w:val="370C74D6"/>
    <w:rsid w:val="380D096E"/>
    <w:rsid w:val="387C76B3"/>
    <w:rsid w:val="39322963"/>
    <w:rsid w:val="3ABC6986"/>
    <w:rsid w:val="3B40682F"/>
    <w:rsid w:val="3CCE265D"/>
    <w:rsid w:val="3CF2433D"/>
    <w:rsid w:val="3F3F5497"/>
    <w:rsid w:val="401D37C7"/>
    <w:rsid w:val="409C0D3B"/>
    <w:rsid w:val="41191844"/>
    <w:rsid w:val="41F32F1D"/>
    <w:rsid w:val="42B068AC"/>
    <w:rsid w:val="43CA3B34"/>
    <w:rsid w:val="43E0629D"/>
    <w:rsid w:val="4594292E"/>
    <w:rsid w:val="46FB7796"/>
    <w:rsid w:val="470B24A2"/>
    <w:rsid w:val="473F5846"/>
    <w:rsid w:val="475E4C85"/>
    <w:rsid w:val="47B04107"/>
    <w:rsid w:val="48131CE5"/>
    <w:rsid w:val="492F3AF3"/>
    <w:rsid w:val="499124B8"/>
    <w:rsid w:val="4B6855C1"/>
    <w:rsid w:val="4BDD2F64"/>
    <w:rsid w:val="4C3C2EA7"/>
    <w:rsid w:val="4C932F01"/>
    <w:rsid w:val="4CC10CFF"/>
    <w:rsid w:val="4CE04074"/>
    <w:rsid w:val="4CFD676D"/>
    <w:rsid w:val="4D4419DE"/>
    <w:rsid w:val="50835C15"/>
    <w:rsid w:val="50867722"/>
    <w:rsid w:val="513A4EA8"/>
    <w:rsid w:val="51D62522"/>
    <w:rsid w:val="52023535"/>
    <w:rsid w:val="52D7742D"/>
    <w:rsid w:val="52DF2202"/>
    <w:rsid w:val="53334EF8"/>
    <w:rsid w:val="539C7EB6"/>
    <w:rsid w:val="54055743"/>
    <w:rsid w:val="54450419"/>
    <w:rsid w:val="55302C39"/>
    <w:rsid w:val="56134001"/>
    <w:rsid w:val="56ED607E"/>
    <w:rsid w:val="58262444"/>
    <w:rsid w:val="5A5762F0"/>
    <w:rsid w:val="5A5816E1"/>
    <w:rsid w:val="5A6C3675"/>
    <w:rsid w:val="5C2D6F81"/>
    <w:rsid w:val="5CBB353F"/>
    <w:rsid w:val="5CC57B65"/>
    <w:rsid w:val="5E0229A9"/>
    <w:rsid w:val="5F9E4FB6"/>
    <w:rsid w:val="5FBB3382"/>
    <w:rsid w:val="5FEB320F"/>
    <w:rsid w:val="60CA6352"/>
    <w:rsid w:val="614D151F"/>
    <w:rsid w:val="615C10E6"/>
    <w:rsid w:val="616844E9"/>
    <w:rsid w:val="616F0404"/>
    <w:rsid w:val="617D74E2"/>
    <w:rsid w:val="626F7B9D"/>
    <w:rsid w:val="62942E00"/>
    <w:rsid w:val="62E62106"/>
    <w:rsid w:val="637B5089"/>
    <w:rsid w:val="63A3616C"/>
    <w:rsid w:val="64967EF7"/>
    <w:rsid w:val="64E03818"/>
    <w:rsid w:val="68614439"/>
    <w:rsid w:val="699C18D6"/>
    <w:rsid w:val="69C42C6C"/>
    <w:rsid w:val="6A3761DD"/>
    <w:rsid w:val="6A5B7923"/>
    <w:rsid w:val="6A6A66E2"/>
    <w:rsid w:val="6AE67AC1"/>
    <w:rsid w:val="6AFE1A3A"/>
    <w:rsid w:val="6B136B89"/>
    <w:rsid w:val="6B611E8C"/>
    <w:rsid w:val="6EA5771B"/>
    <w:rsid w:val="6F5847D8"/>
    <w:rsid w:val="6FA75DB6"/>
    <w:rsid w:val="6FD43738"/>
    <w:rsid w:val="7069375C"/>
    <w:rsid w:val="70914887"/>
    <w:rsid w:val="70B53888"/>
    <w:rsid w:val="72002851"/>
    <w:rsid w:val="73EA3566"/>
    <w:rsid w:val="74162155"/>
    <w:rsid w:val="749B2D3C"/>
    <w:rsid w:val="76C003FE"/>
    <w:rsid w:val="774A201F"/>
    <w:rsid w:val="784C10F3"/>
    <w:rsid w:val="797870AF"/>
    <w:rsid w:val="799C1A8D"/>
    <w:rsid w:val="7AF3B925"/>
    <w:rsid w:val="7BC8601E"/>
    <w:rsid w:val="7C2625E6"/>
    <w:rsid w:val="7D106CB5"/>
    <w:rsid w:val="7EFD253B"/>
    <w:rsid w:val="7F427309"/>
    <w:rsid w:val="7F924F4F"/>
    <w:rsid w:val="87F73C2F"/>
    <w:rsid w:val="BFFFF27D"/>
    <w:rsid w:val="CE7F2723"/>
    <w:rsid w:val="EE3B66D8"/>
    <w:rsid w:val="F17F2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236f8-6b16-4f8c-8ad0-b2046b61435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3047</Words>
  <Characters>3078</Characters>
  <Lines>0</Lines>
  <Paragraphs>0</Paragraphs>
  <TotalTime>120</TotalTime>
  <ScaleCrop>false</ScaleCrop>
  <LinksUpToDate>false</LinksUpToDate>
  <CharactersWithSpaces>3079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2023-12-12T09:25:00Z</dcterms:created>
  <dc:creator>Del</dc:creator>
  <cp:lastModifiedBy>赵青</cp:lastModifiedBy>
  <cp:lastPrinted>2025-11-26T01:30:00Z</cp:lastPrinted>
  <dcterms:modified xsi:type="dcterms:W3CDTF">2026-03-23T09:22:36Z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CE3977511FB74A16A5D78114D1E7DEDE_13</vt:lpwstr>
  </property>
  <property fmtid="{D5CDD505-2E9C-101B-9397-08002B2CF9AE}" pid="4" name="KSOTemplateDocerSaveRecord">
    <vt:lpwstr>eyJoZGlkIjoiMGU3M2U2NzEwNTZmNTk2Mjk1MjBlYzY0MTM1MzM0YTUiLCJ1c2VySWQiOiI2Mzc1MDI3OTEifQ==</vt:lpwstr>
  </property>
</Properties>
</file>