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0C691">
      <w:pPr>
        <w:keepNext w:val="0"/>
        <w:keepLines w:val="0"/>
        <w:pageBreakBefore w:val="0"/>
        <w:widowControl w:val="0"/>
        <w:kinsoku/>
        <w:wordWrap/>
        <w:overflowPunct/>
        <w:autoSpaceDE/>
        <w:autoSpaceDN/>
        <w:bidi w:val="0"/>
        <w:snapToGrid/>
        <w:spacing w:line="560" w:lineRule="exact"/>
        <w:ind w:right="0" w:rightChars="0"/>
        <w:jc w:val="center"/>
        <w:textAlignment w:val="auto"/>
        <w:outlineLvl w:val="9"/>
        <w:rPr>
          <w:rFonts w:hint="default" w:ascii="Times New Roman" w:hAnsi="Times New Roman" w:eastAsia="方正小标宋简体" w:cs="Times New Roman"/>
          <w:sz w:val="44"/>
          <w:szCs w:val="44"/>
        </w:rPr>
      </w:pPr>
      <w:bookmarkStart w:id="0" w:name="OLE_LINK5"/>
      <w:r>
        <w:rPr>
          <w:rFonts w:hint="default" w:ascii="Times New Roman" w:hAnsi="Times New Roman" w:eastAsia="方正小标宋简体" w:cs="Times New Roman"/>
          <w:sz w:val="44"/>
          <w:szCs w:val="44"/>
        </w:rPr>
        <w:t>北京市东城区王府井地区管委会</w:t>
      </w:r>
    </w:p>
    <w:p w14:paraId="2850B9BF">
      <w:pPr>
        <w:keepNext w:val="0"/>
        <w:keepLines w:val="0"/>
        <w:pageBreakBefore w:val="0"/>
        <w:widowControl w:val="0"/>
        <w:kinsoku/>
        <w:wordWrap/>
        <w:overflowPunct/>
        <w:autoSpaceDE/>
        <w:autoSpaceDN/>
        <w:bidi w:val="0"/>
        <w:snapToGrid/>
        <w:spacing w:line="560" w:lineRule="exact"/>
        <w:ind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2025年法治政府建设年度情况报告</w:t>
      </w:r>
    </w:p>
    <w:p w14:paraId="3D89F2C8">
      <w:pPr>
        <w:keepNext w:val="0"/>
        <w:keepLines w:val="0"/>
        <w:pageBreakBefore w:val="0"/>
        <w:widowControl w:val="0"/>
        <w:kinsoku/>
        <w:wordWrap/>
        <w:overflowPunct/>
        <w:autoSpaceDE/>
        <w:autoSpaceDN/>
        <w:bidi w:val="0"/>
        <w:snapToGrid/>
        <w:spacing w:line="560" w:lineRule="exact"/>
        <w:ind w:right="0" w:rightChars="0" w:firstLine="640" w:firstLineChars="200"/>
        <w:jc w:val="center"/>
        <w:textAlignment w:val="auto"/>
        <w:outlineLvl w:val="9"/>
        <w:rPr>
          <w:rFonts w:hint="default" w:ascii="Times New Roman" w:hAnsi="Times New Roman" w:eastAsia="仿宋_GB2312" w:cs="Times New Roman"/>
          <w:sz w:val="32"/>
          <w:szCs w:val="32"/>
        </w:rPr>
      </w:pPr>
    </w:p>
    <w:p w14:paraId="5C9D0068">
      <w:pPr>
        <w:keepNext w:val="0"/>
        <w:keepLines w:val="0"/>
        <w:pageBreakBefore w:val="0"/>
        <w:widowControl w:val="0"/>
        <w:kinsoku/>
        <w:wordWrap/>
        <w:overflowPunct/>
        <w:autoSpaceDE/>
        <w:autoSpaceDN/>
        <w:bidi w:val="0"/>
        <w:snapToGrid/>
        <w:spacing w:line="56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2025年是贯彻实施《法治政府建设实施纲要（2021-2025年）》和《北京市法治政府建设实施意见（2021-2025年）》的收官之年。</w:t>
      </w:r>
      <w:r>
        <w:rPr>
          <w:rFonts w:hint="default" w:ascii="Times New Roman" w:hAnsi="Times New Roman" w:eastAsia="仿宋_GB2312" w:cs="Times New Roman"/>
          <w:sz w:val="32"/>
          <w:szCs w:val="32"/>
          <w:lang w:eastAsia="zh-CN"/>
        </w:rPr>
        <w:t>我委</w:t>
      </w:r>
      <w:r>
        <w:rPr>
          <w:rFonts w:hint="default" w:ascii="Times New Roman" w:hAnsi="Times New Roman" w:eastAsia="仿宋_GB2312" w:cs="Times New Roman"/>
          <w:sz w:val="32"/>
          <w:szCs w:val="32"/>
        </w:rPr>
        <w:t>在区委、区政府的坚强领导下，坚持以习近平新时代中国特色社会主义思想为指导，</w:t>
      </w:r>
      <w:r>
        <w:rPr>
          <w:rFonts w:hint="eastAsia" w:ascii="Times New Roman" w:hAnsi="Times New Roman" w:eastAsia="仿宋_GB2312" w:cs="Times New Roman"/>
          <w:sz w:val="32"/>
          <w:szCs w:val="32"/>
          <w:lang w:eastAsia="zh-CN"/>
        </w:rPr>
        <w:t>全面贯彻落实党的二十大和二十届历次全会精神</w:t>
      </w:r>
      <w:r>
        <w:rPr>
          <w:rFonts w:hint="default" w:ascii="Times New Roman" w:hAnsi="Times New Roman" w:eastAsia="仿宋_GB2312" w:cs="Times New Roman"/>
          <w:sz w:val="32"/>
          <w:szCs w:val="32"/>
        </w:rPr>
        <w:t>，深入学习贯彻习近平法治思想，认真落实市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区关于法治政府建设的总体部署，不断提升法治政府建设能力和水平，为王府井地区高质量发展提供了坚实法治保障。现将有关情况报告如下：</w:t>
      </w:r>
    </w:p>
    <w:p w14:paraId="0CF8A4E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一、2025年推进法治政府建设的主要举措和成效</w:t>
      </w:r>
    </w:p>
    <w:p w14:paraId="597FFD2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kern w:val="0"/>
          <w:sz w:val="32"/>
          <w:szCs w:val="32"/>
        </w:rPr>
      </w:pPr>
      <w:r>
        <w:rPr>
          <w:rFonts w:hint="eastAsia" w:ascii="楷体_GB2312" w:hAnsi="楷体_GB2312" w:eastAsia="楷体_GB2312" w:cs="楷体_GB2312"/>
          <w:kern w:val="0"/>
          <w:sz w:val="32"/>
          <w:szCs w:val="32"/>
        </w:rPr>
        <w:t>持续深化法治学习，提升全员法治素养。</w:t>
      </w:r>
      <w:r>
        <w:rPr>
          <w:rFonts w:hint="default" w:ascii="Times New Roman" w:hAnsi="Times New Roman" w:eastAsia="仿宋_GB2312" w:cs="Times New Roman"/>
          <w:sz w:val="32"/>
          <w:szCs w:val="32"/>
        </w:rPr>
        <w:t>领导干部带头</w:t>
      </w:r>
      <w:r>
        <w:rPr>
          <w:rFonts w:hint="eastAsia" w:ascii="Times New Roman" w:hAnsi="Times New Roman" w:eastAsia="仿宋_GB2312" w:cs="Times New Roman"/>
          <w:sz w:val="32"/>
          <w:szCs w:val="32"/>
          <w:lang w:eastAsia="zh-CN"/>
        </w:rPr>
        <w:t>深入贯彻党的二十大和二十届历次全会精神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bidi="ar"/>
        </w:rPr>
        <w:t>加强法治政府建设，扎实推进依法行政相关重大决策部署，</w:t>
      </w:r>
      <w:r>
        <w:rPr>
          <w:rFonts w:hint="default" w:ascii="Times New Roman" w:hAnsi="Times New Roman" w:eastAsia="仿宋_GB2312" w:cs="Times New Roman"/>
          <w:sz w:val="32"/>
          <w:szCs w:val="32"/>
        </w:rPr>
        <w:t>将学习宣传习近平法治思想作为首要政治任务，纳入理论学习中心组学习、会前学法及干部培训的</w:t>
      </w:r>
      <w:r>
        <w:rPr>
          <w:rFonts w:hint="default" w:ascii="Times New Roman" w:hAnsi="Times New Roman" w:eastAsia="仿宋_GB2312" w:cs="Times New Roman"/>
          <w:sz w:val="32"/>
          <w:szCs w:val="32"/>
          <w:lang w:bidi="ar"/>
        </w:rPr>
        <w:t>必修课程。</w:t>
      </w:r>
      <w:r>
        <w:rPr>
          <w:rFonts w:hint="default" w:ascii="Times New Roman" w:hAnsi="Times New Roman" w:eastAsia="仿宋_GB2312" w:cs="Times New Roman"/>
          <w:sz w:val="32"/>
          <w:szCs w:val="32"/>
        </w:rPr>
        <w:t>全年</w:t>
      </w:r>
      <w:r>
        <w:rPr>
          <w:rFonts w:hint="default" w:ascii="Times New Roman" w:hAnsi="Times New Roman" w:eastAsia="仿宋_GB2312" w:cs="Times New Roman"/>
          <w:sz w:val="32"/>
          <w:szCs w:val="32"/>
          <w:lang w:eastAsia="zh-CN"/>
        </w:rPr>
        <w:t>开展集中</w:t>
      </w:r>
      <w:r>
        <w:rPr>
          <w:rFonts w:hint="default" w:ascii="Times New Roman" w:hAnsi="Times New Roman" w:eastAsia="仿宋_GB2312" w:cs="Times New Roman"/>
          <w:sz w:val="32"/>
          <w:szCs w:val="32"/>
        </w:rPr>
        <w:t>学习</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次，</w:t>
      </w:r>
      <w:r>
        <w:rPr>
          <w:rFonts w:hint="default" w:ascii="Times New Roman" w:hAnsi="Times New Roman" w:eastAsia="仿宋_GB2312" w:cs="Times New Roman"/>
          <w:sz w:val="32"/>
          <w:szCs w:val="32"/>
          <w:lang w:eastAsia="zh-CN"/>
        </w:rPr>
        <w:t>交流研讨</w:t>
      </w:r>
      <w:r>
        <w:rPr>
          <w:rFonts w:hint="default" w:ascii="Times New Roman" w:hAnsi="Times New Roman" w:eastAsia="仿宋_GB2312" w:cs="Times New Roman"/>
          <w:sz w:val="32"/>
          <w:szCs w:val="32"/>
          <w:lang w:val="en-US" w:eastAsia="zh-CN"/>
        </w:rPr>
        <w:t>1次，</w:t>
      </w:r>
      <w:r>
        <w:rPr>
          <w:rFonts w:hint="default" w:ascii="Times New Roman" w:hAnsi="Times New Roman" w:eastAsia="仿宋_GB2312" w:cs="Times New Roman"/>
          <w:sz w:val="32"/>
          <w:szCs w:val="32"/>
        </w:rPr>
        <w:t>开展</w:t>
      </w:r>
      <w:r>
        <w:rPr>
          <w:rFonts w:hint="default" w:ascii="Times New Roman" w:hAnsi="Times New Roman" w:eastAsia="仿宋_GB2312" w:cs="Times New Roman"/>
          <w:sz w:val="32"/>
          <w:szCs w:val="32"/>
          <w:lang w:eastAsia="zh-CN" w:bidi="ar"/>
        </w:rPr>
        <w:t>各类</w:t>
      </w:r>
      <w:r>
        <w:rPr>
          <w:rFonts w:hint="default" w:ascii="Times New Roman" w:hAnsi="Times New Roman" w:eastAsia="仿宋_GB2312" w:cs="Times New Roman"/>
          <w:sz w:val="32"/>
          <w:szCs w:val="32"/>
        </w:rPr>
        <w:t>专题讲</w:t>
      </w:r>
      <w:r>
        <w:rPr>
          <w:rFonts w:hint="default" w:ascii="Times New Roman" w:hAnsi="Times New Roman" w:eastAsia="仿宋_GB2312" w:cs="Times New Roman"/>
          <w:sz w:val="32"/>
          <w:szCs w:val="32"/>
          <w:lang w:eastAsia="zh-CN"/>
        </w:rPr>
        <w:t>堂</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次，提升了全体工作人员的法治素养和依法行政能力。</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通过微信公众号、</w:t>
      </w:r>
      <w:r>
        <w:rPr>
          <w:rFonts w:hint="default" w:ascii="Times New Roman" w:hAnsi="Times New Roman" w:eastAsia="仿宋_GB2312" w:cs="Times New Roman"/>
          <w:sz w:val="32"/>
          <w:szCs w:val="32"/>
          <w:lang w:eastAsia="zh-CN"/>
        </w:rPr>
        <w:t>户外大屏、楼内宣传</w:t>
      </w:r>
      <w:r>
        <w:rPr>
          <w:rFonts w:hint="default" w:ascii="Times New Roman" w:hAnsi="Times New Roman" w:eastAsia="仿宋_GB2312" w:cs="Times New Roman"/>
          <w:sz w:val="32"/>
          <w:szCs w:val="32"/>
        </w:rPr>
        <w:t>等渠道，定期发布法治宣传内容，营造了浓厚的法治氛围。将习近平法治思想学习常态化宣传贯彻引向深入，确保入脑入心。</w:t>
      </w:r>
    </w:p>
    <w:p w14:paraId="47EB1F7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320" w:firstLineChars="1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kern w:val="0"/>
          <w:sz w:val="32"/>
          <w:szCs w:val="32"/>
        </w:rPr>
        <w:t>加强习近平法治思想的研究阐释和成果转化。</w:t>
      </w:r>
      <w:r>
        <w:rPr>
          <w:rFonts w:hint="default" w:ascii="Times New Roman" w:hAnsi="Times New Roman" w:eastAsia="仿宋_GB2312" w:cs="Times New Roman"/>
          <w:sz w:val="32"/>
          <w:szCs w:val="32"/>
          <w:lang w:bidi="ar"/>
        </w:rPr>
        <w:t>借助核心区法学法律资源优势，</w:t>
      </w:r>
      <w:r>
        <w:rPr>
          <w:rFonts w:hint="default" w:ascii="Times New Roman" w:hAnsi="Times New Roman" w:eastAsia="仿宋_GB2312" w:cs="Times New Roman"/>
          <w:sz w:val="32"/>
          <w:szCs w:val="32"/>
        </w:rPr>
        <w:t>围绕党中央关于法治政府建设重大决策部署和《习近平法治思想学习纲要》。结合实际深入学，坚持学以致用，将习近平法治思想与王府井地区的规划建设、经济发展、</w:t>
      </w:r>
      <w:r>
        <w:rPr>
          <w:rFonts w:hint="default" w:ascii="Times New Roman" w:hAnsi="Times New Roman" w:eastAsia="仿宋_GB2312" w:cs="Times New Roman"/>
          <w:sz w:val="32"/>
          <w:szCs w:val="32"/>
          <w:lang w:eastAsia="zh-CN"/>
        </w:rPr>
        <w:t>街区</w:t>
      </w:r>
      <w:r>
        <w:rPr>
          <w:rFonts w:hint="default" w:ascii="Times New Roman" w:hAnsi="Times New Roman" w:eastAsia="仿宋_GB2312" w:cs="Times New Roman"/>
          <w:sz w:val="32"/>
          <w:szCs w:val="32"/>
        </w:rPr>
        <w:t>管理</w:t>
      </w:r>
      <w:r>
        <w:rPr>
          <w:rFonts w:hint="default" w:ascii="Times New Roman" w:hAnsi="Times New Roman" w:eastAsia="仿宋_GB2312" w:cs="Times New Roman"/>
          <w:sz w:val="32"/>
          <w:szCs w:val="32"/>
          <w:lang w:eastAsia="zh-CN"/>
        </w:rPr>
        <w:t>、安全维稳</w:t>
      </w:r>
      <w:r>
        <w:rPr>
          <w:rFonts w:hint="default" w:ascii="Times New Roman" w:hAnsi="Times New Roman" w:eastAsia="仿宋_GB2312" w:cs="Times New Roman"/>
          <w:sz w:val="32"/>
          <w:szCs w:val="32"/>
        </w:rPr>
        <w:t>等实际工作紧密结合，在制定政策、推进项目、</w:t>
      </w:r>
      <w:r>
        <w:rPr>
          <w:rFonts w:hint="default" w:ascii="Times New Roman" w:hAnsi="Times New Roman" w:eastAsia="仿宋_GB2312" w:cs="Times New Roman"/>
          <w:sz w:val="32"/>
          <w:szCs w:val="32"/>
          <w:lang w:eastAsia="zh-CN"/>
        </w:rPr>
        <w:t>审批活动、</w:t>
      </w:r>
      <w:r>
        <w:rPr>
          <w:rFonts w:hint="default" w:ascii="Times New Roman" w:hAnsi="Times New Roman" w:eastAsia="仿宋_GB2312" w:cs="Times New Roman"/>
          <w:sz w:val="32"/>
          <w:szCs w:val="32"/>
        </w:rPr>
        <w:t>处理问题时，充分运用法治思维和法治方式，确保各项工作在法治轨道上有序推进，把党</w:t>
      </w:r>
      <w:r>
        <w:rPr>
          <w:rFonts w:hint="default" w:ascii="Times New Roman" w:hAnsi="Times New Roman" w:eastAsia="仿宋_GB2312" w:cs="Times New Roman"/>
          <w:sz w:val="32"/>
          <w:szCs w:val="32"/>
          <w:lang w:bidi="ar"/>
        </w:rPr>
        <w:t>中央关于法治政府建设重大决策部署和习近平法治思想贯彻落实到依法全面履职的全过程和各方面，把政府行为</w:t>
      </w:r>
      <w:r>
        <w:rPr>
          <w:rFonts w:hint="default" w:ascii="Times New Roman" w:hAnsi="Times New Roman" w:eastAsia="仿宋_GB2312" w:cs="Times New Roman"/>
          <w:sz w:val="32"/>
          <w:szCs w:val="32"/>
        </w:rPr>
        <w:t>全面纳入法治轨道。</w:t>
      </w:r>
      <w:r>
        <w:rPr>
          <w:rFonts w:hint="default" w:ascii="Times New Roman" w:hAnsi="Times New Roman" w:eastAsia="仿宋_GB2312" w:cs="Times New Roman"/>
          <w:color w:val="auto"/>
          <w:sz w:val="32"/>
          <w:szCs w:val="32"/>
          <w:lang w:val="en-US" w:eastAsia="zh-CN"/>
        </w:rPr>
        <w:t>同时聘请</w:t>
      </w:r>
      <w:r>
        <w:rPr>
          <w:rFonts w:hint="default" w:ascii="Times New Roman" w:hAnsi="Times New Roman" w:eastAsia="仿宋_GB2312" w:cs="Times New Roman"/>
          <w:color w:val="auto"/>
          <w:sz w:val="32"/>
          <w:szCs w:val="32"/>
        </w:rPr>
        <w:t>律师团队为</w:t>
      </w:r>
      <w:r>
        <w:rPr>
          <w:rFonts w:hint="default" w:ascii="Times New Roman" w:hAnsi="Times New Roman" w:eastAsia="仿宋_GB2312" w:cs="Times New Roman"/>
          <w:color w:val="auto"/>
          <w:sz w:val="32"/>
          <w:szCs w:val="32"/>
          <w:lang w:val="en-US" w:eastAsia="zh-CN"/>
        </w:rPr>
        <w:t>我委</w:t>
      </w:r>
      <w:r>
        <w:rPr>
          <w:rFonts w:hint="default" w:ascii="Times New Roman" w:hAnsi="Times New Roman" w:eastAsia="仿宋_GB2312" w:cs="Times New Roman"/>
          <w:color w:val="auto"/>
          <w:sz w:val="32"/>
          <w:szCs w:val="32"/>
        </w:rPr>
        <w:t>在信访援助、舆情宣传与回复、重大事项法律咨询</w:t>
      </w:r>
      <w:r>
        <w:rPr>
          <w:rFonts w:hint="default" w:ascii="Times New Roman" w:hAnsi="Times New Roman" w:eastAsia="仿宋_GB2312" w:cs="Times New Roman"/>
          <w:color w:val="auto"/>
          <w:sz w:val="32"/>
          <w:szCs w:val="32"/>
          <w:lang w:eastAsia="zh-CN"/>
        </w:rPr>
        <w:t>、合同审核与签订、案件诉讼</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方面开展法务管理及合法性审核，</w:t>
      </w:r>
      <w:r>
        <w:rPr>
          <w:rFonts w:hint="eastAsia" w:ascii="Times New Roman" w:hAnsi="Times New Roman" w:eastAsia="仿宋_GB2312" w:cs="Times New Roman"/>
          <w:color w:val="auto"/>
          <w:sz w:val="32"/>
          <w:szCs w:val="32"/>
          <w:lang w:eastAsia="zh-CN"/>
        </w:rPr>
        <w:t>截至</w:t>
      </w:r>
      <w:r>
        <w:rPr>
          <w:rFonts w:hint="default" w:ascii="Times New Roman" w:hAnsi="Times New Roman" w:eastAsia="仿宋_GB2312" w:cs="Times New Roman"/>
          <w:color w:val="auto"/>
          <w:sz w:val="32"/>
          <w:szCs w:val="32"/>
          <w:lang w:val="en-US" w:eastAsia="zh-CN"/>
        </w:rPr>
        <w:t>目前共协助起草、修订、审核各类合同和法律文件72件；提供法律咨询、编制法律意见、参加现场沟通5次；同时协助我委开展相关民事诉讼和历史遗留问题的调解与应诉等。</w:t>
      </w:r>
    </w:p>
    <w:p w14:paraId="1BA8C6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eastAsia="zh-CN"/>
        </w:rPr>
        <w:t>三</w:t>
      </w:r>
      <w:r>
        <w:rPr>
          <w:rFonts w:hint="default" w:ascii="Times New Roman" w:hAnsi="Times New Roman" w:eastAsia="楷体" w:cs="Times New Roman"/>
          <w:sz w:val="32"/>
          <w:szCs w:val="32"/>
        </w:rPr>
        <w:t>）</w:t>
      </w:r>
      <w:r>
        <w:rPr>
          <w:rFonts w:hint="default" w:ascii="楷体_GB2312" w:hAnsi="楷体_GB2312" w:eastAsia="楷体_GB2312" w:cs="楷体_GB2312"/>
          <w:kern w:val="0"/>
          <w:sz w:val="32"/>
          <w:szCs w:val="32"/>
        </w:rPr>
        <w:t>不断提升城市治理现代化水平。</w:t>
      </w:r>
      <w:r>
        <w:rPr>
          <w:rFonts w:hint="default" w:ascii="Times New Roman" w:hAnsi="Times New Roman" w:eastAsia="仿宋_GB2312" w:cs="Times New Roman"/>
          <w:sz w:val="32"/>
          <w:szCs w:val="32"/>
        </w:rPr>
        <w:t>强化“12345”市民服务热线平台功能，完善“接、派、办、评”全流程工作机制。坚持“每月一题”治理重点诉求问题，加</w:t>
      </w:r>
      <w:r>
        <w:rPr>
          <w:rFonts w:hint="default" w:ascii="Times New Roman" w:hAnsi="Times New Roman" w:eastAsia="仿宋_GB2312" w:cs="Times New Roman"/>
          <w:sz w:val="32"/>
          <w:szCs w:val="32"/>
          <w:lang w:bidi="ar"/>
        </w:rPr>
        <w:t>强专项治理。</w:t>
      </w:r>
      <w:r>
        <w:rPr>
          <w:rFonts w:hint="default" w:ascii="Times New Roman" w:hAnsi="Times New Roman" w:eastAsia="仿宋_GB2312" w:cs="Times New Roman"/>
          <w:sz w:val="32"/>
          <w:szCs w:val="32"/>
          <w:lang w:eastAsia="zh-CN"/>
        </w:rPr>
        <w:t>聚焦复杂疑难案件，综合运用工作智慧与治理经验，建立“一案一策”精准处置机制。针对高频诉求、历史遗留问题，协调行业主管部门资源，形成跨部门协同攻坚合力。精准分析定位问题症结，推动“解决一个诉求、完善一套机制、治理一类问题”，实现群众诉求“案结事了、标本兼治”。</w:t>
      </w:r>
    </w:p>
    <w:p w14:paraId="445A90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eastAsia="zh-CN"/>
        </w:rPr>
        <w:t>四</w:t>
      </w:r>
      <w:r>
        <w:rPr>
          <w:rFonts w:hint="default" w:ascii="Times New Roman" w:hAnsi="Times New Roman" w:eastAsia="楷体" w:cs="Times New Roman"/>
          <w:sz w:val="32"/>
          <w:szCs w:val="32"/>
        </w:rPr>
        <w:t>）</w:t>
      </w:r>
      <w:r>
        <w:rPr>
          <w:rFonts w:hint="default" w:ascii="楷体_GB2312" w:hAnsi="楷体_GB2312" w:eastAsia="楷体_GB2312" w:cs="楷体_GB2312"/>
          <w:kern w:val="0"/>
          <w:sz w:val="32"/>
          <w:szCs w:val="32"/>
        </w:rPr>
        <w:t>健全应急管理制度体系。</w:t>
      </w:r>
      <w:r>
        <w:rPr>
          <w:rFonts w:hint="default" w:ascii="Times New Roman" w:hAnsi="Times New Roman" w:eastAsia="仿宋_GB2312" w:cs="Times New Roman"/>
          <w:sz w:val="32"/>
          <w:szCs w:val="32"/>
          <w:lang w:bidi="ar"/>
        </w:rPr>
        <w:t>健全突发事件应对</w:t>
      </w:r>
      <w:r>
        <w:rPr>
          <w:rFonts w:hint="default"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rPr>
        <w:t>全面</w:t>
      </w:r>
      <w:r>
        <w:rPr>
          <w:rFonts w:hint="default" w:ascii="Times New Roman" w:hAnsi="Times New Roman" w:eastAsia="仿宋_GB2312" w:cs="Times New Roman"/>
          <w:sz w:val="32"/>
          <w:szCs w:val="32"/>
        </w:rPr>
        <w:t>进行区域风险排查，对风险隐患进行整理并进一步分析、调整，</w:t>
      </w:r>
      <w:r>
        <w:rPr>
          <w:rFonts w:hint="default" w:ascii="Times New Roman" w:hAnsi="Times New Roman" w:eastAsia="仿宋_GB2312" w:cs="Times New Roman"/>
          <w:sz w:val="32"/>
          <w:szCs w:val="32"/>
          <w:lang w:eastAsia="zh-CN"/>
        </w:rPr>
        <w:t>要求地区各职能部门、消防重点单位，</w:t>
      </w:r>
      <w:r>
        <w:rPr>
          <w:rFonts w:hint="default" w:ascii="Times New Roman" w:hAnsi="Times New Roman" w:eastAsia="仿宋_GB2312" w:cs="Times New Roman"/>
          <w:sz w:val="32"/>
          <w:szCs w:val="32"/>
        </w:rPr>
        <w:t>有针对性地制定</w:t>
      </w:r>
      <w:r>
        <w:rPr>
          <w:rFonts w:hint="default" w:ascii="Times New Roman" w:hAnsi="Times New Roman" w:eastAsia="仿宋_GB2312" w:cs="Times New Roman"/>
          <w:sz w:val="32"/>
          <w:szCs w:val="32"/>
          <w:lang w:eastAsia="zh-CN"/>
        </w:rPr>
        <w:t>各项工作应急</w:t>
      </w:r>
      <w:r>
        <w:rPr>
          <w:rFonts w:hint="default" w:ascii="Times New Roman" w:hAnsi="Times New Roman" w:eastAsia="仿宋_GB2312" w:cs="Times New Roman"/>
          <w:sz w:val="32"/>
          <w:szCs w:val="32"/>
        </w:rPr>
        <w:t>预案</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进一步明确各职能部门和有关单位在处置突发事件中的职责，建立健全监督机制和责任追究制，规范处置突发事件的流程。</w:t>
      </w:r>
      <w:r>
        <w:rPr>
          <w:rFonts w:hint="default" w:ascii="Times New Roman" w:hAnsi="Times New Roman" w:eastAsia="仿宋_GB2312" w:cs="Times New Roman"/>
          <w:b w:val="0"/>
          <w:bCs/>
          <w:color w:val="auto"/>
          <w:sz w:val="32"/>
          <w:szCs w:val="32"/>
        </w:rPr>
        <w:t>强</w:t>
      </w:r>
      <w:r>
        <w:rPr>
          <w:rFonts w:hint="default" w:ascii="Times New Roman" w:hAnsi="Times New Roman" w:eastAsia="仿宋_GB2312" w:cs="Times New Roman"/>
          <w:color w:val="auto"/>
          <w:sz w:val="32"/>
          <w:szCs w:val="32"/>
        </w:rPr>
        <w:t>化应急值守责任落实到人，</w:t>
      </w:r>
      <w:r>
        <w:rPr>
          <w:rFonts w:hint="default" w:ascii="Times New Roman" w:hAnsi="Times New Roman" w:eastAsia="仿宋_GB2312" w:cs="Times New Roman"/>
          <w:color w:val="auto"/>
          <w:sz w:val="32"/>
          <w:szCs w:val="32"/>
          <w:lang w:eastAsia="zh-CN"/>
        </w:rPr>
        <w:t>完善三级值班体系建设，建立健全突出信息报送机制，编制值班备参和值班设备使用说明，强调交接班“手递手”“面对面”和“三个在线”</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sz w:val="32"/>
          <w:szCs w:val="32"/>
          <w:lang w:val="en-US" w:eastAsia="zh-CN"/>
        </w:rPr>
        <w:t>全面加强应急值守信息报送提示与部门间联动，有效避免突发事件信息延误与舆情发酵。</w:t>
      </w:r>
    </w:p>
    <w:p w14:paraId="55DDAC94">
      <w:pPr>
        <w:keepNext w:val="0"/>
        <w:keepLines w:val="0"/>
        <w:pageBreakBefore w:val="0"/>
        <w:widowControl w:val="0"/>
        <w:kinsoku/>
        <w:wordWrap/>
        <w:overflowPunct/>
        <w:autoSpaceDE/>
        <w:autoSpaceDN/>
        <w:bidi w:val="0"/>
        <w:snapToGrid/>
        <w:spacing w:line="560" w:lineRule="exact"/>
        <w:ind w:right="0" w:rightChars="0" w:firstLine="640" w:firstLineChars="200"/>
        <w:jc w:val="left"/>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eastAsia="zh-CN"/>
        </w:rPr>
        <w:t>五</w:t>
      </w:r>
      <w:r>
        <w:rPr>
          <w:rFonts w:hint="default" w:ascii="Times New Roman" w:hAnsi="Times New Roman" w:eastAsia="楷体" w:cs="Times New Roman"/>
          <w:sz w:val="32"/>
          <w:szCs w:val="32"/>
        </w:rPr>
        <w:t>）</w:t>
      </w:r>
      <w:r>
        <w:rPr>
          <w:rFonts w:hint="default" w:ascii="楷体_GB2312" w:hAnsi="楷体_GB2312" w:eastAsia="楷体_GB2312" w:cs="楷体_GB2312"/>
          <w:kern w:val="0"/>
          <w:sz w:val="32"/>
          <w:szCs w:val="32"/>
        </w:rPr>
        <w:t>深入推进信访工作法治化。</w:t>
      </w:r>
      <w:r>
        <w:rPr>
          <w:rFonts w:hint="default" w:ascii="Times New Roman" w:hAnsi="Times New Roman" w:eastAsia="仿宋_GB2312" w:cs="Times New Roman"/>
          <w:sz w:val="32"/>
          <w:szCs w:val="32"/>
          <w:lang w:bidi="ar"/>
        </w:rPr>
        <w:t>深入贯彻落实《信访工作条例》，坚持按照信访工作法治化“路线图”和工作指南依法分类处理信访问题，不断提高信访事项受理办理质效。全面排查化解矛盾纠纷，做实源头预防和前端化解。</w:t>
      </w:r>
      <w:r>
        <w:rPr>
          <w:rFonts w:hint="default" w:ascii="Times New Roman" w:hAnsi="Times New Roman" w:eastAsia="仿宋_GB2312" w:cs="Times New Roman"/>
          <w:b w:val="0"/>
          <w:bCs w:val="0"/>
          <w:spacing w:val="0"/>
          <w:kern w:val="0"/>
          <w:sz w:val="32"/>
          <w:szCs w:val="38"/>
          <w:u w:val="none" w:color="auto"/>
          <w:lang w:val="en-US" w:eastAsia="zh-CN"/>
        </w:rPr>
        <w:t>加强分析研判本部门分管业务中苗头性、倾向性问题。</w:t>
      </w:r>
      <w:r>
        <w:rPr>
          <w:rFonts w:hint="default" w:ascii="Times New Roman" w:hAnsi="Times New Roman" w:eastAsia="仿宋_GB2312" w:cs="Times New Roman"/>
          <w:sz w:val="32"/>
          <w:szCs w:val="32"/>
          <w:lang w:eastAsia="zh-CN"/>
        </w:rPr>
        <w:t>统筹办理西大望路疑难信访案件，建立跨区信访维稳联动机制，持续</w:t>
      </w:r>
      <w:r>
        <w:rPr>
          <w:rFonts w:hint="default" w:ascii="Times New Roman" w:hAnsi="Times New Roman" w:eastAsia="仿宋_GB2312" w:cs="Times New Roman"/>
          <w:sz w:val="32"/>
          <w:szCs w:val="32"/>
        </w:rPr>
        <w:t>疏导劝解</w:t>
      </w:r>
      <w:r>
        <w:rPr>
          <w:rFonts w:hint="default" w:ascii="Times New Roman" w:hAnsi="Times New Roman" w:eastAsia="仿宋_GB2312" w:cs="Times New Roman"/>
          <w:sz w:val="32"/>
          <w:szCs w:val="32"/>
          <w:lang w:eastAsia="zh-CN"/>
        </w:rPr>
        <w:t>重点信访人员，每周汇总报送处置进展，定期向主管区领导专题汇报，有效确保社会面稳定，推动加快处置进度。</w:t>
      </w:r>
      <w:r>
        <w:rPr>
          <w:rFonts w:hint="default" w:ascii="Times New Roman" w:hAnsi="Times New Roman" w:eastAsia="仿宋_GB2312" w:cs="Times New Roman"/>
          <w:color w:val="auto"/>
          <w:sz w:val="32"/>
          <w:szCs w:val="32"/>
        </w:rPr>
        <w:t>依</w:t>
      </w:r>
      <w:r>
        <w:rPr>
          <w:rFonts w:hint="default" w:ascii="Times New Roman" w:hAnsi="Times New Roman" w:eastAsia="仿宋_GB2312" w:cs="Times New Roman"/>
          <w:color w:val="auto"/>
          <w:sz w:val="32"/>
          <w:szCs w:val="32"/>
          <w:lang w:eastAsia="zh-CN"/>
        </w:rPr>
        <w:t>法依</w:t>
      </w:r>
      <w:r>
        <w:rPr>
          <w:rFonts w:hint="default" w:ascii="Times New Roman" w:hAnsi="Times New Roman" w:eastAsia="仿宋_GB2312" w:cs="Times New Roman"/>
          <w:color w:val="auto"/>
          <w:sz w:val="32"/>
          <w:szCs w:val="32"/>
        </w:rPr>
        <w:t>规答复信访案件</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件。</w:t>
      </w:r>
    </w:p>
    <w:p w14:paraId="23B7ABC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kern w:val="0"/>
          <w:sz w:val="32"/>
          <w:szCs w:val="32"/>
          <w:lang w:val="en-US" w:eastAsia="zh-CN"/>
        </w:rPr>
        <w:t>2025</w:t>
      </w:r>
      <w:r>
        <w:rPr>
          <w:rFonts w:hint="default" w:ascii="Times New Roman" w:hAnsi="Times New Roman" w:eastAsia="黑体" w:cs="Times New Roman"/>
          <w:kern w:val="0"/>
          <w:sz w:val="32"/>
          <w:szCs w:val="32"/>
        </w:rPr>
        <w:t>年推进法治政府建设存在的不足和原因</w:t>
      </w:r>
    </w:p>
    <w:p w14:paraId="3CDDB893">
      <w:pPr>
        <w:keepNext w:val="0"/>
        <w:keepLines w:val="0"/>
        <w:pageBreakBefore w:val="0"/>
        <w:widowControl w:val="0"/>
        <w:pBdr>
          <w:bottom w:val="single" w:color="FFFFFF" w:sz="4" w:space="31"/>
        </w:pBdr>
        <w:kinsoku/>
        <w:wordWrap/>
        <w:overflowPunct/>
        <w:topLinePunct/>
        <w:autoSpaceDE/>
        <w:autoSpaceDN/>
        <w:bidi w:val="0"/>
        <w:adjustRightInd w:val="0"/>
        <w:snapToGrid/>
        <w:spacing w:line="560" w:lineRule="exact"/>
        <w:ind w:right="0" w:rightChars="0" w:firstLine="640" w:firstLineChars="200"/>
        <w:textAlignment w:val="auto"/>
        <w:outlineLvl w:val="9"/>
        <w:rPr>
          <w:rFonts w:hint="default" w:ascii="Times New Roman" w:hAnsi="Times New Roman" w:eastAsia="仿宋_GB2312" w:cs="Times New Roman"/>
          <w:b w:val="0"/>
          <w:bCs w:val="0"/>
          <w:color w:val="auto"/>
          <w:sz w:val="32"/>
          <w:szCs w:val="28"/>
          <w:highlight w:val="none"/>
          <w:lang w:val="en-US" w:eastAsia="zh-CN"/>
        </w:rPr>
      </w:pPr>
      <w:r>
        <w:rPr>
          <w:rFonts w:hint="default" w:ascii="Times New Roman" w:hAnsi="Times New Roman" w:eastAsia="仿宋_GB2312" w:cs="Times New Roman"/>
          <w:b w:val="0"/>
          <w:bCs w:val="0"/>
          <w:color w:val="auto"/>
          <w:sz w:val="32"/>
          <w:szCs w:val="28"/>
          <w:highlight w:val="none"/>
          <w:lang w:val="en-US" w:eastAsia="zh-CN"/>
        </w:rPr>
        <w:t>一是法治建设整体水平需进一步提升，法治建设力量依然薄弱，人员队伍整体法律素养和专业化建设存在短板。</w:t>
      </w:r>
      <w:r>
        <w:rPr>
          <w:rFonts w:hint="default" w:ascii="Times New Roman" w:hAnsi="Times New Roman" w:eastAsia="仿宋_GB2312" w:cs="Times New Roman"/>
          <w:b w:val="0"/>
          <w:bCs w:val="0"/>
          <w:sz w:val="32"/>
          <w:szCs w:val="32"/>
          <w:lang w:bidi="ar"/>
        </w:rPr>
        <w:t>对新法律法规学习主动性不足，掌握不精准，在处理复杂法律事务时易出现偏差。且领导干部学法不够深入，运用法治思维解决重大突发事件的能力有待提高，带头学法制度尚不完</w:t>
      </w:r>
      <w:r>
        <w:rPr>
          <w:rFonts w:hint="default" w:ascii="Times New Roman" w:hAnsi="Times New Roman" w:eastAsia="仿宋_GB2312" w:cs="Times New Roman"/>
          <w:b w:val="0"/>
          <w:bCs w:val="0"/>
          <w:color w:val="auto"/>
          <w:sz w:val="32"/>
          <w:szCs w:val="28"/>
          <w:highlight w:val="none"/>
          <w:lang w:val="en-US" w:eastAsia="zh-CN"/>
        </w:rPr>
        <w:t>善。</w:t>
      </w:r>
    </w:p>
    <w:p w14:paraId="5FF9589D">
      <w:pPr>
        <w:keepNext w:val="0"/>
        <w:keepLines w:val="0"/>
        <w:pageBreakBefore w:val="0"/>
        <w:widowControl w:val="0"/>
        <w:pBdr>
          <w:bottom w:val="single" w:color="FFFFFF" w:sz="4" w:space="31"/>
        </w:pBdr>
        <w:kinsoku/>
        <w:wordWrap/>
        <w:overflowPunct/>
        <w:topLinePunct/>
        <w:autoSpaceDE/>
        <w:autoSpaceDN/>
        <w:bidi w:val="0"/>
        <w:adjustRightInd w:val="0"/>
        <w:snapToGrid/>
        <w:spacing w:line="560" w:lineRule="exact"/>
        <w:ind w:right="0" w:rightChars="0" w:firstLine="640" w:firstLineChars="200"/>
        <w:textAlignment w:val="auto"/>
        <w:outlineLvl w:val="9"/>
        <w:rPr>
          <w:rFonts w:hint="default" w:ascii="Times New Roman" w:hAnsi="Times New Roman" w:eastAsia="仿宋_GB2312" w:cs="Times New Roman"/>
          <w:b w:val="0"/>
          <w:bCs w:val="0"/>
          <w:sz w:val="32"/>
          <w:szCs w:val="32"/>
          <w:lang w:bidi="ar"/>
        </w:rPr>
      </w:pPr>
      <w:r>
        <w:rPr>
          <w:rFonts w:hint="default" w:ascii="Times New Roman" w:hAnsi="Times New Roman" w:eastAsia="仿宋_GB2312" w:cs="Times New Roman"/>
          <w:b w:val="0"/>
          <w:bCs w:val="0"/>
          <w:color w:val="auto"/>
          <w:sz w:val="32"/>
          <w:szCs w:val="28"/>
          <w:highlight w:val="none"/>
          <w:lang w:val="en-US" w:eastAsia="zh-CN"/>
        </w:rPr>
        <w:t>二是宣传教育仍有差距，学习宣传全面依法治国理念，推进法治政府建设的力度不够，学法用法普法工作创新不足，</w:t>
      </w:r>
      <w:r>
        <w:rPr>
          <w:rFonts w:hint="default" w:ascii="Times New Roman" w:hAnsi="Times New Roman" w:eastAsia="仿宋_GB2312" w:cs="Times New Roman"/>
          <w:b w:val="0"/>
          <w:bCs w:val="0"/>
          <w:sz w:val="32"/>
          <w:szCs w:val="32"/>
          <w:lang w:bidi="ar"/>
        </w:rPr>
        <w:t>对辖区内企业的法治宣传形式单一，多为发放宣传资料，缺乏互动性和针对性，法治宣传的覆盖面和影响力有限，未能充分提高公众的法治意识和法治观念。</w:t>
      </w:r>
    </w:p>
    <w:p w14:paraId="5EAEA060">
      <w:pPr>
        <w:keepNext w:val="0"/>
        <w:keepLines w:val="0"/>
        <w:pageBreakBefore w:val="0"/>
        <w:widowControl w:val="0"/>
        <w:pBdr>
          <w:bottom w:val="single" w:color="FFFFFF" w:sz="4" w:space="31"/>
        </w:pBdr>
        <w:kinsoku/>
        <w:wordWrap/>
        <w:overflowPunct/>
        <w:topLinePunct/>
        <w:autoSpaceDE/>
        <w:autoSpaceDN/>
        <w:bidi w:val="0"/>
        <w:adjustRightInd w:val="0"/>
        <w:snapToGrid/>
        <w:spacing w:line="560" w:lineRule="exact"/>
        <w:ind w:right="0" w:rightChars="0" w:firstLine="640" w:firstLineChars="200"/>
        <w:textAlignment w:val="auto"/>
        <w:outlineLvl w:val="9"/>
        <w:rPr>
          <w:rFonts w:hint="default" w:ascii="Times New Roman" w:hAnsi="Times New Roman" w:eastAsia="仿宋_GB2312" w:cs="Times New Roman"/>
          <w:b w:val="0"/>
          <w:bCs w:val="0"/>
          <w:color w:val="auto"/>
          <w:sz w:val="32"/>
          <w:szCs w:val="28"/>
          <w:highlight w:val="none"/>
          <w:lang w:val="en-US" w:eastAsia="zh-CN"/>
        </w:rPr>
      </w:pPr>
      <w:r>
        <w:rPr>
          <w:rFonts w:hint="default" w:ascii="Times New Roman" w:hAnsi="Times New Roman" w:eastAsia="仿宋_GB2312" w:cs="Times New Roman"/>
          <w:b w:val="0"/>
          <w:bCs w:val="0"/>
          <w:color w:val="auto"/>
          <w:sz w:val="32"/>
          <w:szCs w:val="28"/>
          <w:highlight w:val="none"/>
          <w:lang w:val="en-US" w:eastAsia="zh-CN"/>
        </w:rPr>
        <w:t>三是运用法治手段</w:t>
      </w:r>
      <w:r>
        <w:rPr>
          <w:rFonts w:hint="default" w:ascii="Times New Roman" w:hAnsi="Times New Roman" w:eastAsia="仿宋_GB2312" w:cs="Times New Roman"/>
          <w:b w:val="0"/>
          <w:bCs w:val="0"/>
          <w:sz w:val="32"/>
          <w:szCs w:val="32"/>
          <w:lang w:eastAsia="zh-CN"/>
        </w:rPr>
        <w:t>处理纠纷事项的能力和</w:t>
      </w:r>
      <w:r>
        <w:rPr>
          <w:rFonts w:hint="default" w:ascii="Times New Roman" w:hAnsi="Times New Roman" w:eastAsia="仿宋_GB2312" w:cs="Times New Roman"/>
          <w:b w:val="0"/>
          <w:bCs w:val="0"/>
          <w:sz w:val="32"/>
          <w:szCs w:val="32"/>
        </w:rPr>
        <w:t>专业化水平还有待进一步提升。各部门之间的协调配合还不够紧密，信息共享</w:t>
      </w:r>
      <w:r>
        <w:rPr>
          <w:rFonts w:hint="default" w:ascii="Times New Roman" w:hAnsi="Times New Roman" w:eastAsia="仿宋_GB2312" w:cs="Times New Roman"/>
          <w:b w:val="0"/>
          <w:bCs w:val="0"/>
          <w:sz w:val="32"/>
          <w:szCs w:val="32"/>
          <w:lang w:eastAsia="zh-CN"/>
        </w:rPr>
        <w:t>时效性有待加强。</w:t>
      </w:r>
    </w:p>
    <w:p w14:paraId="7187EE86">
      <w:pPr>
        <w:keepNext w:val="0"/>
        <w:keepLines w:val="0"/>
        <w:pageBreakBefore w:val="0"/>
        <w:widowControl w:val="0"/>
        <w:pBdr>
          <w:bottom w:val="single" w:color="FFFFFF" w:sz="4" w:space="31"/>
        </w:pBdr>
        <w:kinsoku/>
        <w:wordWrap/>
        <w:overflowPunct/>
        <w:topLinePunct/>
        <w:autoSpaceDE/>
        <w:autoSpaceDN/>
        <w:bidi w:val="0"/>
        <w:adjustRightInd w:val="0"/>
        <w:snapToGrid/>
        <w:spacing w:line="560" w:lineRule="exact"/>
        <w:ind w:right="0" w:rightChars="0" w:firstLine="640" w:firstLineChars="200"/>
        <w:textAlignment w:val="auto"/>
        <w:outlineLvl w:val="9"/>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sz w:val="32"/>
          <w:szCs w:val="32"/>
        </w:rPr>
        <w:t>三、</w:t>
      </w:r>
      <w:r>
        <w:rPr>
          <w:rFonts w:hint="default" w:ascii="Times New Roman" w:hAnsi="Times New Roman" w:eastAsia="黑体" w:cs="Times New Roman"/>
          <w:kern w:val="0"/>
          <w:sz w:val="32"/>
          <w:szCs w:val="32"/>
          <w:lang w:val="en-US" w:eastAsia="zh-CN"/>
        </w:rPr>
        <w:t>2025年党政主要负责人履行推进法治建设第一责任人职责，加强法治政府建设的有关情况</w:t>
      </w:r>
    </w:p>
    <w:p w14:paraId="21104362">
      <w:pPr>
        <w:keepNext w:val="0"/>
        <w:keepLines w:val="0"/>
        <w:pageBreakBefore w:val="0"/>
        <w:widowControl w:val="0"/>
        <w:pBdr>
          <w:bottom w:val="single" w:color="FFFFFF" w:sz="4" w:space="31"/>
        </w:pBdr>
        <w:kinsoku/>
        <w:wordWrap/>
        <w:overflowPunct/>
        <w:topLinePunct/>
        <w:autoSpaceDE/>
        <w:autoSpaceDN/>
        <w:bidi w:val="0"/>
        <w:adjustRightInd w:val="0"/>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28"/>
          <w:highlight w:val="none"/>
          <w:lang w:val="en-US" w:eastAsia="zh-CN"/>
        </w:rPr>
      </w:pPr>
      <w:r>
        <w:rPr>
          <w:rFonts w:hint="default" w:ascii="Times New Roman" w:hAnsi="Times New Roman" w:eastAsia="楷体_GB2312" w:cs="Times New Roman"/>
          <w:kern w:val="2"/>
          <w:sz w:val="32"/>
          <w:szCs w:val="32"/>
          <w:highlight w:val="none"/>
          <w:lang w:val="en-US" w:eastAsia="zh-CN" w:bidi="ar-SA"/>
        </w:rPr>
        <w:t>（一）</w:t>
      </w:r>
      <w:r>
        <w:rPr>
          <w:rFonts w:hint="default" w:ascii="楷体_GB2312" w:hAnsi="楷体_GB2312" w:eastAsia="楷体_GB2312" w:cs="楷体_GB2312"/>
          <w:kern w:val="0"/>
          <w:sz w:val="32"/>
          <w:szCs w:val="32"/>
          <w:lang w:val="en-US" w:eastAsia="zh-CN"/>
        </w:rPr>
        <w:t>高度重视。</w:t>
      </w:r>
      <w:r>
        <w:rPr>
          <w:rFonts w:hint="default" w:ascii="Times New Roman" w:hAnsi="Times New Roman" w:eastAsia="仿宋_GB2312" w:cs="Times New Roman"/>
          <w:kern w:val="0"/>
          <w:sz w:val="32"/>
          <w:szCs w:val="32"/>
        </w:rPr>
        <w:t>我委</w:t>
      </w:r>
      <w:r>
        <w:rPr>
          <w:rFonts w:hint="default" w:ascii="Times New Roman" w:hAnsi="Times New Roman" w:eastAsia="仿宋_GB2312" w:cs="Times New Roman"/>
          <w:color w:val="auto"/>
          <w:sz w:val="32"/>
          <w:szCs w:val="28"/>
          <w:highlight w:val="none"/>
          <w:lang w:val="en-US" w:eastAsia="zh-CN"/>
        </w:rPr>
        <w:t>党政主要负责人作为推进法治建设第一责任人，依法全面履行政府职能，落实权力清单、责任清单，进一步强化党对推进法治政府建设工作的全过程。严格遵守国家法律法规和有关党内法规，严格按照国务院、市、区关于法治政府建设的工作要求，结合地区实际把法治政府建设的各项工作认真分解抓好抓落实。</w:t>
      </w:r>
    </w:p>
    <w:p w14:paraId="3D1F6D6B">
      <w:pPr>
        <w:keepNext w:val="0"/>
        <w:keepLines w:val="0"/>
        <w:pageBreakBefore w:val="0"/>
        <w:widowControl w:val="0"/>
        <w:pBdr>
          <w:bottom w:val="single" w:color="FFFFFF" w:sz="4" w:space="31"/>
        </w:pBdr>
        <w:kinsoku/>
        <w:wordWrap/>
        <w:overflowPunct/>
        <w:topLinePunct/>
        <w:autoSpaceDE/>
        <w:autoSpaceDN/>
        <w:bidi w:val="0"/>
        <w:adjustRightInd w:val="0"/>
        <w:snapToGrid/>
        <w:spacing w:line="560" w:lineRule="exact"/>
        <w:ind w:right="0" w:rightChars="0" w:firstLine="640" w:firstLineChars="200"/>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楷体" w:cs="Times New Roman"/>
          <w:sz w:val="32"/>
          <w:szCs w:val="32"/>
        </w:rPr>
        <w:t>（二）</w:t>
      </w:r>
      <w:r>
        <w:rPr>
          <w:rFonts w:hint="default" w:ascii="楷体_GB2312" w:hAnsi="楷体_GB2312" w:eastAsia="楷体_GB2312" w:cs="楷体_GB2312"/>
          <w:kern w:val="0"/>
          <w:sz w:val="32"/>
          <w:szCs w:val="32"/>
        </w:rPr>
        <w:t>带头学法</w:t>
      </w:r>
      <w:r>
        <w:rPr>
          <w:rFonts w:hint="default" w:ascii="楷体_GB2312" w:hAnsi="楷体_GB2312" w:eastAsia="楷体_GB2312" w:cs="楷体_GB2312"/>
          <w:kern w:val="0"/>
          <w:sz w:val="32"/>
          <w:szCs w:val="32"/>
          <w:lang w:eastAsia="zh-CN"/>
        </w:rPr>
        <w:t>。</w:t>
      </w:r>
      <w:r>
        <w:rPr>
          <w:rFonts w:hint="default" w:ascii="Times New Roman" w:hAnsi="Times New Roman" w:eastAsia="仿宋_GB2312" w:cs="Times New Roman"/>
          <w:sz w:val="32"/>
          <w:szCs w:val="32"/>
        </w:rPr>
        <w:t>党政主要负责人带头</w:t>
      </w:r>
      <w:r>
        <w:rPr>
          <w:rFonts w:hint="default" w:ascii="Times New Roman" w:hAnsi="Times New Roman" w:eastAsia="仿宋_GB2312" w:cs="Times New Roman"/>
          <w:sz w:val="32"/>
          <w:szCs w:val="32"/>
          <w:lang w:bidi="ar"/>
        </w:rPr>
        <w:t>学习习近平法治思想及相关法规，</w:t>
      </w:r>
      <w:r>
        <w:rPr>
          <w:rFonts w:hint="default" w:ascii="Times New Roman" w:hAnsi="Times New Roman" w:eastAsia="仿宋_GB2312" w:cs="Times New Roman"/>
          <w:sz w:val="32"/>
          <w:szCs w:val="32"/>
        </w:rPr>
        <w:t>积极参加各类法治培训和讲座，不断提高自身的法治素养和依法行政能力。</w:t>
      </w:r>
      <w:r>
        <w:rPr>
          <w:rFonts w:hint="default" w:ascii="Times New Roman" w:hAnsi="Times New Roman" w:eastAsia="仿宋_GB2312" w:cs="Times New Roman"/>
          <w:sz w:val="32"/>
          <w:szCs w:val="32"/>
          <w:lang w:bidi="ar"/>
        </w:rPr>
        <w:t>通过党组理论学习中心组、专题会议等形式，推动领导班子成员运用法治思维决策，“将法治学习纳入常务会议常态化议题”。</w:t>
      </w:r>
      <w:r>
        <w:rPr>
          <w:rFonts w:hint="default" w:ascii="Times New Roman" w:hAnsi="Times New Roman" w:eastAsia="仿宋_GB2312" w:cs="Times New Roman"/>
          <w:sz w:val="32"/>
          <w:szCs w:val="32"/>
        </w:rPr>
        <w:t>加强对干部职工学法用法的督促检查，将法治素养和依法履职情况纳入干部考核评价体系，推动形成尊法学法守法用法的良好氛围。</w:t>
      </w:r>
    </w:p>
    <w:p w14:paraId="4818CEE1">
      <w:pPr>
        <w:keepNext w:val="0"/>
        <w:keepLines w:val="0"/>
        <w:pageBreakBefore w:val="0"/>
        <w:widowControl w:val="0"/>
        <w:pBdr>
          <w:bottom w:val="single" w:color="FFFFFF" w:sz="4" w:space="31"/>
        </w:pBdr>
        <w:kinsoku/>
        <w:wordWrap/>
        <w:overflowPunct/>
        <w:topLinePunct/>
        <w:autoSpaceDE/>
        <w:autoSpaceDN/>
        <w:bidi w:val="0"/>
        <w:adjustRightInd w:val="0"/>
        <w:snapToGrid/>
        <w:spacing w:line="560" w:lineRule="exact"/>
        <w:ind w:right="0" w:rightChars="0" w:firstLine="640" w:firstLineChars="200"/>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楷体" w:cs="Times New Roman"/>
          <w:sz w:val="32"/>
          <w:szCs w:val="32"/>
        </w:rPr>
        <w:t>（三）</w:t>
      </w:r>
      <w:r>
        <w:rPr>
          <w:rFonts w:hint="default" w:ascii="楷体_GB2312" w:hAnsi="楷体_GB2312" w:eastAsia="楷体_GB2312" w:cs="楷体_GB2312"/>
          <w:kern w:val="0"/>
          <w:sz w:val="32"/>
          <w:szCs w:val="32"/>
        </w:rPr>
        <w:t>深化</w:t>
      </w:r>
      <w:r>
        <w:rPr>
          <w:rFonts w:hint="default" w:ascii="楷体_GB2312" w:hAnsi="楷体_GB2312" w:eastAsia="楷体_GB2312" w:cs="楷体_GB2312"/>
          <w:kern w:val="0"/>
          <w:sz w:val="32"/>
          <w:szCs w:val="32"/>
          <w:lang w:eastAsia="zh-CN"/>
        </w:rPr>
        <w:t>用法。</w:t>
      </w:r>
      <w:r>
        <w:rPr>
          <w:rFonts w:hint="default" w:ascii="Times New Roman" w:hAnsi="Times New Roman" w:eastAsia="仿宋_GB2312" w:cs="Times New Roman"/>
          <w:kern w:val="0"/>
          <w:sz w:val="32"/>
          <w:szCs w:val="32"/>
          <w:lang w:bidi="ar"/>
        </w:rPr>
        <w:t>开展</w:t>
      </w:r>
      <w:bookmarkStart w:id="1" w:name="OLE_LINK10"/>
      <w:r>
        <w:rPr>
          <w:rFonts w:hint="default" w:ascii="Times New Roman" w:hAnsi="Times New Roman" w:eastAsia="仿宋_GB2312" w:cs="Times New Roman"/>
          <w:kern w:val="0"/>
          <w:sz w:val="32"/>
          <w:szCs w:val="32"/>
          <w:lang w:bidi="ar"/>
        </w:rPr>
        <w:t>“</w:t>
      </w:r>
      <w:bookmarkEnd w:id="1"/>
      <w:r>
        <w:rPr>
          <w:rFonts w:hint="default" w:ascii="Times New Roman" w:hAnsi="Times New Roman" w:eastAsia="仿宋_GB2312" w:cs="Times New Roman"/>
          <w:kern w:val="0"/>
          <w:sz w:val="32"/>
          <w:szCs w:val="32"/>
          <w:lang w:bidi="ar"/>
        </w:rPr>
        <w:t>八五</w:t>
      </w:r>
      <w:bookmarkStart w:id="2" w:name="OLE_LINK11"/>
      <w:r>
        <w:rPr>
          <w:rFonts w:hint="default" w:ascii="Times New Roman" w:hAnsi="Times New Roman" w:eastAsia="仿宋_GB2312" w:cs="Times New Roman"/>
          <w:kern w:val="0"/>
          <w:sz w:val="32"/>
          <w:szCs w:val="32"/>
          <w:lang w:bidi="ar"/>
        </w:rPr>
        <w:t>”</w:t>
      </w:r>
      <w:bookmarkEnd w:id="2"/>
      <w:r>
        <w:rPr>
          <w:rFonts w:hint="default" w:ascii="Times New Roman" w:hAnsi="Times New Roman" w:eastAsia="仿宋_GB2312" w:cs="Times New Roman"/>
          <w:kern w:val="0"/>
          <w:sz w:val="32"/>
          <w:szCs w:val="32"/>
          <w:lang w:bidi="ar"/>
        </w:rPr>
        <w:t>普法总结验收和“九五”普法前期谋划</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sz w:val="32"/>
          <w:szCs w:val="32"/>
        </w:rPr>
        <w:t>积极推动建立健全矛盾纠纷联动化解机制，及时研究解决工作中的重大问题。</w:t>
      </w:r>
      <w:bookmarkStart w:id="3" w:name="_GoBack"/>
      <w:r>
        <w:rPr>
          <w:rFonts w:hint="eastAsia" w:ascii="Times New Roman" w:hAnsi="Times New Roman" w:eastAsia="仿宋_GB2312" w:cs="Times New Roman"/>
          <w:sz w:val="32"/>
          <w:szCs w:val="32"/>
          <w:lang w:eastAsia="zh-CN"/>
        </w:rPr>
        <w:t>亲力亲为</w:t>
      </w:r>
      <w:r>
        <w:rPr>
          <w:rFonts w:hint="default" w:ascii="Times New Roman" w:hAnsi="Times New Roman" w:eastAsia="仿宋_GB2312" w:cs="Times New Roman"/>
          <w:sz w:val="32"/>
          <w:szCs w:val="32"/>
        </w:rPr>
        <w:t>，深入</w:t>
      </w:r>
      <w:bookmarkEnd w:id="3"/>
      <w:r>
        <w:rPr>
          <w:rFonts w:hint="default" w:ascii="Times New Roman" w:hAnsi="Times New Roman" w:eastAsia="仿宋_GB2312" w:cs="Times New Roman"/>
          <w:sz w:val="32"/>
          <w:szCs w:val="32"/>
        </w:rPr>
        <w:t>群众，认真倾听群众诉求，对</w:t>
      </w:r>
      <w:r>
        <w:rPr>
          <w:rFonts w:hint="default" w:ascii="Times New Roman" w:hAnsi="Times New Roman" w:eastAsia="仿宋_GB2312" w:cs="Times New Roman"/>
          <w:sz w:val="32"/>
          <w:szCs w:val="32"/>
          <w:lang w:bidi="ar"/>
        </w:rPr>
        <w:t>基层治理、营商环境法治保障结合共性实践补充分析，</w:t>
      </w:r>
      <w:r>
        <w:rPr>
          <w:rFonts w:hint="default" w:ascii="Times New Roman" w:hAnsi="Times New Roman" w:eastAsia="仿宋_GB2312" w:cs="Times New Roman"/>
          <w:sz w:val="32"/>
          <w:szCs w:val="32"/>
        </w:rPr>
        <w:t>协调相关部门妥善处理</w:t>
      </w:r>
      <w:r>
        <w:rPr>
          <w:rFonts w:hint="default" w:ascii="Times New Roman" w:hAnsi="Times New Roman" w:eastAsia="仿宋_GB2312" w:cs="Times New Roman"/>
          <w:color w:val="000000" w:themeColor="text1"/>
          <w:sz w:val="32"/>
          <w:szCs w:val="32"/>
          <w14:textFill>
            <w14:solidFill>
              <w14:schemeClr w14:val="tx1"/>
            </w14:solidFill>
          </w14:textFill>
        </w:rPr>
        <w:t>西大望路、王府世纪</w:t>
      </w:r>
      <w:r>
        <w:rPr>
          <w:rFonts w:hint="default" w:ascii="Times New Roman" w:hAnsi="Times New Roman" w:eastAsia="仿宋_GB2312" w:cs="Times New Roman"/>
          <w:sz w:val="32"/>
          <w:szCs w:val="32"/>
        </w:rPr>
        <w:t>等各类矛盾纠纷，切实维护群众的合法权益、保障社会稳定。</w:t>
      </w:r>
    </w:p>
    <w:p w14:paraId="5697730C">
      <w:pPr>
        <w:keepNext w:val="0"/>
        <w:keepLines w:val="0"/>
        <w:pageBreakBefore w:val="0"/>
        <w:widowControl w:val="0"/>
        <w:pBdr>
          <w:bottom w:val="single" w:color="FFFFFF" w:sz="4" w:space="31"/>
        </w:pBdr>
        <w:kinsoku/>
        <w:wordWrap/>
        <w:overflowPunct/>
        <w:topLinePunct/>
        <w:autoSpaceDE/>
        <w:autoSpaceDN/>
        <w:bidi w:val="0"/>
        <w:adjustRightInd w:val="0"/>
        <w:snapToGrid/>
        <w:spacing w:line="560" w:lineRule="exact"/>
        <w:ind w:right="0" w:rightChars="0" w:firstLine="640" w:firstLineChars="200"/>
        <w:textAlignment w:val="auto"/>
        <w:outlineLvl w:val="9"/>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rPr>
        <w:t>四、2026年推进法治政府建设的主要安排</w:t>
      </w:r>
    </w:p>
    <w:p w14:paraId="115D58E5">
      <w:pPr>
        <w:keepNext w:val="0"/>
        <w:keepLines w:val="0"/>
        <w:pageBreakBefore w:val="0"/>
        <w:widowControl w:val="0"/>
        <w:pBdr>
          <w:bottom w:val="single" w:color="FFFFFF" w:sz="4" w:space="31"/>
        </w:pBdr>
        <w:kinsoku/>
        <w:wordWrap/>
        <w:overflowPunct/>
        <w:topLinePunct/>
        <w:autoSpaceDE/>
        <w:autoSpaceDN/>
        <w:bidi w:val="0"/>
        <w:adjustRightInd w:val="0"/>
        <w:snapToGrid/>
        <w:spacing w:line="56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我委</w:t>
      </w:r>
      <w:r>
        <w:rPr>
          <w:rFonts w:hint="default" w:ascii="Times New Roman" w:hAnsi="Times New Roman" w:eastAsia="仿宋_GB2312" w:cs="Times New Roman"/>
          <w:sz w:val="32"/>
          <w:szCs w:val="32"/>
        </w:rPr>
        <w:t>法治政府建设工作将紧密围绕市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区的统一部署展开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北京市《法治政府建设实施意见（2021-2025年）》明确提出“健全基层依法行政能力建设体系”，2026年作为该规划收官后的第一年，王府井地区在巩固既有成果基础上，聚焦优化营商环境、商圈治理等领域，推动京津冀协同发展、提升城市治理水平等方面的配套措施落地。王府井作为核心商圈的功能定位，2026年法治建设重点从以下方面开展：</w:t>
      </w:r>
    </w:p>
    <w:p w14:paraId="3E2608BE">
      <w:pPr>
        <w:keepNext w:val="0"/>
        <w:keepLines w:val="0"/>
        <w:pageBreakBefore w:val="0"/>
        <w:widowControl w:val="0"/>
        <w:pBdr>
          <w:bottom w:val="single" w:color="FFFFFF" w:sz="4" w:space="31"/>
        </w:pBdr>
        <w:kinsoku/>
        <w:wordWrap/>
        <w:overflowPunct/>
        <w:topLinePunct/>
        <w:autoSpaceDE/>
        <w:autoSpaceDN/>
        <w:bidi w:val="0"/>
        <w:adjustRightInd w:val="0"/>
        <w:snapToGrid/>
        <w:spacing w:line="56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eastAsia="zh-CN"/>
        </w:rPr>
        <w:t>一是</w:t>
      </w:r>
      <w:r>
        <w:rPr>
          <w:rFonts w:hint="default" w:ascii="Times New Roman" w:hAnsi="Times New Roman" w:eastAsia="仿宋_GB2312" w:cs="Times New Roman"/>
          <w:sz w:val="32"/>
          <w:szCs w:val="32"/>
          <w:lang w:eastAsia="zh-CN"/>
        </w:rPr>
        <w:t>加强党的领导。</w:t>
      </w:r>
      <w:r>
        <w:rPr>
          <w:rFonts w:hint="default" w:ascii="Times New Roman" w:hAnsi="Times New Roman" w:eastAsia="仿宋_GB2312" w:cs="Times New Roman"/>
          <w:sz w:val="32"/>
          <w:szCs w:val="32"/>
        </w:rPr>
        <w:t>进一步健全党建引领法治建设工作机制，持续探索法治建设助力解决经济服务、民生发展中痛点难点问题，深化协同治理实践，优化提升场景体验。完善政府内部监督，强化重点领域监督，从而强化对行政权力的制约和监督，全面推进政务公开，推进政府的廉洁廉政建设。</w:t>
      </w:r>
      <w:r>
        <w:rPr>
          <w:rFonts w:hint="default" w:ascii="Times New Roman" w:hAnsi="Times New Roman" w:eastAsia="仿宋_GB2312" w:cs="Times New Roman"/>
          <w:sz w:val="32"/>
          <w:szCs w:val="32"/>
          <w:lang w:val="en-US" w:eastAsia="zh-CN"/>
        </w:rPr>
        <w:t xml:space="preserve">  </w:t>
      </w:r>
    </w:p>
    <w:p w14:paraId="1E022E47">
      <w:pPr>
        <w:keepNext w:val="0"/>
        <w:keepLines w:val="0"/>
        <w:pageBreakBefore w:val="0"/>
        <w:widowControl w:val="0"/>
        <w:pBdr>
          <w:bottom w:val="single" w:color="FFFFFF" w:sz="4" w:space="31"/>
        </w:pBdr>
        <w:kinsoku/>
        <w:wordWrap/>
        <w:overflowPunct/>
        <w:topLinePunct/>
        <w:autoSpaceDE/>
        <w:autoSpaceDN/>
        <w:bidi w:val="0"/>
        <w:adjustRightInd w:val="0"/>
        <w:snapToGrid/>
        <w:spacing w:line="560" w:lineRule="exact"/>
        <w:ind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eastAsia="zh-CN"/>
        </w:rPr>
        <w:t>二是</w:t>
      </w:r>
      <w:r>
        <w:rPr>
          <w:rFonts w:hint="default" w:ascii="Times New Roman" w:hAnsi="Times New Roman" w:eastAsia="仿宋_GB2312" w:cs="Times New Roman"/>
          <w:sz w:val="32"/>
          <w:szCs w:val="32"/>
          <w:lang w:eastAsia="zh-CN"/>
        </w:rPr>
        <w:t>抓好法治学习教育。结合市、区202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年法治政府建设工作重点，利用会前学法、干部培训、网络自学等形式，科学安排法律、法规的学习活动，有计划、有重点地开展相关法规的教育培训。</w:t>
      </w:r>
    </w:p>
    <w:p w14:paraId="35113460">
      <w:pPr>
        <w:keepNext w:val="0"/>
        <w:keepLines w:val="0"/>
        <w:pageBreakBefore w:val="0"/>
        <w:widowControl w:val="0"/>
        <w:pBdr>
          <w:bottom w:val="single" w:color="FFFFFF" w:sz="4" w:space="31"/>
        </w:pBdr>
        <w:kinsoku/>
        <w:wordWrap/>
        <w:overflowPunct/>
        <w:topLinePunct/>
        <w:autoSpaceDE/>
        <w:autoSpaceDN/>
        <w:bidi w:val="0"/>
        <w:adjustRightInd w:val="0"/>
        <w:snapToGrid/>
        <w:spacing w:line="560" w:lineRule="exact"/>
        <w:ind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eastAsia="zh-CN"/>
        </w:rPr>
        <w:t>三是</w:t>
      </w:r>
      <w:r>
        <w:rPr>
          <w:rFonts w:hint="default" w:ascii="Times New Roman" w:hAnsi="Times New Roman" w:eastAsia="仿宋_GB2312" w:cs="Times New Roman"/>
          <w:sz w:val="32"/>
          <w:szCs w:val="32"/>
          <w:lang w:eastAsia="zh-CN"/>
        </w:rPr>
        <w:t>加强政策法规宣传。利用全国普法宣传日和12·4宪法颁布日主题教育活动，用多种形式加强法律法规宣传与普及。面向地区企业需求，持续开展为辖区企业宣传产业扶持政策法规，助力企业在辖区创新发展。深入地区的重点楼宇和企业，开展政策、安全生产等法律法规宣传，普及法律知识。</w:t>
      </w:r>
    </w:p>
    <w:p w14:paraId="7E9753A0">
      <w:pPr>
        <w:keepNext w:val="0"/>
        <w:keepLines w:val="0"/>
        <w:pageBreakBefore w:val="0"/>
        <w:widowControl w:val="0"/>
        <w:pBdr>
          <w:bottom w:val="single" w:color="FFFFFF" w:sz="4" w:space="31"/>
        </w:pBdr>
        <w:kinsoku/>
        <w:wordWrap/>
        <w:overflowPunct/>
        <w:topLinePunct/>
        <w:autoSpaceDE/>
        <w:autoSpaceDN/>
        <w:bidi w:val="0"/>
        <w:adjustRightInd w:val="0"/>
        <w:snapToGrid/>
        <w:spacing w:line="560" w:lineRule="exact"/>
        <w:ind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b w:val="0"/>
          <w:bCs w:val="0"/>
          <w:sz w:val="32"/>
          <w:szCs w:val="32"/>
          <w:lang w:eastAsia="zh-CN"/>
        </w:rPr>
        <w:t>四是</w:t>
      </w:r>
      <w:r>
        <w:rPr>
          <w:rFonts w:hint="default" w:ascii="Times New Roman" w:hAnsi="Times New Roman" w:eastAsia="仿宋_GB2312" w:cs="Times New Roman"/>
          <w:sz w:val="32"/>
          <w:szCs w:val="32"/>
          <w:lang w:eastAsia="zh-CN"/>
        </w:rPr>
        <w:t>做好</w:t>
      </w:r>
      <w:r>
        <w:rPr>
          <w:rFonts w:hint="default" w:ascii="Times New Roman" w:hAnsi="Times New Roman" w:eastAsia="仿宋_GB2312" w:cs="Times New Roman"/>
          <w:sz w:val="32"/>
          <w:szCs w:val="32"/>
        </w:rPr>
        <w:t>风险防控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延续2025年“防灾减灾宣传”“安全生产月”</w:t>
      </w:r>
      <w:r>
        <w:rPr>
          <w:rFonts w:hint="default" w:ascii="Times New Roman" w:hAnsi="Times New Roman" w:eastAsia="仿宋_GB2312" w:cs="Times New Roman"/>
          <w:sz w:val="32"/>
          <w:szCs w:val="32"/>
          <w:lang w:eastAsia="zh-CN"/>
        </w:rPr>
        <w:t>“消防宣传月”</w:t>
      </w:r>
      <w:r>
        <w:rPr>
          <w:rFonts w:hint="default" w:ascii="Times New Roman" w:hAnsi="Times New Roman" w:eastAsia="仿宋_GB2312" w:cs="Times New Roman"/>
          <w:sz w:val="32"/>
          <w:szCs w:val="32"/>
        </w:rPr>
        <w:t>等工作模式，完善突发事件应急预案，加强与</w:t>
      </w:r>
      <w:r>
        <w:rPr>
          <w:rFonts w:hint="default" w:ascii="Times New Roman" w:hAnsi="Times New Roman" w:eastAsia="仿宋_GB2312" w:cs="Times New Roman"/>
          <w:sz w:val="32"/>
          <w:szCs w:val="32"/>
          <w:lang w:eastAsia="zh-CN"/>
        </w:rPr>
        <w:t>应急、</w:t>
      </w:r>
      <w:r>
        <w:rPr>
          <w:rFonts w:hint="default" w:ascii="Times New Roman" w:hAnsi="Times New Roman" w:eastAsia="仿宋_GB2312" w:cs="Times New Roman"/>
          <w:sz w:val="32"/>
          <w:szCs w:val="32"/>
        </w:rPr>
        <w:t>公安、消防等部门的协同联动，保障商圈安全运行。</w:t>
      </w:r>
      <w:bookmarkEnd w:id="0"/>
    </w:p>
    <w:p w14:paraId="2F5C6488">
      <w:pPr>
        <w:pStyle w:val="2"/>
        <w:rPr>
          <w:rFonts w:hint="default" w:ascii="Times New Roman" w:hAnsi="Times New Roman" w:eastAsia="仿宋_GB2312" w:cs="Times New Roman"/>
          <w:sz w:val="32"/>
          <w:szCs w:val="32"/>
        </w:rPr>
      </w:pPr>
    </w:p>
    <w:p w14:paraId="76ACDEE3">
      <w:pPr>
        <w:pStyle w:val="2"/>
        <w:keepNext w:val="0"/>
        <w:keepLines w:val="0"/>
        <w:pageBreakBefore w:val="0"/>
        <w:widowControl w:val="0"/>
        <w:kinsoku/>
        <w:wordWrap/>
        <w:overflowPunct/>
        <w:autoSpaceDE/>
        <w:autoSpaceDN/>
        <w:bidi w:val="0"/>
        <w:snapToGrid/>
        <w:spacing w:after="0" w:line="560" w:lineRule="exact"/>
        <w:ind w:right="0" w:rightChars="0"/>
        <w:jc w:val="right"/>
        <w:textAlignment w:val="auto"/>
        <w:rPr>
          <w:rFonts w:hint="default" w:ascii="Times New Roman" w:hAnsi="Times New Roman" w:eastAsia="仿宋_GB2312" w:cs="Times New Roman"/>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原版宋体"/>
    <w:panose1 w:val="02010600030101010101"/>
    <w:charset w:val="86"/>
    <w:family w:val="auto"/>
    <w:pitch w:val="default"/>
    <w:sig w:usb0="00000000" w:usb1="00000000" w:usb2="00000016" w:usb3="00000000" w:csb0="0004000F" w:csb1="00000000"/>
  </w:font>
  <w:font w:name="原版宋体">
    <w:panose1 w:val="02010600030101010101"/>
    <w:charset w:val="86"/>
    <w:family w:val="auto"/>
    <w:pitch w:val="default"/>
    <w:sig w:usb0="00000003" w:usb1="080E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99D94"/>
    <w:multiLevelType w:val="singleLevel"/>
    <w:tmpl w:val="EBF99D94"/>
    <w:lvl w:ilvl="0" w:tentative="0">
      <w:start w:val="1"/>
      <w:numFmt w:val="chineseCounting"/>
      <w:suff w:val="nothing"/>
      <w:lvlText w:val="（%1）"/>
      <w:lvlJc w:val="left"/>
      <w:rPr>
        <w:rFonts w:hint="eastAsia" w:ascii="楷体_GB2312" w:hAnsi="楷体_GB2312" w:eastAsia="楷体_GB2312" w:cs="楷体_GB2312"/>
      </w:rPr>
    </w:lvl>
  </w:abstractNum>
  <w:abstractNum w:abstractNumId="1">
    <w:nsid w:val="5FC0C172"/>
    <w:multiLevelType w:val="singleLevel"/>
    <w:tmpl w:val="5FC0C172"/>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8D"/>
    <w:rsid w:val="00000DAC"/>
    <w:rsid w:val="00097C71"/>
    <w:rsid w:val="000A33FE"/>
    <w:rsid w:val="000B64A7"/>
    <w:rsid w:val="000E383E"/>
    <w:rsid w:val="00107D11"/>
    <w:rsid w:val="00132DA4"/>
    <w:rsid w:val="00137425"/>
    <w:rsid w:val="00183BC0"/>
    <w:rsid w:val="00197214"/>
    <w:rsid w:val="001B085F"/>
    <w:rsid w:val="001B4A56"/>
    <w:rsid w:val="00247638"/>
    <w:rsid w:val="002F390B"/>
    <w:rsid w:val="003006E4"/>
    <w:rsid w:val="003379A1"/>
    <w:rsid w:val="00340217"/>
    <w:rsid w:val="00350EE9"/>
    <w:rsid w:val="0037303E"/>
    <w:rsid w:val="003A7387"/>
    <w:rsid w:val="00411852"/>
    <w:rsid w:val="00434D49"/>
    <w:rsid w:val="004515E0"/>
    <w:rsid w:val="00461235"/>
    <w:rsid w:val="004B7628"/>
    <w:rsid w:val="00502EEA"/>
    <w:rsid w:val="005116D9"/>
    <w:rsid w:val="00521414"/>
    <w:rsid w:val="005346E6"/>
    <w:rsid w:val="005B7D5F"/>
    <w:rsid w:val="00630E2D"/>
    <w:rsid w:val="0065699F"/>
    <w:rsid w:val="006A3A96"/>
    <w:rsid w:val="006A3C47"/>
    <w:rsid w:val="006B69D5"/>
    <w:rsid w:val="006C3304"/>
    <w:rsid w:val="006E3F51"/>
    <w:rsid w:val="00725943"/>
    <w:rsid w:val="0074732A"/>
    <w:rsid w:val="00781637"/>
    <w:rsid w:val="00792CA7"/>
    <w:rsid w:val="007A6FD8"/>
    <w:rsid w:val="007B34B1"/>
    <w:rsid w:val="007C326B"/>
    <w:rsid w:val="00862B41"/>
    <w:rsid w:val="008831DF"/>
    <w:rsid w:val="008F66D2"/>
    <w:rsid w:val="0092450F"/>
    <w:rsid w:val="00931632"/>
    <w:rsid w:val="009722F2"/>
    <w:rsid w:val="00990CCB"/>
    <w:rsid w:val="009C5126"/>
    <w:rsid w:val="009D2F09"/>
    <w:rsid w:val="009D5672"/>
    <w:rsid w:val="009F648B"/>
    <w:rsid w:val="00A33CCC"/>
    <w:rsid w:val="00A44112"/>
    <w:rsid w:val="00A44AF6"/>
    <w:rsid w:val="00AA71C7"/>
    <w:rsid w:val="00AA741E"/>
    <w:rsid w:val="00AB5BF8"/>
    <w:rsid w:val="00AE2628"/>
    <w:rsid w:val="00B258D1"/>
    <w:rsid w:val="00B37D65"/>
    <w:rsid w:val="00B74A47"/>
    <w:rsid w:val="00B80AD6"/>
    <w:rsid w:val="00BA5D06"/>
    <w:rsid w:val="00BC34FF"/>
    <w:rsid w:val="00BE528D"/>
    <w:rsid w:val="00C11BEB"/>
    <w:rsid w:val="00C93178"/>
    <w:rsid w:val="00CB3985"/>
    <w:rsid w:val="00CE41A7"/>
    <w:rsid w:val="00D57C3B"/>
    <w:rsid w:val="00D75F5E"/>
    <w:rsid w:val="00DC5045"/>
    <w:rsid w:val="00DE0979"/>
    <w:rsid w:val="00E656F5"/>
    <w:rsid w:val="00E72D46"/>
    <w:rsid w:val="00E970C7"/>
    <w:rsid w:val="00EA3FDE"/>
    <w:rsid w:val="00EA6B6F"/>
    <w:rsid w:val="00F018D1"/>
    <w:rsid w:val="00F21E3E"/>
    <w:rsid w:val="00F33079"/>
    <w:rsid w:val="00F6658D"/>
    <w:rsid w:val="00F92856"/>
    <w:rsid w:val="00F940F8"/>
    <w:rsid w:val="03D56E22"/>
    <w:rsid w:val="123042DE"/>
    <w:rsid w:val="1F1552EE"/>
    <w:rsid w:val="27FA29AD"/>
    <w:rsid w:val="2A7F7A2B"/>
    <w:rsid w:val="31987E87"/>
    <w:rsid w:val="35EA234F"/>
    <w:rsid w:val="3672683F"/>
    <w:rsid w:val="3C1C6212"/>
    <w:rsid w:val="3FFDFD2F"/>
    <w:rsid w:val="469433EF"/>
    <w:rsid w:val="519C0013"/>
    <w:rsid w:val="58512848"/>
    <w:rsid w:val="5AE94B3D"/>
    <w:rsid w:val="5CBFAD50"/>
    <w:rsid w:val="63C66524"/>
    <w:rsid w:val="6BC46BB6"/>
    <w:rsid w:val="6BF42B53"/>
    <w:rsid w:val="750442AD"/>
    <w:rsid w:val="7B105B1F"/>
    <w:rsid w:val="7BFF844D"/>
    <w:rsid w:val="7EDE9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0"/>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1"/>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2"/>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3"/>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4"/>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5"/>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6"/>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7"/>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Indent 2"/>
    <w:unhideWhenUsed/>
    <w:qFormat/>
    <w:uiPriority w:val="99"/>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toc 3"/>
    <w:basedOn w:val="1"/>
    <w:next w:val="1"/>
    <w:unhideWhenUsed/>
    <w:qFormat/>
    <w:uiPriority w:val="39"/>
    <w:pPr>
      <w:ind w:left="840" w:leftChars="400"/>
    </w:pPr>
  </w:style>
  <w:style w:type="paragraph" w:styleId="13">
    <w:name w:val="footer"/>
    <w:basedOn w:val="1"/>
    <w:link w:val="38"/>
    <w:unhideWhenUsed/>
    <w:qFormat/>
    <w:uiPriority w:val="99"/>
    <w:pPr>
      <w:tabs>
        <w:tab w:val="center" w:pos="4153"/>
        <w:tab w:val="right" w:pos="8306"/>
      </w:tabs>
      <w:snapToGrid w:val="0"/>
      <w:jc w:val="left"/>
    </w:pPr>
    <w:rPr>
      <w:sz w:val="18"/>
      <w:szCs w:val="18"/>
    </w:rPr>
  </w:style>
  <w:style w:type="paragraph" w:styleId="14">
    <w:name w:val="header"/>
    <w:basedOn w:val="1"/>
    <w:link w:val="37"/>
    <w:unhideWhenUsed/>
    <w:qFormat/>
    <w:uiPriority w:val="99"/>
    <w:pPr>
      <w:tabs>
        <w:tab w:val="center" w:pos="4153"/>
        <w:tab w:val="right" w:pos="8306"/>
      </w:tabs>
      <w:snapToGrid w:val="0"/>
      <w:jc w:val="center"/>
    </w:pPr>
    <w:rPr>
      <w:sz w:val="18"/>
      <w:szCs w:val="18"/>
    </w:rPr>
  </w:style>
  <w:style w:type="paragraph" w:styleId="15">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3"/>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6"/>
    <w:semiHidden/>
    <w:qFormat/>
    <w:uiPriority w:val="9"/>
    <w:rPr>
      <w:rFonts w:cstheme="majorBidi"/>
      <w:color w:val="104862" w:themeColor="accent1" w:themeShade="BF"/>
      <w:sz w:val="28"/>
      <w:szCs w:val="28"/>
    </w:rPr>
  </w:style>
  <w:style w:type="character" w:customStyle="1" w:styleId="23">
    <w:name w:val="标题 5 字符"/>
    <w:basedOn w:val="18"/>
    <w:link w:val="7"/>
    <w:semiHidden/>
    <w:qFormat/>
    <w:uiPriority w:val="9"/>
    <w:rPr>
      <w:rFonts w:cstheme="majorBidi"/>
      <w:color w:val="104862" w:themeColor="accent1" w:themeShade="BF"/>
      <w:sz w:val="24"/>
      <w:szCs w:val="24"/>
    </w:rPr>
  </w:style>
  <w:style w:type="character" w:customStyle="1" w:styleId="24">
    <w:name w:val="标题 6 字符"/>
    <w:basedOn w:val="18"/>
    <w:link w:val="8"/>
    <w:semiHidden/>
    <w:qFormat/>
    <w:uiPriority w:val="9"/>
    <w:rPr>
      <w:rFonts w:cstheme="majorBidi"/>
      <w:b/>
      <w:bCs/>
      <w:color w:val="104862" w:themeColor="accent1" w:themeShade="BF"/>
    </w:rPr>
  </w:style>
  <w:style w:type="character" w:customStyle="1" w:styleId="25">
    <w:name w:val="标题 7 字符"/>
    <w:basedOn w:val="18"/>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customStyle="1"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customStyle="1"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页眉 字符"/>
    <w:basedOn w:val="18"/>
    <w:link w:val="14"/>
    <w:qFormat/>
    <w:uiPriority w:val="99"/>
    <w:rPr>
      <w:sz w:val="18"/>
      <w:szCs w:val="18"/>
    </w:rPr>
  </w:style>
  <w:style w:type="character" w:customStyle="1" w:styleId="38">
    <w:name w:val="页脚 字符"/>
    <w:basedOn w:val="18"/>
    <w:link w:val="13"/>
    <w:qFormat/>
    <w:uiPriority w:val="99"/>
    <w:rPr>
      <w:sz w:val="18"/>
      <w:szCs w:val="18"/>
    </w:rPr>
  </w:style>
  <w:style w:type="paragraph" w:customStyle="1" w:styleId="3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1fc28bc7-632a-42ab-9d73-43e73dfdff3e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5C9D0068</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dfa9ec3f-e9f5-44c2-9fb3-412dc60f916f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5C9D0068</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7513cc3b-4aa3-43b0-8261-0c28de359037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445A9088</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b15c9b4f-eb0d-4f35-a8a5-f2bb37e3978b</errorID>
      <errorWord xmlns="http://schemas.wps.cn/vas-ai-hub/contract-review">提高</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增强</item>
      </candidateList>
      <explain xmlns="http://schemas.wps.cn/vas-ai-hub/contract-review">“提高～意识”搭配不当，建议修改为“增强～意识”。</explain>
      <paraID xmlns="http://schemas.wps.cn/vas-ai-hub/contract-review">5FF9589D</paraID>
      <start xmlns="http://schemas.wps.cn/vas-ai-hub/contract-review">105</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7cb72578-cff1-4040-960d-67dc8ca640a6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115D58E5</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d1fe02dc-2ae5-4986-9d0f-b78e4652f609}">
  <ds:schemaRefs/>
</ds:datastoreItem>
</file>

<file path=docProps/app.xml><?xml version="1.0" encoding="utf-8"?>
<Properties xmlns="http://schemas.openxmlformats.org/officeDocument/2006/extended-properties" xmlns:vt="http://schemas.openxmlformats.org/officeDocument/2006/docPropsVTypes">
  <Template>Normal</Template>
  <Pages>6</Pages>
  <Words>3006</Words>
  <Characters>3075</Characters>
  <Lines>77</Lines>
  <Paragraphs>46</Paragraphs>
  <TotalTime>18</TotalTime>
  <ScaleCrop>false</ScaleCrop>
  <LinksUpToDate>false</LinksUpToDate>
  <CharactersWithSpaces>3078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2025-11-28T07:23:00Z</dcterms:created>
  <dc:creator>dong hao</dc:creator>
  <cp:lastModifiedBy>user</cp:lastModifiedBy>
  <dcterms:modified xsi:type="dcterms:W3CDTF">2026-03-20T16:20:33Z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F044CA28D8072A0B529C3F6902925920_42</vt:lpwstr>
  </property>
  <property fmtid="{D5CDD505-2E9C-101B-9397-08002B2CF9AE}" pid="4" name="KSOTemplateDocerSaveRecord">
    <vt:lpwstr>eyJoZGlkIjoiMGU3M2U2NzEwNTZmNTk2Mjk1MjBlYzY0MTM1MzM0YTUiLCJ1c2VySWQiOiI2Mzc1MDI3OTEifQ==</vt:lpwstr>
  </property>
</Properties>
</file>