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02F0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国家税务总局北京市东城区税务局</w:t>
      </w:r>
    </w:p>
    <w:p w14:paraId="7E0927F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2025年法治政府建设年度情况报告</w:t>
      </w:r>
    </w:p>
    <w:p w14:paraId="421F03C7">
      <w:pPr>
        <w:spacing w:line="560" w:lineRule="exact"/>
        <w:ind w:firstLine="640" w:firstLineChars="200"/>
        <w:rPr>
          <w:rFonts w:hint="default" w:ascii="Times New Roman" w:hAnsi="Times New Roman" w:eastAsia="仿宋_GB2312" w:cs="Times New Roman"/>
          <w:color w:val="auto"/>
          <w:sz w:val="32"/>
          <w:szCs w:val="32"/>
          <w:highlight w:val="none"/>
        </w:rPr>
      </w:pPr>
    </w:p>
    <w:p w14:paraId="6B2B2061">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按照《法治政府建设实施纲要（2021－2025年）》</w:t>
      </w:r>
      <w:r>
        <w:rPr>
          <w:rFonts w:hint="default" w:ascii="Times New Roman" w:hAnsi="Times New Roman" w:eastAsia="仿宋_GB2312" w:cs="Times New Roman"/>
          <w:color w:val="auto"/>
          <w:sz w:val="32"/>
          <w:szCs w:val="32"/>
          <w:highlight w:val="none"/>
          <w:lang w:eastAsia="zh-CN"/>
        </w:rPr>
        <w:t>以及</w:t>
      </w:r>
      <w:r>
        <w:rPr>
          <w:rFonts w:hint="default" w:ascii="Times New Roman" w:hAnsi="Times New Roman" w:eastAsia="仿宋_GB2312" w:cs="Times New Roman"/>
          <w:color w:val="auto"/>
          <w:sz w:val="32"/>
          <w:szCs w:val="32"/>
          <w:highlight w:val="none"/>
        </w:rPr>
        <w:t>《法治政府建设与责任落实督察工作规定》相关要求，国家税务总局北京市东城区税务局（以下简称“我局”）依法行政工作领导小组统筹协调，严格贯彻纲要措施、落实规划要求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积极对照法治税务建设标准开展创建活动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现将我局</w:t>
      </w: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年度法治政府建设情况报告如下：</w:t>
      </w:r>
    </w:p>
    <w:p w14:paraId="16FAF836">
      <w:pPr>
        <w:keepNext w:val="0"/>
        <w:keepLines w:val="0"/>
        <w:pageBreakBefore w:val="0"/>
        <w:numPr>
          <w:ilvl w:val="0"/>
          <w:numId w:val="0"/>
        </w:numPr>
        <w:kinsoku/>
        <w:wordWrap/>
        <w:topLinePunct w:val="0"/>
        <w:autoSpaceDE/>
        <w:autoSpaceDN/>
        <w:bidi w:val="0"/>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lang w:val="en-US" w:eastAsia="zh-CN"/>
        </w:rPr>
        <w:t>2025</w:t>
      </w:r>
      <w:r>
        <w:rPr>
          <w:rFonts w:hint="default" w:ascii="Times New Roman" w:hAnsi="Times New Roman" w:eastAsia="黑体" w:cs="Times New Roman"/>
          <w:color w:val="auto"/>
          <w:sz w:val="32"/>
          <w:szCs w:val="32"/>
          <w:highlight w:val="none"/>
        </w:rPr>
        <w:t>年推进法治政府建设的主要举措和成效</w:t>
      </w:r>
    </w:p>
    <w:p w14:paraId="48519ACD">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局全面开展法治税务建设，不断加强依法治税推进工作的计划性和可执行性，将依法治税工作与税收工作同部署、同落实、同促进。坚持依法决策、规范执行、严密监督、共同推进，坚持法治化、规范化、信息化一体建设，最大限度规范税务人，最大限度便利纳税人，促进税法遵从。</w:t>
      </w:r>
    </w:p>
    <w:p w14:paraId="5478BBE3">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（一）深入学习贯彻习近平法治思想，奋力开创新时代全面依法治税新局面</w:t>
      </w:r>
    </w:p>
    <w:p w14:paraId="2CAA2C9D">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FF"/>
          <w:sz w:val="32"/>
          <w:szCs w:val="32"/>
          <w:highlight w:val="none"/>
          <w:lang w:val="en-US" w:eastAsia="zh-CN"/>
        </w:rPr>
      </w:pPr>
      <w:r>
        <w:rPr>
          <w:rFonts w:hint="default" w:ascii="Times New Roman" w:hAnsi="Times New Roman" w:eastAsia="仿宋_GB2312" w:cs="Times New Roman"/>
          <w:color w:val="auto"/>
          <w:sz w:val="32"/>
          <w:szCs w:val="32"/>
          <w:highlight w:val="none"/>
        </w:rPr>
        <w:t>习近平法治思想确定了全面推进依法治国的总蓝图、路线图、施工图，阐明了全面依法治国的关键和根本问题，提出了法治中国建设的新命题、新思想、新论断，为马克思主义法治思想宝库增添了新篇章。依法治税是依法治国的重要组成部分，税务部门必须全面贯彻习近平法治思想，不断开创依法治税工作新局面。我局通过多种形式对习近平总书记关于全面依法治国的重要论述、全面依法治国的重要部署、宪法及中国特色社会主义法律体系以及与税收工作有关的法律法规和党内法规等重点内容开展宣传和学习。</w:t>
      </w:r>
      <w:r>
        <w:rPr>
          <w:rFonts w:hint="default" w:ascii="Times New Roman" w:hAnsi="Times New Roman" w:eastAsia="仿宋_GB2312" w:cs="Times New Roman"/>
          <w:color w:val="auto"/>
          <w:sz w:val="32"/>
          <w:szCs w:val="32"/>
          <w:highlight w:val="none"/>
          <w:lang w:eastAsia="zh-CN"/>
        </w:rPr>
        <w:t>以国家税务总局“强基工程”为目标，</w:t>
      </w:r>
      <w:r>
        <w:rPr>
          <w:rFonts w:hint="default" w:ascii="Times New Roman" w:hAnsi="Times New Roman" w:eastAsia="仿宋_GB2312" w:cs="Times New Roman"/>
          <w:color w:val="auto"/>
          <w:sz w:val="32"/>
          <w:szCs w:val="32"/>
          <w:highlight w:val="none"/>
          <w:lang w:val="en-US" w:eastAsia="zh-CN"/>
        </w:rPr>
        <w:t>依托我局“3+2+2”工作机制，做好我局规范执法工作和税费优惠政策落实工作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主动作为，以内外部发现问题和基层难题整改为主线，夯实基础工作，提升精确执法工作质效；通过内控管理、监督检查和一体化综合监督相结合，把各项重点工作抓实抓深。</w:t>
      </w:r>
    </w:p>
    <w:p w14:paraId="000D3FAD">
      <w:pPr>
        <w:pStyle w:val="9"/>
        <w:keepNext w:val="0"/>
        <w:keepLines w:val="0"/>
        <w:pageBreakBefore w:val="0"/>
        <w:numPr>
          <w:ilvl w:val="0"/>
          <w:numId w:val="1"/>
        </w:numPr>
        <w:kinsoku/>
        <w:wordWrap/>
        <w:topLinePunct w:val="0"/>
        <w:autoSpaceDE/>
        <w:autoSpaceDN/>
        <w:bidi w:val="0"/>
        <w:snapToGrid w:val="0"/>
        <w:spacing w:line="560" w:lineRule="exact"/>
        <w:ind w:left="-10" w:leftChars="0" w:firstLine="640" w:firstLineChars="0"/>
        <w:jc w:val="left"/>
        <w:rPr>
          <w:rFonts w:hint="default" w:ascii="Times New Roman" w:hAnsi="Times New Roman" w:eastAsia="楷体" w:cs="Times New Roman"/>
          <w:color w:val="auto"/>
          <w:sz w:val="32"/>
          <w:szCs w:val="32"/>
          <w:highlight w:val="none"/>
        </w:rPr>
      </w:pPr>
      <w:r>
        <w:rPr>
          <w:rFonts w:hint="default" w:ascii="Times New Roman" w:hAnsi="Times New Roman" w:eastAsia="楷体_GB2312" w:cs="Times New Roman"/>
          <w:color w:val="auto"/>
          <w:sz w:val="32"/>
          <w:szCs w:val="32"/>
          <w:highlight w:val="none"/>
        </w:rPr>
        <w:t>健全政府机构职能体系，依法全面履行税收工作职能</w:t>
      </w:r>
    </w:p>
    <w:p w14:paraId="085C7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依法依规组织税费收入。</w:t>
      </w:r>
      <w:r>
        <w:rPr>
          <w:rFonts w:hint="default" w:ascii="Times New Roman" w:hAnsi="Times New Roman" w:eastAsia="仿宋_GB2312" w:cs="Times New Roman"/>
          <w:color w:val="auto"/>
          <w:sz w:val="32"/>
          <w:szCs w:val="32"/>
          <w:highlight w:val="none"/>
          <w:lang w:eastAsia="zh-CN"/>
        </w:rPr>
        <w:t>发挥政策和收入联席办职能，</w:t>
      </w:r>
      <w:r>
        <w:rPr>
          <w:rFonts w:hint="default" w:ascii="Times New Roman" w:hAnsi="Times New Roman" w:eastAsia="仿宋_GB2312" w:cs="Times New Roman"/>
          <w:color w:val="auto"/>
          <w:sz w:val="32"/>
          <w:szCs w:val="32"/>
          <w:highlight w:val="none"/>
        </w:rPr>
        <w:t>紧密依托东城区财源专班，加强税源摸底，强化税收分析预测，依法依规、科学合理组织收入。</w:t>
      </w:r>
    </w:p>
    <w:p w14:paraId="3211D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坚决贯彻落实退税减税政策。将落实税费支持政策作为一项重大政治任务扛牢抓实，在宣传辅导、优化流程、风险防控等方面做好基层落实，体现东城特色。</w:t>
      </w:r>
    </w:p>
    <w:p w14:paraId="652DCA7C">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3.常态</w:t>
      </w:r>
      <w:r>
        <w:rPr>
          <w:rFonts w:hint="default" w:ascii="Times New Roman" w:hAnsi="Times New Roman" w:eastAsia="仿宋_GB2312" w:cs="Times New Roman"/>
          <w:color w:val="auto"/>
          <w:kern w:val="2"/>
          <w:sz w:val="32"/>
          <w:szCs w:val="32"/>
          <w:highlight w:val="none"/>
          <w:lang w:val="en-US" w:eastAsia="zh-CN" w:bidi="ar-SA"/>
        </w:rPr>
        <w:t>化开展基层内部风险提示。</w:t>
      </w:r>
      <w:r>
        <w:rPr>
          <w:rFonts w:hint="default" w:ascii="Times New Roman" w:hAnsi="Times New Roman" w:eastAsia="仿宋_GB2312" w:cs="Times New Roman"/>
          <w:color w:val="auto"/>
          <w:kern w:val="2"/>
          <w:sz w:val="32"/>
          <w:szCs w:val="32"/>
          <w:lang w:val="en-US" w:eastAsia="zh-CN" w:bidi="ar-SA"/>
        </w:rPr>
        <w:t>结合内外部监督检查及审计反映的主要问题，定期对政策执行环节暴露的流失隐患和监管薄弱环节排查研判，总结归纳各项政策落实工作中涉及的高频风险事项，梳理总结需要重点关注的风险事项。</w:t>
      </w:r>
    </w:p>
    <w:p w14:paraId="46236EBF">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（三）</w:t>
      </w:r>
      <w:r>
        <w:rPr>
          <w:rFonts w:hint="default" w:ascii="Times New Roman" w:hAnsi="Times New Roman" w:eastAsia="楷体_GB2312" w:cs="Times New Roman"/>
          <w:color w:val="auto"/>
          <w:kern w:val="2"/>
          <w:sz w:val="32"/>
          <w:szCs w:val="32"/>
          <w:highlight w:val="none"/>
          <w:lang w:val="en-US" w:eastAsia="zh-CN" w:bidi="ar-SA"/>
        </w:rPr>
        <w:t>持续优化税收营商环境，切实提升纳税人缴费人满意度</w:t>
      </w:r>
    </w:p>
    <w:p w14:paraId="19C0C668">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2"/>
          <w:sz w:val="32"/>
          <w:szCs w:val="32"/>
          <w:lang w:val="en-US" w:eastAsia="zh-CN" w:bidi="ar-SA"/>
        </w:rPr>
        <w:t>制定《东城区税务局2025年纳税服务工作水平提升方案》，建立“营商环境暨满意度调查无感指标三级防控机制”。制定2025年“便民办税春风行动”工作方案并完善工作任务表，打造“新办纳税人开业第一课”系列活动，向新办企业人员发放我局自己设计制作的“征期日历”；依托“小东说税”，制作《新办纳税人开业第一课》宣传视频，通过公众号发布《新办纳税人必学小课堂》系列内容，形成宣传矩阵</w:t>
      </w:r>
      <w:r>
        <w:rPr>
          <w:rFonts w:hint="default" w:ascii="Times New Roman" w:hAnsi="Times New Roman" w:eastAsia="仿宋_GB2312" w:cs="Times New Roman"/>
          <w:color w:val="auto"/>
          <w:sz w:val="32"/>
          <w:szCs w:val="32"/>
          <w:lang w:val="zh-CN" w:eastAsia="zh-CN"/>
        </w:rPr>
        <w:t>。</w:t>
      </w:r>
    </w:p>
    <w:p w14:paraId="502E74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（四）</w:t>
      </w:r>
      <w:r>
        <w:rPr>
          <w:rFonts w:hint="default" w:ascii="Times New Roman" w:hAnsi="Times New Roman" w:eastAsia="楷体_GB2312" w:cs="Times New Roman"/>
          <w:color w:val="auto"/>
          <w:sz w:val="32"/>
          <w:szCs w:val="32"/>
          <w:highlight w:val="none"/>
        </w:rPr>
        <w:t>主动探索创新，不断丰富深化征管改革东城经验</w:t>
      </w:r>
    </w:p>
    <w:p w14:paraId="4BEBCE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sz w:val="32"/>
          <w:szCs w:val="32"/>
          <w:lang w:val="en-US" w:eastAsia="zh-CN"/>
        </w:rPr>
      </w:pPr>
      <w:r>
        <w:rPr>
          <w:rFonts w:hint="default" w:ascii="Times New Roman" w:hAnsi="Times New Roman" w:eastAsia="仿宋_GB2312" w:cs="Times New Roman"/>
          <w:b w:val="0"/>
          <w:bCs w:val="0"/>
          <w:sz w:val="32"/>
          <w:szCs w:val="32"/>
          <w:highlight w:val="none"/>
          <w:lang w:val="en-US" w:eastAsia="zh-CN"/>
        </w:rPr>
        <w:t>落实税收“强基工程”，进一步增强深化税收征管改革的责任感、紧迫感，紧扣深入实施数字化转型条件下税费征管“强基工程”的核心任务。一是数据基础提质增效。完善征管数据采集规范，强化跨部门共享机制，联合各部门制定“强基工程”实施计划；二是强化征管质效，落地数字化转型。按月分析征管差异，夯实税源管理基础；开展发票管理、信息化两项专项整治，规范执法流程；持续聚焦数据赋能与流程优化，助力征管基础再升级。</w:t>
      </w:r>
    </w:p>
    <w:p w14:paraId="095890DD">
      <w:pPr>
        <w:keepNext w:val="0"/>
        <w:keepLines w:val="0"/>
        <w:pageBreakBefore w:val="0"/>
        <w:widowControl w:val="0"/>
        <w:numPr>
          <w:ilvl w:val="0"/>
          <w:numId w:val="0"/>
        </w:numPr>
        <w:pBdr>
          <w:top w:val="none" w:color="000000" w:sz="0" w:space="1"/>
          <w:left w:val="none" w:color="000000" w:sz="0" w:space="0"/>
          <w:bottom w:val="none" w:color="000000" w:sz="0" w:space="11"/>
          <w:right w:val="none" w:color="000000" w:sz="0" w:space="10"/>
        </w:pBdr>
        <w:kinsoku/>
        <w:wordWrap/>
        <w:overflowPunct w:val="0"/>
        <w:topLinePunct w:val="0"/>
        <w:autoSpaceDE/>
        <w:autoSpaceDN/>
        <w:bidi w:val="0"/>
        <w:adjustRightInd w:val="0"/>
        <w:snapToGrid w:val="0"/>
        <w:spacing w:line="560" w:lineRule="exact"/>
        <w:ind w:firstLine="640" w:firstLineChars="200"/>
        <w:jc w:val="left"/>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持续开展慧办平台推广，针对税务所慧办平台使用中难点问题，明确慧办平台工作要求，由金四办统筹协调各税政部门，制定慧办平台操作手册模板及更新机制，从而规范业务办理标准；认真分析慧办平台待办数据，积极与市局业务组反馈慧办平台相关的意见建议，针对“未办税户管理”“税费种认定”等涉及功能及数据问题整理汇总并上报市局。</w:t>
      </w:r>
    </w:p>
    <w:p w14:paraId="2EE51CEC">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（五）完善监督体系，推动监督执纪有力高效</w:t>
      </w:r>
    </w:p>
    <w:p w14:paraId="342504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开展“同沐清风，共筑平安”廉洁家书活动，学习教育期间寄出113封家书，收到24名干部家属回信，编印《守望·清风》家属回信专刊，形成了家庭助廉的良好效果。举办机关开放日活动，向干部家属介绍我局及税务干部工作情况，充分发挥税务干部家属“八小时外”的守护监督作用。</w:t>
      </w:r>
    </w:p>
    <w:p w14:paraId="34AF4E27">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2.持续“云端教育”形式，在重要时间节点运用多媒体方式制作廉政提醒小贴士，以各种方式组织全局各部门开展廉政教育和案例警示教育。</w:t>
      </w:r>
    </w:p>
    <w:p w14:paraId="06BA6652">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TW" w:eastAsia="zh-CN" w:bidi="ar-SA"/>
        </w:rPr>
        <w:t>做细廉政教育。</w:t>
      </w:r>
      <w:r>
        <w:rPr>
          <w:rFonts w:hint="default" w:ascii="Times New Roman" w:hAnsi="Times New Roman" w:eastAsia="仿宋_GB2312" w:cs="Times New Roman"/>
          <w:color w:val="auto"/>
          <w:kern w:val="2"/>
          <w:sz w:val="32"/>
          <w:szCs w:val="32"/>
          <w:highlight w:val="none"/>
          <w:lang w:val="en-US" w:eastAsia="zh-CN" w:bidi="ar-SA"/>
        </w:rPr>
        <w:t>落实季度警示教育机制</w:t>
      </w:r>
      <w:r>
        <w:rPr>
          <w:rFonts w:hint="default" w:ascii="Times New Roman" w:hAnsi="Times New Roman" w:eastAsia="仿宋_GB2312" w:cs="Times New Roman"/>
          <w:color w:val="auto"/>
          <w:kern w:val="2"/>
          <w:sz w:val="32"/>
          <w:szCs w:val="32"/>
          <w:highlight w:val="none"/>
          <w:lang w:val="zh-TW" w:eastAsia="zh-CN" w:bidi="ar-SA"/>
        </w:rPr>
        <w:t>，组织全局性廉政教育，传达违纪违法典型案例。组织开展参观区纪委全面从严治党警示教育基地等活动，做实教育引导。</w:t>
      </w:r>
      <w:r>
        <w:rPr>
          <w:rFonts w:hint="default" w:ascii="Times New Roman" w:hAnsi="Times New Roman" w:eastAsia="仿宋_GB2312" w:cs="Times New Roman"/>
          <w:color w:val="auto"/>
          <w:kern w:val="2"/>
          <w:sz w:val="32"/>
          <w:szCs w:val="32"/>
          <w:highlight w:val="none"/>
          <w:lang w:val="en-US" w:eastAsia="zh-CN" w:bidi="ar-SA"/>
        </w:rPr>
        <w:t>组织开展纪法知识测试，做到以测促学，筑牢防线。</w:t>
      </w:r>
    </w:p>
    <w:p w14:paraId="79B3BAB4">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六</w:t>
      </w: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弘扬宪法精神，建设社会主义法治文化</w:t>
      </w:r>
    </w:p>
    <w:p w14:paraId="6A68E66D">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b w:val="0"/>
          <w:bCs w:val="0"/>
          <w:i w:val="0"/>
          <w:iCs w:val="0"/>
          <w:caps w:val="0"/>
          <w:color w:val="auto"/>
          <w:spacing w:val="4"/>
          <w:sz w:val="32"/>
          <w:szCs w:val="32"/>
          <w:shd w:val="clear" w:fill="FFFFFF"/>
          <w:lang w:val="en-US" w:eastAsia="zh-CN"/>
        </w:rPr>
        <w:t>税</w:t>
      </w:r>
      <w:r>
        <w:rPr>
          <w:rFonts w:hint="default" w:ascii="Times New Roman" w:hAnsi="Times New Roman" w:eastAsia="仿宋_GB2312" w:cs="Times New Roman"/>
          <w:color w:val="auto"/>
          <w:kern w:val="2"/>
          <w:sz w:val="32"/>
          <w:szCs w:val="32"/>
          <w:highlight w:val="none"/>
          <w:lang w:val="en-US" w:eastAsia="zh-CN" w:bidi="ar-SA"/>
        </w:rPr>
        <w:t>务新青年 税收“宪”在时——国家税务总局北京市东城区税务局开展宪法宣誓仪式。</w:t>
      </w:r>
    </w:p>
    <w:p w14:paraId="5679FFDA">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12月2日，东城区税务局以“税务新青年 税收‘宪’在时”为主题，组织新入职公务员前往北京税务博物馆参观学习，并举行了一场庄重而神圣的宪法宣誓仪式。在宣誓仪式上，青年干部面对国旗，右手握拳，庄严宣誓，承诺将忠于宪法和法律，依法行政，廉洁奉公。在博物馆内，新入职公务员通过深入了解税务历史展览，对税收制度的演变和依法治税的重要性有了更深刻的认识。参与活动的年轻干部表示，将牢记国旗下的庄严宣誓，系好依法治税的</w:t>
      </w:r>
      <w:r>
        <w:rPr>
          <w:rFonts w:hint="eastAsia" w:ascii="Times New Roman" w:hAnsi="Times New Roman" w:eastAsia="仿宋_GB2312" w:cs="Times New Roman"/>
          <w:color w:val="auto"/>
          <w:kern w:val="2"/>
          <w:sz w:val="32"/>
          <w:szCs w:val="32"/>
          <w:highlight w:val="none"/>
          <w:lang w:val="en-US" w:eastAsia="zh-CN" w:bidi="ar-SA"/>
        </w:rPr>
        <w:t>第一粒扣子</w:t>
      </w:r>
      <w:r>
        <w:rPr>
          <w:rFonts w:hint="default" w:ascii="Times New Roman" w:hAnsi="Times New Roman" w:eastAsia="仿宋_GB2312" w:cs="Times New Roman"/>
          <w:color w:val="auto"/>
          <w:kern w:val="2"/>
          <w:sz w:val="32"/>
          <w:szCs w:val="32"/>
          <w:highlight w:val="none"/>
          <w:lang w:val="en-US" w:eastAsia="zh-CN" w:bidi="ar-SA"/>
        </w:rPr>
        <w:t>，为职业生涯奠定坚实的法治基石。</w:t>
      </w:r>
    </w:p>
    <w:p w14:paraId="426EAEEE">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2.学习宣传贯彻习近平法治思想，推动宪法深入人心</w:t>
      </w:r>
    </w:p>
    <w:p w14:paraId="2EB6025B">
      <w:pPr>
        <w:keepNext w:val="0"/>
        <w:keepLines w:val="0"/>
        <w:pageBreakBefore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联合东城区新开路东总布小学开展2025年“宪法宣传周”主题活动，东城局新入职公务员携手小学学生在北京税务博物馆共同完成了税史探索之旅、税收知识竞赛，并将对国家税收事业的美好愿景载入“纸飞机”。活动结束后，税务干部向参与学生赠送《我的税收“第一课”》税法宣传图书。</w:t>
      </w:r>
    </w:p>
    <w:p w14:paraId="023A0453">
      <w:pPr>
        <w:keepNext w:val="0"/>
        <w:keepLines w:val="0"/>
        <w:pageBreakBefore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3.参加区“宪法宣传周”活动，宪法精神入脑入心</w:t>
      </w:r>
    </w:p>
    <w:p w14:paraId="7B70E047">
      <w:pPr>
        <w:keepNext w:val="0"/>
        <w:keepLines w:val="0"/>
        <w:pageBreakBefore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12月1日，根据东城区委部署，我局干部参加了区“宪法宣传周”活动，观看了区“八五”普法成果。让我局干部在宣传税法、交流经验的同时接受了一次别开生面的法治教育。</w:t>
      </w:r>
    </w:p>
    <w:p w14:paraId="1719E052">
      <w:pPr>
        <w:keepNext w:val="0"/>
        <w:keepLines w:val="0"/>
        <w:pageBreakBefore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4.提高全局法治</w:t>
      </w:r>
      <w:r>
        <w:rPr>
          <w:rFonts w:hint="eastAsia" w:ascii="Times New Roman" w:hAnsi="Times New Roman" w:eastAsia="仿宋_GB2312" w:cs="Times New Roman"/>
          <w:color w:val="auto"/>
          <w:kern w:val="2"/>
          <w:sz w:val="32"/>
          <w:szCs w:val="32"/>
          <w:highlight w:val="none"/>
          <w:lang w:val="en-US" w:eastAsia="zh-CN" w:bidi="ar-SA"/>
        </w:rPr>
        <w:t>素养</w:t>
      </w:r>
    </w:p>
    <w:p w14:paraId="04AFA23B">
      <w:pPr>
        <w:keepNext w:val="0"/>
        <w:keepLines w:val="0"/>
        <w:pageBreakBefore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组织局机关各部门参观中国法院博物馆。在第五个“民法典宣传月”期间，于5月19日下午组织机关干部20余人参观中国法院博物馆。中国法院博物馆是集历史陈列、法治教育、文化展示于一体的专业博物馆，通过讲解员的详细讲解、通过丰富的展示内容和沉浸式体验式项目，为我局干部呈现了一堂生动的“法治公开课”。从西周的“五听”断狱法，到唐朝完备的法律体系《唐律疏议》，每一件展品背后都蕴含着丰富的法治思想，让大家深刻感受到中华法治文明的博大精深。二是组织干部观摩区司法局等多个单位联合组织策划的东城区“民法典进企业”知识竞赛活动，提升了</w:t>
      </w:r>
      <w:r>
        <w:rPr>
          <w:rFonts w:hint="eastAsia" w:ascii="Times New Roman" w:hAnsi="Times New Roman" w:eastAsia="仿宋_GB2312" w:cs="Times New Roman"/>
          <w:sz w:val="32"/>
          <w:szCs w:val="32"/>
          <w:lang w:val="en-US" w:eastAsia="zh-CN"/>
        </w:rPr>
        <w:t>法治</w:t>
      </w:r>
      <w:r>
        <w:rPr>
          <w:rFonts w:hint="default" w:ascii="Times New Roman" w:hAnsi="Times New Roman" w:eastAsia="仿宋_GB2312" w:cs="Times New Roman"/>
          <w:sz w:val="32"/>
          <w:szCs w:val="32"/>
          <w:lang w:val="en-US" w:eastAsia="zh-CN"/>
        </w:rPr>
        <w:t>素养，积累了普法宣传经验，拓宽了对创新普法宣传形式的认知，为今后组织开展宣传活动积累了有益经验。</w:t>
      </w:r>
    </w:p>
    <w:p w14:paraId="149237FA">
      <w:pPr>
        <w:keepNext w:val="0"/>
        <w:keepLines w:val="0"/>
        <w:pageBreakBefore w:val="0"/>
        <w:widowControl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w:t>
      </w:r>
      <w:r>
        <w:rPr>
          <w:rFonts w:hint="default" w:ascii="Times New Roman" w:hAnsi="Times New Roman" w:eastAsia="黑体" w:cs="Times New Roman"/>
          <w:color w:val="auto"/>
          <w:kern w:val="0"/>
          <w:sz w:val="32"/>
          <w:szCs w:val="32"/>
          <w:highlight w:val="none"/>
          <w:lang w:eastAsia="zh-CN"/>
        </w:rPr>
        <w:t>2025</w:t>
      </w:r>
      <w:r>
        <w:rPr>
          <w:rFonts w:hint="default" w:ascii="Times New Roman" w:hAnsi="Times New Roman" w:eastAsia="黑体" w:cs="Times New Roman"/>
          <w:color w:val="auto"/>
          <w:kern w:val="0"/>
          <w:sz w:val="32"/>
          <w:szCs w:val="32"/>
          <w:highlight w:val="none"/>
        </w:rPr>
        <w:t>年推进法治政府建设存在的不足和原因</w:t>
      </w:r>
    </w:p>
    <w:p w14:paraId="7C00C8CD">
      <w:pPr>
        <w:keepNext w:val="0"/>
        <w:keepLines w:val="0"/>
        <w:pageBreakBefore w:val="0"/>
        <w:widowControl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color w:val="auto"/>
          <w:sz w:val="32"/>
          <w:szCs w:val="32"/>
          <w:highlight w:val="none"/>
          <w:lang w:eastAsia="zh-CN"/>
        </w:rPr>
        <w:t>（一）</w:t>
      </w:r>
      <w:r>
        <w:rPr>
          <w:rFonts w:hint="default" w:ascii="Times New Roman" w:hAnsi="Times New Roman" w:eastAsia="楷体_GB2312" w:cs="Times New Roman"/>
          <w:color w:val="000000"/>
          <w:kern w:val="2"/>
          <w:sz w:val="32"/>
          <w:szCs w:val="32"/>
          <w:lang w:val="en-US" w:eastAsia="zh-CN" w:bidi="ar"/>
        </w:rPr>
        <w:t>与司法机关的定期沟通交流需加强。</w:t>
      </w:r>
      <w:r>
        <w:rPr>
          <w:rFonts w:hint="default" w:ascii="Times New Roman" w:hAnsi="Times New Roman" w:eastAsia="仿宋_GB2312" w:cs="Times New Roman"/>
          <w:color w:val="000000"/>
          <w:kern w:val="2"/>
          <w:sz w:val="32"/>
          <w:szCs w:val="32"/>
          <w:lang w:val="en-US" w:eastAsia="zh-CN" w:bidi="ar"/>
        </w:rPr>
        <w:t>与司法机关的沟通频率较低，除出庭应诉和出现案件外，日常交流较少，</w:t>
      </w:r>
      <w:r>
        <w:rPr>
          <w:rFonts w:hint="default" w:ascii="Times New Roman" w:hAnsi="Times New Roman" w:eastAsia="仿宋_GB2312" w:cs="Times New Roman"/>
          <w:sz w:val="32"/>
          <w:szCs w:val="32"/>
          <w:lang w:val="en-US" w:eastAsia="zh-CN"/>
        </w:rPr>
        <w:t>难以让司法</w:t>
      </w:r>
      <w:r>
        <w:rPr>
          <w:rFonts w:hint="default" w:ascii="Times New Roman" w:hAnsi="Times New Roman" w:eastAsia="仿宋_GB2312" w:cs="Times New Roman"/>
          <w:sz w:val="32"/>
          <w:szCs w:val="32"/>
          <w:lang w:eastAsia="zh-CN"/>
        </w:rPr>
        <w:t>部门及时深入的了解</w:t>
      </w:r>
      <w:r>
        <w:rPr>
          <w:rFonts w:hint="default" w:ascii="Times New Roman" w:hAnsi="Times New Roman" w:eastAsia="仿宋_GB2312" w:cs="Times New Roman"/>
          <w:sz w:val="32"/>
          <w:szCs w:val="32"/>
        </w:rPr>
        <w:t>税收执法动态</w:t>
      </w:r>
      <w:r>
        <w:rPr>
          <w:rFonts w:hint="default" w:ascii="Times New Roman" w:hAnsi="Times New Roman" w:eastAsia="仿宋_GB2312" w:cs="Times New Roman"/>
          <w:sz w:val="32"/>
          <w:szCs w:val="32"/>
          <w:lang w:eastAsia="zh-CN"/>
        </w:rPr>
        <w:t>、涉税法律问题及税务系统的特有业务和程序，不利于法官对案件的充分了解和判定。</w:t>
      </w:r>
    </w:p>
    <w:p w14:paraId="1CDDB007">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rPr>
        <w:t>全面税收法治观念有待进一步加强。</w:t>
      </w:r>
      <w:r>
        <w:rPr>
          <w:rFonts w:hint="default" w:ascii="Times New Roman" w:hAnsi="Times New Roman" w:eastAsia="仿宋_GB2312" w:cs="Times New Roman"/>
          <w:color w:val="auto"/>
          <w:sz w:val="32"/>
          <w:szCs w:val="32"/>
          <w:highlight w:val="none"/>
        </w:rPr>
        <w:t>部分纳税人依法诚信纳税意识还不够强，税法遵从度不高，社会协税护税的氛围还不够浓厚，同时各项法律法规、政策规定等</w:t>
      </w:r>
      <w:r>
        <w:rPr>
          <w:rFonts w:hint="default" w:ascii="Times New Roman" w:hAnsi="Times New Roman" w:eastAsia="仿宋_GB2312" w:cs="Times New Roman"/>
          <w:color w:val="auto"/>
          <w:sz w:val="32"/>
          <w:szCs w:val="32"/>
          <w:highlight w:val="none"/>
          <w:lang w:eastAsia="zh-CN"/>
        </w:rPr>
        <w:t>又不断</w:t>
      </w:r>
      <w:r>
        <w:rPr>
          <w:rFonts w:hint="default" w:ascii="Times New Roman" w:hAnsi="Times New Roman" w:eastAsia="仿宋_GB2312" w:cs="Times New Roman"/>
          <w:color w:val="auto"/>
          <w:sz w:val="32"/>
          <w:szCs w:val="32"/>
          <w:highlight w:val="none"/>
        </w:rPr>
        <w:t>更新，新的媒体媒介不断涌现，部分纳税人对此的适应能力和接受程度参差不</w:t>
      </w:r>
      <w:r>
        <w:rPr>
          <w:rFonts w:hint="default" w:ascii="Times New Roman" w:hAnsi="Times New Roman" w:eastAsia="仿宋_GB2312" w:cs="Times New Roman"/>
          <w:color w:val="auto"/>
          <w:sz w:val="32"/>
          <w:szCs w:val="32"/>
          <w:highlight w:val="none"/>
          <w:lang w:eastAsia="zh-CN"/>
        </w:rPr>
        <w:t>齐</w:t>
      </w:r>
      <w:r>
        <w:rPr>
          <w:rFonts w:hint="default" w:ascii="Times New Roman" w:hAnsi="Times New Roman" w:eastAsia="仿宋_GB2312" w:cs="Times New Roman"/>
          <w:color w:val="auto"/>
          <w:sz w:val="32"/>
          <w:szCs w:val="32"/>
          <w:highlight w:val="none"/>
        </w:rPr>
        <w:t>，税收法治宣传教育任重而道远。</w:t>
      </w:r>
    </w:p>
    <w:p w14:paraId="0FF86B4D">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w:t>
      </w:r>
      <w:r>
        <w:rPr>
          <w:rFonts w:hint="default" w:ascii="Times New Roman" w:hAnsi="Times New Roman" w:eastAsia="黑体" w:cs="Times New Roman"/>
          <w:color w:val="auto"/>
          <w:kern w:val="0"/>
          <w:sz w:val="32"/>
          <w:szCs w:val="32"/>
          <w:highlight w:val="none"/>
          <w:lang w:eastAsia="zh-CN"/>
        </w:rPr>
        <w:t>2025</w:t>
      </w:r>
      <w:r>
        <w:rPr>
          <w:rFonts w:hint="default" w:ascii="Times New Roman" w:hAnsi="Times New Roman" w:eastAsia="黑体" w:cs="Times New Roman"/>
          <w:color w:val="auto"/>
          <w:kern w:val="0"/>
          <w:sz w:val="32"/>
          <w:szCs w:val="32"/>
          <w:highlight w:val="none"/>
        </w:rPr>
        <w:t>年党政主要负责人履行推进法治建设第一责任人职责，加强法治政府建设的有关情况</w:t>
      </w:r>
    </w:p>
    <w:p w14:paraId="753E4089">
      <w:pPr>
        <w:keepNext w:val="0"/>
        <w:keepLines w:val="0"/>
        <w:pageBreakBefore w:val="0"/>
        <w:numPr>
          <w:ilvl w:val="0"/>
          <w:numId w:val="2"/>
        </w:numPr>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我局党政主要负责人认真履行推进法治建设第一责任人职责，高度重视法治政府建设</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履行主要负责人出庭应诉责任。积极参加会前学法，对新修订的《</w:t>
      </w:r>
      <w:r>
        <w:rPr>
          <w:rFonts w:hint="eastAsia" w:ascii="Times New Roman" w:hAnsi="Times New Roman" w:eastAsia="仿宋_GB2312" w:cs="Times New Roman"/>
          <w:color w:val="auto"/>
          <w:sz w:val="32"/>
          <w:szCs w:val="32"/>
          <w:highlight w:val="none"/>
          <w:lang w:eastAsia="zh-CN"/>
        </w:rPr>
        <w:t>中华人民共和国</w:t>
      </w:r>
      <w:r>
        <w:rPr>
          <w:rFonts w:hint="default" w:ascii="Times New Roman" w:hAnsi="Times New Roman" w:eastAsia="仿宋_GB2312" w:cs="Times New Roman"/>
          <w:color w:val="auto"/>
          <w:sz w:val="32"/>
          <w:szCs w:val="32"/>
          <w:highlight w:val="none"/>
          <w:lang w:eastAsia="zh-CN"/>
        </w:rPr>
        <w:t>行政复议法》和</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中华人民共和国</w:t>
      </w:r>
      <w:r>
        <w:rPr>
          <w:rFonts w:hint="default" w:ascii="Times New Roman" w:hAnsi="Times New Roman" w:eastAsia="仿宋_GB2312" w:cs="Times New Roman"/>
          <w:color w:val="auto"/>
          <w:sz w:val="32"/>
          <w:szCs w:val="32"/>
          <w:highlight w:val="none"/>
          <w:lang w:val="en-US" w:eastAsia="zh-CN"/>
        </w:rPr>
        <w:t>民法典》</w:t>
      </w:r>
      <w:r>
        <w:rPr>
          <w:rFonts w:hint="default" w:ascii="Times New Roman" w:hAnsi="Times New Roman" w:eastAsia="仿宋_GB2312" w:cs="Times New Roman"/>
          <w:color w:val="auto"/>
          <w:sz w:val="32"/>
          <w:szCs w:val="32"/>
          <w:highlight w:val="none"/>
          <w:lang w:eastAsia="zh-CN"/>
        </w:rPr>
        <w:t>进行学习，</w:t>
      </w:r>
      <w:r>
        <w:rPr>
          <w:rFonts w:hint="default" w:ascii="Times New Roman" w:hAnsi="Times New Roman" w:eastAsia="仿宋_GB2312" w:cs="Times New Roman"/>
          <w:color w:val="auto"/>
          <w:sz w:val="32"/>
          <w:szCs w:val="32"/>
          <w:highlight w:val="none"/>
          <w:lang w:val="en-US" w:eastAsia="zh-CN"/>
        </w:rPr>
        <w:t>重点研讨了在结合《</w:t>
      </w:r>
      <w:r>
        <w:rPr>
          <w:rFonts w:hint="eastAsia" w:ascii="Times New Roman" w:hAnsi="Times New Roman" w:eastAsia="仿宋_GB2312" w:cs="Times New Roman"/>
          <w:color w:val="auto"/>
          <w:sz w:val="32"/>
          <w:szCs w:val="32"/>
          <w:highlight w:val="none"/>
          <w:lang w:eastAsia="zh-CN"/>
        </w:rPr>
        <w:t>中华人民共和国</w:t>
      </w:r>
      <w:r>
        <w:rPr>
          <w:rFonts w:hint="default" w:ascii="Times New Roman" w:hAnsi="Times New Roman" w:eastAsia="仿宋_GB2312" w:cs="Times New Roman"/>
          <w:color w:val="auto"/>
          <w:sz w:val="32"/>
          <w:szCs w:val="32"/>
          <w:highlight w:val="none"/>
          <w:lang w:val="en-US" w:eastAsia="zh-CN"/>
        </w:rPr>
        <w:t>民法</w:t>
      </w:r>
      <w:r>
        <w:rPr>
          <w:rFonts w:hint="default" w:ascii="Times New Roman" w:hAnsi="Times New Roman" w:eastAsia="仿宋_GB2312" w:cs="Times New Roman"/>
          <w:b w:val="0"/>
          <w:bCs w:val="0"/>
          <w:i w:val="0"/>
          <w:caps w:val="0"/>
          <w:color w:val="000000"/>
          <w:spacing w:val="0"/>
          <w:sz w:val="32"/>
          <w:szCs w:val="32"/>
          <w:highlight w:val="none"/>
          <w:lang w:val="en-US" w:eastAsia="zh-CN"/>
        </w:rPr>
        <w:t>典》下税收征管流程的优化与调整、纳税人权益保护与执法规范等相关内容。</w:t>
      </w:r>
      <w:r>
        <w:rPr>
          <w:rFonts w:hint="default" w:ascii="Times New Roman" w:hAnsi="Times New Roman" w:eastAsia="仿宋_GB2312" w:cs="Times New Roman"/>
          <w:color w:val="auto"/>
          <w:sz w:val="32"/>
          <w:szCs w:val="32"/>
          <w:highlight w:val="none"/>
        </w:rPr>
        <w:t>带领全局干部进一步增强</w:t>
      </w:r>
      <w:r>
        <w:rPr>
          <w:rFonts w:hint="default" w:ascii="Times New Roman" w:hAnsi="Times New Roman" w:eastAsia="仿宋_GB2312" w:cs="Times New Roman"/>
          <w:color w:val="auto"/>
          <w:sz w:val="32"/>
          <w:szCs w:val="32"/>
          <w:highlight w:val="none"/>
          <w:lang w:eastAsia="zh-CN"/>
        </w:rPr>
        <w:t>了</w:t>
      </w:r>
      <w:r>
        <w:rPr>
          <w:rFonts w:hint="default" w:ascii="Times New Roman" w:hAnsi="Times New Roman" w:eastAsia="仿宋_GB2312" w:cs="Times New Roman"/>
          <w:color w:val="auto"/>
          <w:sz w:val="32"/>
          <w:szCs w:val="32"/>
          <w:highlight w:val="none"/>
        </w:rPr>
        <w:t>国家意识、公民意识、法治意识，提升履职尽责、依法行政的能力和水平，为推动全局各项工作再上新台阶增添助力。</w:t>
      </w:r>
    </w:p>
    <w:p w14:paraId="4A668144">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rPr>
        <w:t>）加强党对依法治税工作的领导。</w:t>
      </w:r>
      <w:r>
        <w:rPr>
          <w:rFonts w:hint="default" w:ascii="Times New Roman" w:hAnsi="Times New Roman" w:eastAsia="仿宋_GB2312" w:cs="Times New Roman"/>
          <w:color w:val="auto"/>
          <w:sz w:val="32"/>
          <w:szCs w:val="32"/>
          <w:highlight w:val="none"/>
        </w:rPr>
        <w:t>我局在市局和东城区委、区政府的领导下，落实好法治政府建设的各项任务，</w:t>
      </w:r>
      <w:r>
        <w:rPr>
          <w:rFonts w:hint="default" w:ascii="Times New Roman" w:hAnsi="Times New Roman" w:eastAsia="仿宋_GB2312" w:cs="Times New Roman"/>
          <w:color w:val="auto"/>
          <w:sz w:val="32"/>
          <w:szCs w:val="32"/>
          <w:highlight w:val="none"/>
          <w:lang w:eastAsia="zh-CN"/>
        </w:rPr>
        <w:t>及时</w:t>
      </w:r>
      <w:r>
        <w:rPr>
          <w:rFonts w:hint="default" w:ascii="Times New Roman" w:hAnsi="Times New Roman" w:eastAsia="仿宋_GB2312" w:cs="Times New Roman"/>
          <w:color w:val="auto"/>
          <w:sz w:val="32"/>
          <w:szCs w:val="32"/>
          <w:highlight w:val="none"/>
        </w:rPr>
        <w:t>向上级报告法治政府建设中的重大问题，及时消除制约法治政府建设的体制机制障碍。</w:t>
      </w:r>
      <w:r>
        <w:rPr>
          <w:rFonts w:hint="default" w:ascii="Times New Roman" w:hAnsi="Times New Roman" w:eastAsia="仿宋_GB2312" w:cs="Times New Roman"/>
          <w:color w:val="auto"/>
          <w:sz w:val="32"/>
          <w:szCs w:val="32"/>
          <w:highlight w:val="none"/>
          <w:lang w:eastAsia="zh-CN"/>
        </w:rPr>
        <w:t>从而</w:t>
      </w:r>
      <w:r>
        <w:rPr>
          <w:rFonts w:hint="default" w:ascii="Times New Roman" w:hAnsi="Times New Roman" w:eastAsia="仿宋_GB2312" w:cs="Times New Roman"/>
          <w:color w:val="auto"/>
          <w:sz w:val="32"/>
          <w:szCs w:val="32"/>
          <w:highlight w:val="none"/>
        </w:rPr>
        <w:t>提升</w:t>
      </w:r>
      <w:r>
        <w:rPr>
          <w:rFonts w:hint="default" w:ascii="Times New Roman" w:hAnsi="Times New Roman" w:eastAsia="仿宋_GB2312" w:cs="Times New Roman"/>
          <w:color w:val="auto"/>
          <w:sz w:val="32"/>
          <w:szCs w:val="32"/>
          <w:highlight w:val="none"/>
          <w:lang w:eastAsia="zh-CN"/>
        </w:rPr>
        <w:t>了</w:t>
      </w:r>
      <w:r>
        <w:rPr>
          <w:rFonts w:hint="default" w:ascii="Times New Roman" w:hAnsi="Times New Roman" w:eastAsia="仿宋_GB2312" w:cs="Times New Roman"/>
          <w:color w:val="auto"/>
          <w:sz w:val="32"/>
          <w:szCs w:val="32"/>
          <w:highlight w:val="none"/>
        </w:rPr>
        <w:t>基层党组织组织力，严格党员教育管理监督，提高依法治税能力。</w:t>
      </w:r>
    </w:p>
    <w:p w14:paraId="041D9903">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三</w:t>
      </w: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kern w:val="2"/>
          <w:sz w:val="32"/>
          <w:szCs w:val="32"/>
          <w:highlight w:val="none"/>
          <w:lang w:val="en-US" w:eastAsia="zh-CN" w:bidi="ar-SA"/>
        </w:rPr>
        <w:t>树立重视法治素养和法治能力的用人导向。</w:t>
      </w:r>
      <w:r>
        <w:rPr>
          <w:rFonts w:hint="default" w:ascii="Times New Roman" w:hAnsi="Times New Roman" w:eastAsia="仿宋_GB2312" w:cs="Times New Roman"/>
          <w:color w:val="auto"/>
          <w:sz w:val="32"/>
          <w:szCs w:val="32"/>
          <w:highlight w:val="none"/>
        </w:rPr>
        <w:t>严格程序，开展职务晋升工作</w:t>
      </w:r>
      <w:r>
        <w:rPr>
          <w:rFonts w:hint="default"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坚持原则不动摇，把法治观念强不强、法治素养好不好作为衡量干部德才的重要标准，把能不能遵守法律、依法办事作为考察干部重要内容。在相同条件下，优先提拔使用法治素养好、依法行政能力强的干部。</w:t>
      </w:r>
    </w:p>
    <w:p w14:paraId="1F9A836B">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四、202</w:t>
      </w:r>
      <w:r>
        <w:rPr>
          <w:rFonts w:hint="default" w:ascii="Times New Roman" w:hAnsi="Times New Roman" w:eastAsia="黑体" w:cs="Times New Roman"/>
          <w:color w:val="auto"/>
          <w:kern w:val="0"/>
          <w:sz w:val="32"/>
          <w:szCs w:val="32"/>
          <w:highlight w:val="none"/>
          <w:lang w:val="en-US" w:eastAsia="zh-CN"/>
        </w:rPr>
        <w:t>6</w:t>
      </w:r>
      <w:r>
        <w:rPr>
          <w:rFonts w:hint="default" w:ascii="Times New Roman" w:hAnsi="Times New Roman" w:eastAsia="黑体" w:cs="Times New Roman"/>
          <w:color w:val="auto"/>
          <w:kern w:val="0"/>
          <w:sz w:val="32"/>
          <w:szCs w:val="32"/>
          <w:highlight w:val="none"/>
        </w:rPr>
        <w:t>年推进法治政府建设的主要安排</w:t>
      </w:r>
    </w:p>
    <w:p w14:paraId="01949E0A">
      <w:pPr>
        <w:keepNext w:val="0"/>
        <w:keepLines w:val="0"/>
        <w:pageBreakBefore w:val="0"/>
        <w:numPr>
          <w:ilvl w:val="0"/>
          <w:numId w:val="3"/>
        </w:numPr>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继续坚持党对依法治税的领导，落实好法治政府建设的各项工作任务，全面履行税收工作职能。</w:t>
      </w:r>
      <w:r>
        <w:rPr>
          <w:rFonts w:hint="default" w:ascii="Times New Roman" w:hAnsi="Times New Roman" w:eastAsia="仿宋_GB2312" w:cs="Times New Roman"/>
          <w:color w:val="auto"/>
          <w:sz w:val="32"/>
          <w:szCs w:val="32"/>
          <w:highlight w:val="none"/>
        </w:rPr>
        <w:t>持续推进法</w:t>
      </w:r>
      <w:r>
        <w:rPr>
          <w:rFonts w:hint="default" w:ascii="Times New Roman" w:hAnsi="Times New Roman" w:eastAsia="仿宋_GB2312" w:cs="Times New Roman"/>
          <w:color w:val="auto"/>
          <w:sz w:val="32"/>
          <w:szCs w:val="32"/>
          <w:highlight w:val="none"/>
          <w:lang w:eastAsia="zh-CN"/>
        </w:rPr>
        <w:t>治</w:t>
      </w:r>
      <w:r>
        <w:rPr>
          <w:rFonts w:hint="default" w:ascii="Times New Roman" w:hAnsi="Times New Roman" w:eastAsia="仿宋_GB2312" w:cs="Times New Roman"/>
          <w:color w:val="auto"/>
          <w:sz w:val="32"/>
          <w:szCs w:val="32"/>
          <w:highlight w:val="none"/>
        </w:rPr>
        <w:t>建设，不断加强法</w:t>
      </w:r>
      <w:r>
        <w:rPr>
          <w:rFonts w:hint="default" w:ascii="Times New Roman" w:hAnsi="Times New Roman" w:eastAsia="仿宋_GB2312" w:cs="Times New Roman"/>
          <w:color w:val="auto"/>
          <w:sz w:val="32"/>
          <w:szCs w:val="32"/>
          <w:highlight w:val="none"/>
          <w:lang w:eastAsia="zh-CN"/>
        </w:rPr>
        <w:t>治</w:t>
      </w:r>
      <w:r>
        <w:rPr>
          <w:rFonts w:hint="default" w:ascii="Times New Roman" w:hAnsi="Times New Roman" w:eastAsia="仿宋_GB2312" w:cs="Times New Roman"/>
          <w:color w:val="auto"/>
          <w:sz w:val="32"/>
          <w:szCs w:val="32"/>
          <w:highlight w:val="none"/>
        </w:rPr>
        <w:t>思想。重点做到：一是聚焦学思践悟，持续深入推进习近平法治思想的贯彻落实工作。二是聚焦服务大局，充分发挥法治固根本、稳预期、利长远的重要作用。三是聚焦重点任务，真正把法治蓝图转化为法治税务工作建设的生动实践。四是聚焦群众期待，切实增强纳税人和税务干部在法治领域的获得感、幸福感、安全感。</w:t>
      </w:r>
    </w:p>
    <w:p w14:paraId="023B17CC">
      <w:pPr>
        <w:keepNext w:val="0"/>
        <w:keepLines w:val="0"/>
        <w:pageBreakBefore w:val="0"/>
        <w:numPr>
          <w:ilvl w:val="0"/>
          <w:numId w:val="0"/>
        </w:numPr>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bookmarkStart w:id="0" w:name="_GoBack"/>
      <w:r>
        <w:rPr>
          <w:rFonts w:hint="eastAsia" w:ascii="Times New Roman" w:hAnsi="Times New Roman" w:eastAsia="楷体_GB2312" w:cs="Times New Roman"/>
          <w:color w:val="auto"/>
          <w:kern w:val="2"/>
          <w:sz w:val="32"/>
          <w:szCs w:val="32"/>
          <w:lang w:val="en-US" w:eastAsia="zh-CN" w:bidi="ar"/>
        </w:rPr>
        <w:t>（</w:t>
      </w:r>
      <w:r>
        <w:rPr>
          <w:rFonts w:hint="default" w:ascii="Times New Roman" w:hAnsi="Times New Roman" w:eastAsia="楷体_GB2312" w:cs="Times New Roman"/>
          <w:color w:val="auto"/>
          <w:kern w:val="2"/>
          <w:sz w:val="32"/>
          <w:szCs w:val="32"/>
          <w:lang w:val="en-US" w:eastAsia="zh-CN" w:bidi="ar"/>
        </w:rPr>
        <w:t>二）强化</w:t>
      </w:r>
      <w:bookmarkEnd w:id="0"/>
      <w:r>
        <w:rPr>
          <w:rFonts w:hint="default" w:ascii="Times New Roman" w:hAnsi="Times New Roman" w:eastAsia="楷体_GB2312" w:cs="Times New Roman"/>
          <w:color w:val="auto"/>
          <w:kern w:val="2"/>
          <w:sz w:val="32"/>
          <w:szCs w:val="32"/>
        </w:rPr>
        <w:t>检查督查机制</w:t>
      </w:r>
      <w:r>
        <w:rPr>
          <w:rFonts w:hint="default" w:ascii="Times New Roman" w:hAnsi="Times New Roman" w:eastAsia="楷体_GB2312" w:cs="Times New Roman"/>
          <w:color w:val="auto"/>
          <w:kern w:val="2"/>
          <w:sz w:val="32"/>
          <w:szCs w:val="32"/>
          <w:lang w:eastAsia="zh-CN"/>
        </w:rPr>
        <w:t>，强化内控建设</w:t>
      </w:r>
      <w:r>
        <w:rPr>
          <w:rFonts w:hint="default" w:ascii="Times New Roman" w:hAnsi="Times New Roman" w:eastAsia="楷体_GB2312" w:cs="Times New Roman"/>
          <w:color w:val="auto"/>
          <w:kern w:val="2"/>
          <w:sz w:val="32"/>
          <w:szCs w:val="32"/>
        </w:rPr>
        <w:t>。</w:t>
      </w:r>
      <w:r>
        <w:rPr>
          <w:rFonts w:hint="default" w:ascii="Times New Roman" w:hAnsi="Times New Roman" w:eastAsia="仿宋_GB2312" w:cs="Times New Roman"/>
          <w:kern w:val="0"/>
          <w:sz w:val="32"/>
          <w:szCs w:val="32"/>
          <w:highlight w:val="none"/>
          <w:lang w:val="en-US" w:eastAsia="zh-CN" w:bidi="ar-SA"/>
        </w:rPr>
        <w:t>一是深化税收执法督察，围绕组织收入，落实、减税降费政策效应、优化税收营商环境等重点，选取几个关键领域开展深度督察。二是强化内部审计监督，继续做好财务收支审计、领导干部经济责任审计。三是推进风险导向监督，加强风险管理、法规、稽查等部门的联动，运用风险导向思路确定督察审计项目和重点，提高监督的针对性和有效性。</w:t>
      </w:r>
    </w:p>
    <w:p w14:paraId="1505617F">
      <w:pPr>
        <w:keepNext w:val="0"/>
        <w:keepLines w:val="0"/>
        <w:pageBreakBefore w:val="0"/>
        <w:pBdr>
          <w:top w:val="none" w:color="000000" w:sz="0" w:space="1"/>
          <w:left w:val="none" w:color="000000" w:sz="0" w:space="0"/>
          <w:bottom w:val="none" w:color="000000" w:sz="0" w:space="11"/>
          <w:right w:val="none" w:color="000000" w:sz="0" w:space="10"/>
        </w:pBdr>
        <w:kinsoku/>
        <w:wordWrap/>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pacing w:val="0"/>
          <w:kern w:val="2"/>
          <w:sz w:val="32"/>
          <w:szCs w:val="32"/>
          <w:highlight w:val="none"/>
          <w:lang w:val="en-US" w:eastAsia="zh-CN" w:bidi="ar-SA"/>
        </w:rPr>
        <w:t>（三）继续带动法律人才团队建设，切实发挥团队作用。</w:t>
      </w:r>
      <w:r>
        <w:rPr>
          <w:rFonts w:hint="default" w:ascii="Times New Roman" w:hAnsi="Times New Roman" w:eastAsia="仿宋_GB2312" w:cs="Times New Roman"/>
          <w:color w:val="auto"/>
          <w:sz w:val="32"/>
          <w:szCs w:val="32"/>
          <w:highlight w:val="none"/>
          <w:lang w:val="en-US" w:eastAsia="zh-CN"/>
        </w:rPr>
        <w:t>积极作为，为规范执法充实力量。</w:t>
      </w:r>
      <w:r>
        <w:rPr>
          <w:rFonts w:hint="default" w:ascii="Times New Roman" w:hAnsi="Times New Roman" w:eastAsia="仿宋_GB2312" w:cs="Times New Roman"/>
          <w:color w:val="auto"/>
          <w:sz w:val="32"/>
          <w:szCs w:val="32"/>
          <w:highlight w:val="none"/>
        </w:rPr>
        <w:t>邀请</w:t>
      </w:r>
      <w:r>
        <w:rPr>
          <w:rFonts w:hint="default" w:ascii="Times New Roman" w:hAnsi="Times New Roman" w:eastAsia="仿宋_GB2312" w:cs="Times New Roman"/>
          <w:color w:val="auto"/>
          <w:sz w:val="32"/>
          <w:szCs w:val="32"/>
          <w:highlight w:val="none"/>
          <w:lang w:eastAsia="zh-CN"/>
        </w:rPr>
        <w:t>法官</w:t>
      </w:r>
      <w:r>
        <w:rPr>
          <w:rFonts w:hint="default" w:ascii="Times New Roman" w:hAnsi="Times New Roman" w:eastAsia="仿宋_GB2312" w:cs="Times New Roman"/>
          <w:color w:val="auto"/>
          <w:sz w:val="32"/>
          <w:szCs w:val="32"/>
          <w:highlight w:val="none"/>
        </w:rPr>
        <w:t>等专业人员来我局讲座，分享行政涉诉案件的处理角度和方法，全面提高我局税务干部法律素养和能力，修正执法瑕疵，规避执法风险。</w:t>
      </w:r>
    </w:p>
    <w:p w14:paraId="390013A9">
      <w:pPr>
        <w:keepNext w:val="0"/>
        <w:keepLines w:val="0"/>
        <w:pageBreakBefore w:val="0"/>
        <w:widowControl w:val="0"/>
        <w:pBdr>
          <w:top w:val="none" w:color="000000" w:sz="0" w:space="1"/>
          <w:left w:val="none" w:color="000000" w:sz="0" w:space="0"/>
          <w:bottom w:val="none" w:color="000000" w:sz="0" w:space="11"/>
          <w:right w:val="none" w:color="000000" w:sz="0" w:space="10"/>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pacing w:val="0"/>
          <w:kern w:val="2"/>
          <w:sz w:val="32"/>
          <w:szCs w:val="32"/>
          <w:highlight w:val="none"/>
          <w:lang w:val="en-US" w:eastAsia="zh-CN" w:bidi="ar-SA"/>
        </w:rPr>
        <w:t>（四）强化与司法机关的定期沟通交流。</w:t>
      </w:r>
      <w:r>
        <w:rPr>
          <w:rFonts w:hint="default" w:ascii="Times New Roman" w:hAnsi="Times New Roman" w:eastAsia="仿宋_GB2312" w:cs="Times New Roman"/>
          <w:color w:val="auto"/>
          <w:sz w:val="32"/>
          <w:szCs w:val="32"/>
          <w:highlight w:val="none"/>
        </w:rPr>
        <w:t>定期与</w:t>
      </w:r>
      <w:r>
        <w:rPr>
          <w:rFonts w:hint="default" w:ascii="Times New Roman" w:hAnsi="Times New Roman" w:eastAsia="仿宋_GB2312" w:cs="Times New Roman"/>
          <w:color w:val="auto"/>
          <w:sz w:val="32"/>
          <w:szCs w:val="32"/>
          <w:highlight w:val="none"/>
          <w:lang w:eastAsia="zh-CN"/>
        </w:rPr>
        <w:t>司法局、</w:t>
      </w:r>
      <w:r>
        <w:rPr>
          <w:rFonts w:hint="default" w:ascii="Times New Roman" w:hAnsi="Times New Roman" w:eastAsia="仿宋_GB2312" w:cs="Times New Roman"/>
          <w:color w:val="auto"/>
          <w:sz w:val="32"/>
          <w:szCs w:val="32"/>
          <w:highlight w:val="none"/>
        </w:rPr>
        <w:t>人民法院等部门沟通税收执法动态、涉税法律问题及诉讼案件情况等，通过旁听案件、主动听取人民法院加强行政应诉工作和规范行政执法行为的意见建议，逐渐形成行政执法和行政审判的良性互动，减少不必要发生的败诉引发的舆情风险。</w:t>
      </w:r>
    </w:p>
    <w:p w14:paraId="308410D7">
      <w:pPr>
        <w:rPr>
          <w:rFonts w:hint="default" w:ascii="Times New Roman" w:hAnsi="Times New Roman" w:cs="Times New Roman"/>
          <w:color w:val="auto"/>
        </w:rPr>
      </w:pPr>
    </w:p>
    <w:p w14:paraId="7DF21EE1">
      <w:pPr>
        <w:rPr>
          <w:rFonts w:hint="default" w:ascii="Times New Roman" w:hAnsi="Times New Roman" w:cs="Times New Roman"/>
          <w:color w:val="auto"/>
        </w:rPr>
      </w:pPr>
    </w:p>
    <w:p w14:paraId="4855E6AA">
      <w:pPr>
        <w:rPr>
          <w:rFonts w:hint="default" w:ascii="Times New Roman" w:hAnsi="Times New Roman" w:cs="Times New Roman"/>
          <w:color w:val="auto"/>
          <w:highlight w:val="none"/>
        </w:rPr>
      </w:pPr>
    </w:p>
    <w:p w14:paraId="0A2B03A6">
      <w:pPr>
        <w:snapToGrid w:val="0"/>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428D">
    <w:pPr>
      <w:pStyle w:val="1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B144AEF">
                          <w:pPr>
                            <w:pStyle w:val="1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6B144AEF">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EB26F"/>
    <w:multiLevelType w:val="singleLevel"/>
    <w:tmpl w:val="BBEEB26F"/>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CDEFA3C3"/>
    <w:multiLevelType w:val="singleLevel"/>
    <w:tmpl w:val="CDEFA3C3"/>
    <w:lvl w:ilvl="0" w:tentative="0">
      <w:start w:val="1"/>
      <w:numFmt w:val="chineseCounting"/>
      <w:suff w:val="nothing"/>
      <w:lvlText w:val="（%1）"/>
      <w:lvlJc w:val="left"/>
      <w:rPr>
        <w:rFonts w:hint="eastAsia" w:ascii="楷体_GB2312" w:hAnsi="楷体_GB2312" w:eastAsia="楷体_GB2312" w:cs="楷体_GB2312"/>
      </w:rPr>
    </w:lvl>
  </w:abstractNum>
  <w:abstractNum w:abstractNumId="2">
    <w:nsid w:val="1693FDA4"/>
    <w:multiLevelType w:val="singleLevel"/>
    <w:tmpl w:val="1693FDA4"/>
    <w:lvl w:ilvl="0" w:tentative="0">
      <w:start w:val="2"/>
      <w:numFmt w:val="chineseCounting"/>
      <w:suff w:val="nothing"/>
      <w:lvlText w:val="（%1）"/>
      <w:lvlJc w:val="left"/>
      <w:pPr>
        <w:ind w:left="-1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D6007"/>
    <w:rsid w:val="00040216"/>
    <w:rsid w:val="0004533C"/>
    <w:rsid w:val="000A7D08"/>
    <w:rsid w:val="000F5160"/>
    <w:rsid w:val="000F6EC8"/>
    <w:rsid w:val="002166C8"/>
    <w:rsid w:val="0035481B"/>
    <w:rsid w:val="003D31F5"/>
    <w:rsid w:val="005A3197"/>
    <w:rsid w:val="005F79EA"/>
    <w:rsid w:val="00756843"/>
    <w:rsid w:val="007C21DD"/>
    <w:rsid w:val="008068BD"/>
    <w:rsid w:val="00835DE5"/>
    <w:rsid w:val="0088387A"/>
    <w:rsid w:val="008A2EFC"/>
    <w:rsid w:val="009303EE"/>
    <w:rsid w:val="00A37660"/>
    <w:rsid w:val="00BB5206"/>
    <w:rsid w:val="00D23E95"/>
    <w:rsid w:val="00F6258A"/>
    <w:rsid w:val="00F737C9"/>
    <w:rsid w:val="021D53D9"/>
    <w:rsid w:val="02271B42"/>
    <w:rsid w:val="0269695A"/>
    <w:rsid w:val="03C24291"/>
    <w:rsid w:val="03DE4267"/>
    <w:rsid w:val="03E33BCC"/>
    <w:rsid w:val="03E43DE1"/>
    <w:rsid w:val="04AC792F"/>
    <w:rsid w:val="05A20671"/>
    <w:rsid w:val="0742121D"/>
    <w:rsid w:val="077778E7"/>
    <w:rsid w:val="07790669"/>
    <w:rsid w:val="0891186F"/>
    <w:rsid w:val="09A27FE6"/>
    <w:rsid w:val="09B970F1"/>
    <w:rsid w:val="0A0B259D"/>
    <w:rsid w:val="0A23470F"/>
    <w:rsid w:val="0A6A7FAA"/>
    <w:rsid w:val="0AAB1131"/>
    <w:rsid w:val="0B971E18"/>
    <w:rsid w:val="0BC30125"/>
    <w:rsid w:val="0BDD215E"/>
    <w:rsid w:val="0C3E5F17"/>
    <w:rsid w:val="0C794734"/>
    <w:rsid w:val="0DC94951"/>
    <w:rsid w:val="0DD00B0A"/>
    <w:rsid w:val="0E492995"/>
    <w:rsid w:val="0E6C6129"/>
    <w:rsid w:val="0F7922A5"/>
    <w:rsid w:val="10A40495"/>
    <w:rsid w:val="11557CB3"/>
    <w:rsid w:val="123B6D9F"/>
    <w:rsid w:val="12931921"/>
    <w:rsid w:val="12CD2121"/>
    <w:rsid w:val="135B6E69"/>
    <w:rsid w:val="13A74D33"/>
    <w:rsid w:val="150E5473"/>
    <w:rsid w:val="1513309C"/>
    <w:rsid w:val="153B68FB"/>
    <w:rsid w:val="156850F1"/>
    <w:rsid w:val="15901D4E"/>
    <w:rsid w:val="15E219A5"/>
    <w:rsid w:val="16235C95"/>
    <w:rsid w:val="17E76C0A"/>
    <w:rsid w:val="19253D3E"/>
    <w:rsid w:val="196F7161"/>
    <w:rsid w:val="19AB65E8"/>
    <w:rsid w:val="19F03895"/>
    <w:rsid w:val="1A8D3C5F"/>
    <w:rsid w:val="1ABC153C"/>
    <w:rsid w:val="1AFB1BBA"/>
    <w:rsid w:val="1C3B7141"/>
    <w:rsid w:val="1C4D7484"/>
    <w:rsid w:val="1C7C1383"/>
    <w:rsid w:val="1C9C002C"/>
    <w:rsid w:val="1CCE5BB3"/>
    <w:rsid w:val="1CFC3719"/>
    <w:rsid w:val="1D0106FF"/>
    <w:rsid w:val="1DD640A1"/>
    <w:rsid w:val="1E1F377B"/>
    <w:rsid w:val="1EC6138F"/>
    <w:rsid w:val="1EE82D40"/>
    <w:rsid w:val="1EEF6587"/>
    <w:rsid w:val="1F763536"/>
    <w:rsid w:val="20586D7D"/>
    <w:rsid w:val="20906B5F"/>
    <w:rsid w:val="22912B30"/>
    <w:rsid w:val="23126BC4"/>
    <w:rsid w:val="231A67A1"/>
    <w:rsid w:val="23FC16DE"/>
    <w:rsid w:val="24046CC0"/>
    <w:rsid w:val="2407335E"/>
    <w:rsid w:val="25375619"/>
    <w:rsid w:val="257C3AAD"/>
    <w:rsid w:val="25815BD5"/>
    <w:rsid w:val="26255502"/>
    <w:rsid w:val="26C16214"/>
    <w:rsid w:val="26D42054"/>
    <w:rsid w:val="273A7F15"/>
    <w:rsid w:val="27535906"/>
    <w:rsid w:val="27C81D30"/>
    <w:rsid w:val="27F02FB5"/>
    <w:rsid w:val="283818E0"/>
    <w:rsid w:val="28AE0A2A"/>
    <w:rsid w:val="29766A14"/>
    <w:rsid w:val="29B80C90"/>
    <w:rsid w:val="2A2962F1"/>
    <w:rsid w:val="2A456B96"/>
    <w:rsid w:val="2A4C02A1"/>
    <w:rsid w:val="2B3B64D2"/>
    <w:rsid w:val="2B8550B5"/>
    <w:rsid w:val="2BEE419D"/>
    <w:rsid w:val="2C914FA0"/>
    <w:rsid w:val="2CEB13DA"/>
    <w:rsid w:val="2DB12D0F"/>
    <w:rsid w:val="2E781B17"/>
    <w:rsid w:val="2E9E220B"/>
    <w:rsid w:val="2EB66C7F"/>
    <w:rsid w:val="2F272317"/>
    <w:rsid w:val="2F50626C"/>
    <w:rsid w:val="2F7C6A98"/>
    <w:rsid w:val="2F845E58"/>
    <w:rsid w:val="2F9622B6"/>
    <w:rsid w:val="2FF37827"/>
    <w:rsid w:val="309B5FBF"/>
    <w:rsid w:val="30C44E50"/>
    <w:rsid w:val="30D64D6A"/>
    <w:rsid w:val="316F3785"/>
    <w:rsid w:val="31C414A3"/>
    <w:rsid w:val="324A532D"/>
    <w:rsid w:val="32520B38"/>
    <w:rsid w:val="326A2E97"/>
    <w:rsid w:val="32FE298F"/>
    <w:rsid w:val="33773408"/>
    <w:rsid w:val="33D161CF"/>
    <w:rsid w:val="342E6F54"/>
    <w:rsid w:val="344D3446"/>
    <w:rsid w:val="359F62A3"/>
    <w:rsid w:val="36327BCF"/>
    <w:rsid w:val="368B2BF8"/>
    <w:rsid w:val="376F7D0D"/>
    <w:rsid w:val="37BB0511"/>
    <w:rsid w:val="385065D8"/>
    <w:rsid w:val="389E6877"/>
    <w:rsid w:val="38E52A3A"/>
    <w:rsid w:val="393F7C08"/>
    <w:rsid w:val="398A5ADF"/>
    <w:rsid w:val="39BF540B"/>
    <w:rsid w:val="3A0518FD"/>
    <w:rsid w:val="3A5E73CA"/>
    <w:rsid w:val="3A7006B5"/>
    <w:rsid w:val="3AEF524C"/>
    <w:rsid w:val="3AFB5234"/>
    <w:rsid w:val="3BA072C8"/>
    <w:rsid w:val="3CE67DAC"/>
    <w:rsid w:val="3D0D0163"/>
    <w:rsid w:val="3D711F53"/>
    <w:rsid w:val="3D956BCB"/>
    <w:rsid w:val="3E0767AA"/>
    <w:rsid w:val="3E64030F"/>
    <w:rsid w:val="3E6E6685"/>
    <w:rsid w:val="3EA32135"/>
    <w:rsid w:val="40140C2A"/>
    <w:rsid w:val="402B0397"/>
    <w:rsid w:val="41B11FB8"/>
    <w:rsid w:val="42FB37D7"/>
    <w:rsid w:val="43D32FF9"/>
    <w:rsid w:val="45910666"/>
    <w:rsid w:val="45DE26EC"/>
    <w:rsid w:val="4768280A"/>
    <w:rsid w:val="476F7545"/>
    <w:rsid w:val="47C4772A"/>
    <w:rsid w:val="483139E9"/>
    <w:rsid w:val="48A418B6"/>
    <w:rsid w:val="49971142"/>
    <w:rsid w:val="49AD43B8"/>
    <w:rsid w:val="49AD5334"/>
    <w:rsid w:val="4A1A22B1"/>
    <w:rsid w:val="4A1D6007"/>
    <w:rsid w:val="4AE335D3"/>
    <w:rsid w:val="4B7B3EDF"/>
    <w:rsid w:val="4BE646DF"/>
    <w:rsid w:val="4C67700E"/>
    <w:rsid w:val="4C7C7BA8"/>
    <w:rsid w:val="4CED5FF0"/>
    <w:rsid w:val="4D026E3A"/>
    <w:rsid w:val="4D9573DA"/>
    <w:rsid w:val="4DC23D04"/>
    <w:rsid w:val="4DDE43F0"/>
    <w:rsid w:val="4E79041C"/>
    <w:rsid w:val="50554BD2"/>
    <w:rsid w:val="50CD16BF"/>
    <w:rsid w:val="51410FFE"/>
    <w:rsid w:val="519F468A"/>
    <w:rsid w:val="51D556F0"/>
    <w:rsid w:val="539C101C"/>
    <w:rsid w:val="53BE21FE"/>
    <w:rsid w:val="53E8580C"/>
    <w:rsid w:val="5400227A"/>
    <w:rsid w:val="542624D5"/>
    <w:rsid w:val="546D3087"/>
    <w:rsid w:val="54DB1BC5"/>
    <w:rsid w:val="559E094A"/>
    <w:rsid w:val="56487C9E"/>
    <w:rsid w:val="571407D8"/>
    <w:rsid w:val="57514A6C"/>
    <w:rsid w:val="577B7A21"/>
    <w:rsid w:val="57E373A9"/>
    <w:rsid w:val="59102CD0"/>
    <w:rsid w:val="59830D7A"/>
    <w:rsid w:val="5A3912A2"/>
    <w:rsid w:val="5A8D25C3"/>
    <w:rsid w:val="5AF74069"/>
    <w:rsid w:val="5B1B6B51"/>
    <w:rsid w:val="5BA947FA"/>
    <w:rsid w:val="5BD273D7"/>
    <w:rsid w:val="5CFF5FF9"/>
    <w:rsid w:val="5E074E7A"/>
    <w:rsid w:val="5F1939AC"/>
    <w:rsid w:val="5F701814"/>
    <w:rsid w:val="602D5D56"/>
    <w:rsid w:val="603B261B"/>
    <w:rsid w:val="605C3A3F"/>
    <w:rsid w:val="610B36B5"/>
    <w:rsid w:val="61921E2F"/>
    <w:rsid w:val="62437055"/>
    <w:rsid w:val="62FC0E92"/>
    <w:rsid w:val="633C1F1F"/>
    <w:rsid w:val="63CC5E14"/>
    <w:rsid w:val="64026C2D"/>
    <w:rsid w:val="641919C8"/>
    <w:rsid w:val="648D4A33"/>
    <w:rsid w:val="65374F38"/>
    <w:rsid w:val="6548394D"/>
    <w:rsid w:val="65694C05"/>
    <w:rsid w:val="6573070C"/>
    <w:rsid w:val="6576554A"/>
    <w:rsid w:val="65A46FE2"/>
    <w:rsid w:val="660A3F5C"/>
    <w:rsid w:val="665A043F"/>
    <w:rsid w:val="66A64ED9"/>
    <w:rsid w:val="66EF7F3E"/>
    <w:rsid w:val="66F320D2"/>
    <w:rsid w:val="670E13A8"/>
    <w:rsid w:val="676B772E"/>
    <w:rsid w:val="67DD4A26"/>
    <w:rsid w:val="67F32BBA"/>
    <w:rsid w:val="69685A5F"/>
    <w:rsid w:val="69DB7F54"/>
    <w:rsid w:val="69E61595"/>
    <w:rsid w:val="6A135FBD"/>
    <w:rsid w:val="6A744306"/>
    <w:rsid w:val="6A9413FC"/>
    <w:rsid w:val="6AD22178"/>
    <w:rsid w:val="6B6D4468"/>
    <w:rsid w:val="6C226BFE"/>
    <w:rsid w:val="6C741A80"/>
    <w:rsid w:val="6D6B03C6"/>
    <w:rsid w:val="6DD3471E"/>
    <w:rsid w:val="6E736320"/>
    <w:rsid w:val="6EF61FA7"/>
    <w:rsid w:val="6F6D5745"/>
    <w:rsid w:val="6FB95744"/>
    <w:rsid w:val="6FDE27D1"/>
    <w:rsid w:val="6FDF0167"/>
    <w:rsid w:val="711265BB"/>
    <w:rsid w:val="71395225"/>
    <w:rsid w:val="717F0DE5"/>
    <w:rsid w:val="71B9345A"/>
    <w:rsid w:val="73F350D3"/>
    <w:rsid w:val="74221CA8"/>
    <w:rsid w:val="74B31C33"/>
    <w:rsid w:val="74DB73A3"/>
    <w:rsid w:val="74DF24F3"/>
    <w:rsid w:val="75E92944"/>
    <w:rsid w:val="75EF3D88"/>
    <w:rsid w:val="770E1512"/>
    <w:rsid w:val="77160CC5"/>
    <w:rsid w:val="77CC6333"/>
    <w:rsid w:val="781865B3"/>
    <w:rsid w:val="78315646"/>
    <w:rsid w:val="78F3105F"/>
    <w:rsid w:val="7909360C"/>
    <w:rsid w:val="7A6C3F13"/>
    <w:rsid w:val="7A992AC8"/>
    <w:rsid w:val="7AE56A7F"/>
    <w:rsid w:val="7B40795C"/>
    <w:rsid w:val="7B6727C0"/>
    <w:rsid w:val="7D371FB5"/>
    <w:rsid w:val="7D6E1CB3"/>
    <w:rsid w:val="7DC623BA"/>
    <w:rsid w:val="7DD87CC4"/>
    <w:rsid w:val="7DEDA074"/>
    <w:rsid w:val="7E0859F0"/>
    <w:rsid w:val="7EF33E12"/>
    <w:rsid w:val="7F5823E5"/>
    <w:rsid w:val="7F6130C6"/>
    <w:rsid w:val="AF5C509E"/>
    <w:rsid w:val="C6B12650"/>
    <w:rsid w:val="FD7E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4">
    <w:name w:val="Normal Indent"/>
    <w:basedOn w:val="1"/>
    <w:unhideWhenUsed/>
    <w:qFormat/>
    <w:uiPriority w:val="0"/>
    <w:pPr>
      <w:ind w:firstLine="420" w:firstLineChars="200"/>
    </w:pPr>
  </w:style>
  <w:style w:type="paragraph" w:styleId="5">
    <w:name w:val="annotation text"/>
    <w:basedOn w:val="1"/>
    <w:uiPriority w:val="0"/>
    <w:pPr>
      <w:jc w:val="left"/>
    </w:pPr>
  </w:style>
  <w:style w:type="paragraph" w:styleId="6">
    <w:name w:val="Body Text"/>
    <w:basedOn w:val="1"/>
    <w:next w:val="1"/>
    <w:unhideWhenUsed/>
    <w:qFormat/>
    <w:uiPriority w:val="99"/>
    <w:pPr>
      <w:spacing w:line="640" w:lineRule="atLeast"/>
    </w:pPr>
    <w:rPr>
      <w:rFonts w:ascii="仿宋_GB2312" w:hAnsi="Times New Roman" w:eastAsia="仿宋_GB2312"/>
      <w:spacing w:val="-8"/>
      <w:sz w:val="28"/>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next w:val="1"/>
    <w:qFormat/>
    <w:uiPriority w:val="99"/>
    <w:pPr>
      <w:widowControl/>
      <w:spacing w:after="0"/>
      <w:ind w:left="0" w:leftChars="0" w:firstLine="420" w:firstLineChars="200"/>
    </w:pPr>
    <w:rPr>
      <w:rFonts w:ascii="Calibri" w:hAnsi="Calibri" w:eastAsia="宋体" w:cs="Times New Roman"/>
      <w:kern w:val="0"/>
      <w:szCs w:val="24"/>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next w:val="8"/>
    <w:qFormat/>
    <w:uiPriority w:val="0"/>
    <w:pPr>
      <w:snapToGrid w:val="0"/>
      <w:jc w:val="left"/>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FollowedHyperlink"/>
    <w:basedOn w:val="16"/>
    <w:qFormat/>
    <w:uiPriority w:val="0"/>
    <w:rPr>
      <w:color w:val="333333"/>
      <w:u w:val="none"/>
    </w:rPr>
  </w:style>
  <w:style w:type="character" w:styleId="18">
    <w:name w:val="Hyperlink"/>
    <w:basedOn w:val="16"/>
    <w:qFormat/>
    <w:uiPriority w:val="0"/>
    <w:rPr>
      <w:color w:val="333333"/>
      <w:u w:val="none"/>
    </w:rPr>
  </w:style>
  <w:style w:type="paragraph" w:customStyle="1" w:styleId="19">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1d5de9c7-a047-44cd-a6f4-4646656cc95d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2CAA2C9D</paraID>
      <start xmlns="http://schemas.wps.cn/vas-ai-hub/contract-review">281</start>
      <end xmlns="http://schemas.wps.cn/vas-ai-hub/contract-review">283</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c2fdb61a-b21b-4ec3-95d4-6f52538963b1</errorID>
      <errorWord xmlns="http://schemas.wps.cn/vas-ai-hub/contract-review">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向</item>
      </candidateList>
      <explain xmlns="http://schemas.wps.cn/vas-ai-hub/contract-review">〈副〉向来：～有研究｜～无此例。</explain>
      <paraID xmlns="http://schemas.wps.cn/vas-ai-hub/contract-review"> 95890DD</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581e85fb-03dd-43eb-9f6b-45a09e8b76f7</errorID>
      <errorWord xmlns="http://schemas.wps.cn/vas-ai-hub/contract-review">法制素养</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法治素养</item>
      </candidateList>
      <explain xmlns="http://schemas.wps.cn/vas-ai-hub/contract-review"/>
      <paraID xmlns="http://schemas.wps.cn/vas-ai-hub/contract-review"> 4AFA23B</paraID>
      <start xmlns="http://schemas.wps.cn/vas-ai-hub/contract-review">260</start>
      <end xmlns="http://schemas.wps.cn/vas-ai-hub/contract-review">264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0c602451-c955-4fbe-8151-ae07eeadfb68</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7C00C8CD</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816afef2-62da-4929-ad3a-054b596c1fbd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 41D9903</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16b8e840-fc17-4f62-9f77-ecf090d09a5c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23B17CC</paraID>
      <start xmlns="http://schemas.wps.cn/vas-ai-hub/contract-review">0</start>
      <end xmlns="http://schemas.wps.cn/vas-ai-hub/contract-review">2</end>
      <status xmlns="http://schemas.wps.cn/vas-ai-hub/contract-review">modified</status>
      <modifiedWord xmlns="http://schemas.wps.cn/vas-ai-hub/contract-review">（</modifiedWord>
      <trackRevisions xmlns="http://schemas.wps.cn/vas-ai-hub/contract-review">true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af742-a8de-4efc-b129-5ce83ea77711}">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4082</Words>
  <Characters>4140</Characters>
  <Lines>34</Lines>
  <Paragraphs>9</Paragraphs>
  <TotalTime>2</TotalTime>
  <ScaleCrop>false</ScaleCrop>
  <LinksUpToDate>false</LinksUpToDate>
  <CharactersWithSpaces>4146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2021-12-30T23:08:00Z</dcterms:created>
  <dc:creator>赵素苓</dc:creator>
  <cp:lastModifiedBy>user</cp:lastModifiedBy>
  <cp:lastPrinted>2009-01-05T13:19:00Z</cp:lastPrinted>
  <dcterms:modified xsi:type="dcterms:W3CDTF">2026-03-20T16:59:31Z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CD26436CA183DF9F0A6DAE69F5485ECB_42</vt:lpwstr>
  </property>
  <property fmtid="{D5CDD505-2E9C-101B-9397-08002B2CF9AE}" pid="4" name="KSOTemplateDocerSaveRecord">
    <vt:lpwstr>eyJoZGlkIjoiMGU3M2U2NzEwNTZmNTk2Mjk1MjBlYzY0MTM1MzM0YTUiLCJ1c2VySWQiOiI2Mzc1MDI3OTEifQ==</vt:lpwstr>
  </property>
</Properties>
</file>