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D1D46">
      <w:pPr>
        <w:keepNext w:val="0"/>
        <w:keepLines w:val="0"/>
        <w:pageBreakBefore w:val="0"/>
        <w:widowControl w:val="0"/>
        <w:kinsoku/>
        <w:wordWrap/>
        <w:overflowPunct/>
        <w:autoSpaceDE w:val="0"/>
        <w:autoSpaceDN/>
        <w:bidi w:val="0"/>
        <w:spacing w:after="0" w:line="560" w:lineRule="exact"/>
        <w:ind w:left="0" w:leftChars="0" w:right="0" w:rightChars="0"/>
        <w:jc w:val="center"/>
        <w:rPr>
          <w:rFonts w:hint="default" w:ascii="Times New Roman" w:hAnsi="Times New Roman" w:eastAsia="方正小标宋简体" w:cs="Times New Roman"/>
          <w:spacing w:val="0"/>
          <w:sz w:val="44"/>
          <w:szCs w:val="44"/>
          <w:highlight w:val="none"/>
          <w:lang w:val="en-US" w:eastAsia="zh-CN"/>
        </w:rPr>
      </w:pPr>
      <w:r>
        <w:rPr>
          <w:rFonts w:hint="default" w:ascii="Times New Roman" w:hAnsi="Times New Roman" w:eastAsia="方正小标宋简体" w:cs="Times New Roman"/>
          <w:spacing w:val="0"/>
          <w:sz w:val="44"/>
          <w:szCs w:val="44"/>
          <w:highlight w:val="none"/>
          <w:lang w:val="en-US" w:eastAsia="zh-CN"/>
        </w:rPr>
        <w:t>北京市东城区人民政府</w:t>
      </w:r>
      <w:r>
        <w:rPr>
          <w:rFonts w:hint="default" w:ascii="Times New Roman" w:hAnsi="Times New Roman" w:eastAsia="方正小标宋简体" w:cs="Times New Roman"/>
          <w:spacing w:val="0"/>
          <w:sz w:val="44"/>
          <w:szCs w:val="44"/>
          <w:highlight w:val="none"/>
        </w:rPr>
        <w:t>交道口街道</w:t>
      </w:r>
      <w:r>
        <w:rPr>
          <w:rFonts w:hint="default" w:ascii="Times New Roman" w:hAnsi="Times New Roman" w:eastAsia="方正小标宋简体" w:cs="Times New Roman"/>
          <w:spacing w:val="0"/>
          <w:sz w:val="44"/>
          <w:szCs w:val="44"/>
          <w:highlight w:val="none"/>
          <w:lang w:val="en-US" w:eastAsia="zh-CN"/>
        </w:rPr>
        <w:t>办事处</w:t>
      </w:r>
    </w:p>
    <w:p w14:paraId="6E100A2E">
      <w:pPr>
        <w:keepNext w:val="0"/>
        <w:keepLines w:val="0"/>
        <w:pageBreakBefore w:val="0"/>
        <w:widowControl w:val="0"/>
        <w:kinsoku/>
        <w:wordWrap/>
        <w:overflowPunct/>
        <w:autoSpaceDE w:val="0"/>
        <w:autoSpaceDN/>
        <w:bidi w:val="0"/>
        <w:spacing w:after="0" w:line="560" w:lineRule="exact"/>
        <w:ind w:left="0" w:leftChars="0" w:right="0" w:righ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年法治政府建设年度情况报告</w:t>
      </w:r>
    </w:p>
    <w:p w14:paraId="57BB5556">
      <w:pPr>
        <w:pStyle w:val="2"/>
        <w:keepNext w:val="0"/>
        <w:keepLines w:val="0"/>
        <w:pageBreakBefore w:val="0"/>
        <w:widowControl w:val="0"/>
        <w:kinsoku/>
        <w:wordWrap/>
        <w:overflowPunct/>
        <w:autoSpaceDN/>
        <w:bidi w:val="0"/>
        <w:spacing w:after="0" w:line="560" w:lineRule="exact"/>
      </w:pPr>
    </w:p>
    <w:p w14:paraId="0570CF0C">
      <w:pPr>
        <w:keepNext w:val="0"/>
        <w:keepLines w:val="0"/>
        <w:pageBreakBefore w:val="0"/>
        <w:widowControl w:val="0"/>
        <w:kinsoku/>
        <w:wordWrap/>
        <w:overflowPunct/>
        <w:autoSpaceDE w:val="0"/>
        <w:autoSpaceDN/>
        <w:bidi w:val="0"/>
        <w:spacing w:after="0" w:line="560" w:lineRule="exact"/>
        <w:ind w:left="0" w:leftChars="0" w:right="0" w:rightChars="0" w:firstLine="640" w:firstLineChars="200"/>
        <w:jc w:val="left"/>
        <w:rPr>
          <w:rFonts w:ascii="仿宋_GB2312" w:hAnsi="仿宋_GB2312" w:eastAsia="仿宋_GB2312" w:cs="仿宋_GB2312"/>
          <w:spacing w:val="8"/>
          <w:sz w:val="32"/>
          <w:szCs w:val="32"/>
          <w:shd w:val="clear" w:color="auto" w:fill="FFFFFF"/>
        </w:rPr>
      </w:pPr>
      <w:r>
        <w:rPr>
          <w:rFonts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pacing w:val="8"/>
          <w:sz w:val="32"/>
          <w:szCs w:val="32"/>
          <w:shd w:val="clear" w:color="auto" w:fill="FFFFFF"/>
        </w:rPr>
        <w:t>年，在区委、区政府的坚强领导下，交道口</w:t>
      </w:r>
      <w:r>
        <w:rPr>
          <w:rFonts w:hint="eastAsia" w:ascii="仿宋_GB2312" w:hAnsi="仿宋_GB2312" w:eastAsia="仿宋_GB2312" w:cs="仿宋_GB2312"/>
          <w:spacing w:val="8"/>
          <w:sz w:val="32"/>
          <w:szCs w:val="32"/>
          <w:shd w:val="clear" w:color="auto" w:fill="FFFFFF"/>
          <w:lang w:eastAsia="zh-CN"/>
        </w:rPr>
        <w:t>街道</w:t>
      </w:r>
      <w:r>
        <w:rPr>
          <w:rFonts w:hint="eastAsia" w:ascii="仿宋_GB2312" w:hAnsi="仿宋_GB2312" w:eastAsia="仿宋_GB2312" w:cs="仿宋_GB2312"/>
          <w:spacing w:val="8"/>
          <w:sz w:val="32"/>
          <w:szCs w:val="32"/>
          <w:shd w:val="clear" w:color="auto" w:fill="FFFFFF"/>
        </w:rPr>
        <w:t>坚持以习近平法治思想为指导，认真贯彻</w:t>
      </w:r>
      <w:r>
        <w:rPr>
          <w:rFonts w:hint="eastAsia" w:ascii="仿宋_GB2312" w:hAnsi="仿宋_GB2312" w:eastAsia="仿宋_GB2312" w:cs="仿宋_GB2312"/>
          <w:spacing w:val="8"/>
          <w:sz w:val="32"/>
          <w:szCs w:val="32"/>
          <w:shd w:val="clear" w:color="auto" w:fill="FFFFFF"/>
          <w:lang w:eastAsia="zh-CN"/>
        </w:rPr>
        <w:t>实施</w:t>
      </w:r>
      <w:r>
        <w:rPr>
          <w:rFonts w:hint="default" w:ascii="Times New Roman" w:hAnsi="Times New Roman" w:eastAsia="仿宋_GB2312" w:cs="Times New Roman"/>
          <w:sz w:val="32"/>
          <w:szCs w:val="32"/>
        </w:rPr>
        <w:t>《法治政府建设实施纲要（2021-2025年）》和《北京市法治政府建设实施意见（2021-2025年）》</w:t>
      </w:r>
      <w:r>
        <w:rPr>
          <w:rFonts w:hint="eastAsia" w:ascii="仿宋_GB2312" w:hAnsi="仿宋_GB2312" w:eastAsia="仿宋_GB2312" w:cs="仿宋_GB2312"/>
          <w:spacing w:val="8"/>
          <w:sz w:val="32"/>
          <w:szCs w:val="32"/>
          <w:shd w:val="clear" w:color="auto" w:fill="FFFFFF"/>
        </w:rPr>
        <w:t>，</w:t>
      </w:r>
      <w:r>
        <w:rPr>
          <w:rFonts w:hint="default" w:ascii="Times New Roman" w:hAnsi="Times New Roman" w:eastAsia="仿宋_GB2312" w:cs="Times New Roman"/>
          <w:color w:val="auto"/>
          <w:sz w:val="32"/>
          <w:szCs w:val="32"/>
        </w:rPr>
        <w:t>坚持以习近平新时代中国特色社会主义思想为指导，</w:t>
      </w:r>
      <w:r>
        <w:rPr>
          <w:rFonts w:hint="default" w:ascii="Times New Roman" w:hAnsi="Times New Roman" w:eastAsia="仿宋_GB2312" w:cs="Times New Roman"/>
          <w:color w:val="000000" w:themeColor="text1"/>
          <w:sz w:val="32"/>
          <w:szCs w:val="32"/>
          <w14:textFill>
            <w14:solidFill>
              <w14:schemeClr w14:val="tx1"/>
            </w14:solidFill>
          </w14:textFill>
        </w:rPr>
        <w:t>全面贯彻党的二十大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二十届</w:t>
      </w:r>
      <w:r>
        <w:rPr>
          <w:rFonts w:hint="eastAsia" w:eastAsia="仿宋_GB2312" w:cs="Times New Roman"/>
          <w:color w:val="000000" w:themeColor="text1"/>
          <w:sz w:val="32"/>
          <w:szCs w:val="32"/>
          <w:lang w:eastAsia="zh-CN"/>
          <w14:textFill>
            <w14:solidFill>
              <w14:schemeClr w14:val="tx1"/>
            </w14:solidFill>
          </w14:textFill>
        </w:rPr>
        <w:t>历次</w:t>
      </w:r>
      <w:r>
        <w:rPr>
          <w:rFonts w:hint="default" w:ascii="Times New Roman" w:hAnsi="Times New Roman" w:eastAsia="仿宋_GB2312" w:cs="Times New Roman"/>
          <w:color w:val="000000" w:themeColor="text1"/>
          <w:sz w:val="32"/>
          <w:szCs w:val="32"/>
          <w14:textFill>
            <w14:solidFill>
              <w14:schemeClr w14:val="tx1"/>
            </w14:solidFill>
          </w14:textFill>
        </w:rPr>
        <w:t>全会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精神，深入落实中央经济工作会议</w:t>
      </w:r>
      <w:r>
        <w:rPr>
          <w:rFonts w:hint="default" w:ascii="Times New Roman" w:hAnsi="Times New Roman" w:eastAsia="仿宋_GB2312" w:cs="Times New Roman"/>
          <w:color w:val="000000" w:themeColor="text1"/>
          <w:sz w:val="32"/>
          <w:szCs w:val="32"/>
          <w14:textFill>
            <w14:solidFill>
              <w14:schemeClr w14:val="tx1"/>
            </w14:solidFill>
          </w14:textFill>
        </w:rPr>
        <w:t>精神，深入学习贯彻习近平法治思想，坚持以新时代首都发展为统领，</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坚持以首善标准</w:t>
      </w:r>
      <w:r>
        <w:rPr>
          <w:rFonts w:hint="eastAsia" w:ascii="仿宋_GB2312" w:hAnsi="仿宋_GB2312" w:eastAsia="仿宋_GB2312" w:cs="仿宋_GB2312"/>
          <w:color w:val="000000" w:themeColor="text1"/>
          <w:sz w:val="32"/>
          <w:szCs w:val="32"/>
          <w14:textFill>
            <w14:solidFill>
              <w14:schemeClr w14:val="tx1"/>
            </w14:solidFill>
          </w14:textFill>
        </w:rPr>
        <w:t>扎实推进依法行政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不断提高依法行政水平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pacing w:val="8"/>
          <w:sz w:val="32"/>
          <w:szCs w:val="32"/>
          <w:shd w:val="clear" w:color="auto" w:fill="FFFFFF"/>
        </w:rPr>
        <w:t>现将有关工作开展情况汇报如下：</w:t>
      </w:r>
    </w:p>
    <w:p w14:paraId="27C1410B">
      <w:pPr>
        <w:keepNext w:val="0"/>
        <w:keepLines w:val="0"/>
        <w:pageBreakBefore w:val="0"/>
        <w:widowControl w:val="0"/>
        <w:kinsoku/>
        <w:wordWrap/>
        <w:overflowPunct/>
        <w:autoSpaceDE w:val="0"/>
        <w:autoSpaceDN/>
        <w:bidi w:val="0"/>
        <w:spacing w:after="0" w:line="560" w:lineRule="exact"/>
        <w:ind w:left="0" w:leftChars="0" w:right="0" w:rightChars="0" w:firstLine="640" w:firstLineChars="200"/>
        <w:rPr>
          <w:rFonts w:ascii="黑体" w:hAnsi="黑体" w:eastAsia="黑体"/>
          <w:sz w:val="32"/>
          <w:szCs w:val="32"/>
        </w:rPr>
      </w:pPr>
      <w:r>
        <w:rPr>
          <w:rFonts w:hint="eastAsia" w:ascii="黑体" w:hAnsi="黑体" w:eastAsia="黑体"/>
          <w:sz w:val="32"/>
          <w:szCs w:val="32"/>
        </w:rPr>
        <w:t>一、</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5</w:t>
      </w:r>
      <w:r>
        <w:rPr>
          <w:rFonts w:hint="eastAsia" w:ascii="黑体" w:hAnsi="黑体" w:eastAsia="黑体"/>
          <w:sz w:val="32"/>
          <w:szCs w:val="32"/>
        </w:rPr>
        <w:t>年度推进法治政府建设的主要举措和成效</w:t>
      </w:r>
    </w:p>
    <w:p w14:paraId="5D35BCBA">
      <w:pPr>
        <w:keepNext w:val="0"/>
        <w:keepLines w:val="0"/>
        <w:pageBreakBefore w:val="0"/>
        <w:widowControl w:val="0"/>
        <w:kinsoku/>
        <w:wordWrap/>
        <w:overflowPunct/>
        <w:autoSpaceDE w:val="0"/>
        <w:autoSpaceDN/>
        <w:bidi w:val="0"/>
        <w:spacing w:after="0" w:line="560" w:lineRule="exact"/>
        <w:ind w:left="0" w:leftChars="0" w:right="0" w:rightChars="0" w:firstLine="672" w:firstLineChars="200"/>
        <w:jc w:val="left"/>
        <w:rPr>
          <w:rFonts w:hint="eastAsia" w:ascii="楷体_GB2312" w:hAnsi="楷体_GB2312" w:eastAsia="楷体_GB2312" w:cs="楷体_GB2312"/>
          <w:spacing w:val="8"/>
          <w:sz w:val="32"/>
          <w:szCs w:val="32"/>
          <w:shd w:val="clear" w:color="auto" w:fill="FFFFFF"/>
        </w:rPr>
      </w:pPr>
      <w:r>
        <w:rPr>
          <w:rFonts w:hint="eastAsia" w:ascii="楷体_GB2312" w:hAnsi="楷体_GB2312" w:eastAsia="楷体_GB2312" w:cs="楷体_GB2312"/>
          <w:spacing w:val="8"/>
          <w:sz w:val="32"/>
          <w:szCs w:val="32"/>
          <w:shd w:val="clear" w:color="auto" w:fill="FFFFFF"/>
        </w:rPr>
        <w:t>（一）深入学习贯彻党的二十大精神和习近平法治思想</w:t>
      </w:r>
    </w:p>
    <w:p w14:paraId="7C5923F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ascii="仿宋_GB2312" w:hAnsi="仿宋_GB2312" w:eastAsia="仿宋_GB2312" w:cs="仿宋_GB2312"/>
          <w:spacing w:val="8"/>
          <w:sz w:val="32"/>
          <w:szCs w:val="32"/>
          <w:shd w:val="clear" w:color="auto" w:fill="FFFFFF"/>
        </w:rPr>
      </w:pPr>
      <w:r>
        <w:rPr>
          <w:rFonts w:hint="default" w:ascii="仿宋_GB2312" w:hAnsi="仿宋_GB2312" w:eastAsia="仿宋_GB2312" w:cs="仿宋_GB2312"/>
          <w:spacing w:val="8"/>
          <w:sz w:val="32"/>
          <w:szCs w:val="32"/>
          <w:shd w:val="clear" w:color="auto" w:fill="FFFFFF"/>
          <w:lang w:val="en-US" w:eastAsia="zh-CN"/>
        </w:rPr>
        <w:t>抓好党的二十大精神和习近平法治思想学习常态化</w:t>
      </w:r>
      <w:r>
        <w:rPr>
          <w:rFonts w:hint="eastAsia" w:ascii="仿宋_GB2312" w:hAnsi="仿宋_GB2312" w:eastAsia="仿宋_GB2312" w:cs="仿宋_GB2312"/>
          <w:spacing w:val="8"/>
          <w:sz w:val="32"/>
          <w:szCs w:val="32"/>
          <w:shd w:val="clear" w:color="auto" w:fill="FFFFFF"/>
          <w:lang w:val="en-US" w:eastAsia="zh-CN"/>
        </w:rPr>
        <w:t>。</w:t>
      </w:r>
      <w:r>
        <w:rPr>
          <w:rFonts w:hint="default" w:ascii="仿宋_GB2312" w:hAnsi="仿宋_GB2312" w:eastAsia="仿宋_GB2312" w:cs="仿宋_GB2312"/>
          <w:spacing w:val="8"/>
          <w:sz w:val="32"/>
          <w:szCs w:val="32"/>
          <w:shd w:val="clear" w:color="auto" w:fill="FFFFFF"/>
          <w:lang w:val="en-US" w:eastAsia="zh-CN"/>
        </w:rPr>
        <w:t>坚持把学习贯彻</w:t>
      </w:r>
      <w:r>
        <w:rPr>
          <w:rFonts w:hint="eastAsia" w:ascii="仿宋_GB2312" w:hAnsi="仿宋_GB2312" w:eastAsia="仿宋_GB2312" w:cs="仿宋_GB2312"/>
          <w:spacing w:val="8"/>
          <w:sz w:val="32"/>
          <w:szCs w:val="32"/>
          <w:shd w:val="clear" w:color="auto" w:fill="FFFFFF"/>
          <w:lang w:val="en-US" w:eastAsia="zh-CN"/>
        </w:rPr>
        <w:t>党的二十大精神和习近平法治思想</w:t>
      </w:r>
      <w:r>
        <w:rPr>
          <w:rFonts w:hint="default" w:ascii="仿宋_GB2312" w:hAnsi="仿宋_GB2312" w:eastAsia="仿宋_GB2312" w:cs="仿宋_GB2312"/>
          <w:spacing w:val="8"/>
          <w:sz w:val="32"/>
          <w:szCs w:val="32"/>
          <w:shd w:val="clear" w:color="auto" w:fill="FFFFFF"/>
          <w:lang w:val="en-US" w:eastAsia="zh-CN"/>
        </w:rPr>
        <w:t>作为中心组学习首要内容，持续</w:t>
      </w:r>
      <w:r>
        <w:rPr>
          <w:rFonts w:hint="eastAsia" w:ascii="仿宋_GB2312" w:hAnsi="仿宋_GB2312" w:eastAsia="仿宋_GB2312" w:cs="仿宋_GB2312"/>
          <w:spacing w:val="8"/>
          <w:sz w:val="32"/>
          <w:szCs w:val="32"/>
          <w:shd w:val="clear" w:color="auto" w:fill="FFFFFF"/>
          <w:lang w:val="en-US" w:eastAsia="zh-CN"/>
        </w:rPr>
        <w:t>巩固拓展主题教育成果</w:t>
      </w:r>
      <w:r>
        <w:rPr>
          <w:rFonts w:hint="default" w:ascii="仿宋_GB2312" w:hAnsi="仿宋_GB2312" w:eastAsia="仿宋_GB2312" w:cs="仿宋_GB2312"/>
          <w:spacing w:val="8"/>
          <w:sz w:val="32"/>
          <w:szCs w:val="32"/>
          <w:shd w:val="clear" w:color="auto" w:fill="FFFFFF"/>
          <w:lang w:val="en-US" w:eastAsia="zh-CN"/>
        </w:rPr>
        <w:t>，学深悟透“五个持续”核心要求，严格制度执行，推动主题教育期间固化下来的各项制度落地见效</w:t>
      </w:r>
      <w:r>
        <w:rPr>
          <w:rFonts w:hint="default" w:ascii="仿宋_GB2312" w:hAnsi="仿宋_GB2312" w:eastAsia="仿宋_GB2312" w:cs="仿宋_GB2312"/>
          <w:spacing w:val="8"/>
          <w:sz w:val="32"/>
          <w:szCs w:val="32"/>
          <w:highlight w:val="none"/>
          <w:shd w:val="clear" w:color="auto" w:fill="FFFFFF"/>
          <w:lang w:val="en-US" w:eastAsia="zh-CN"/>
        </w:rPr>
        <w:t>，</w:t>
      </w:r>
      <w:r>
        <w:rPr>
          <w:rFonts w:hint="default" w:ascii="Times New Roman" w:hAnsi="Times New Roman" w:eastAsia="仿宋_GB2312" w:cs="Times New Roman"/>
          <w:sz w:val="32"/>
          <w:highlight w:val="none"/>
        </w:rPr>
        <w:t>依托理论学习中心组等形式开展集中学习11次、交流研讨2次、专题党课11场。各支部开展书记讲党课38次、集中学习190次、党日活动61场，推动理论学习全面铺开、纵深推进。</w:t>
      </w:r>
      <w:r>
        <w:rPr>
          <w:rFonts w:hint="eastAsia" w:ascii="仿宋_GB2312" w:hAnsi="仿宋_GB2312" w:eastAsia="仿宋_GB2312" w:cs="仿宋_GB2312"/>
          <w:spacing w:val="8"/>
          <w:sz w:val="32"/>
          <w:szCs w:val="32"/>
          <w:highlight w:val="none"/>
          <w:shd w:val="clear" w:color="auto" w:fill="FFFFFF"/>
        </w:rPr>
        <w:t>充分</w:t>
      </w:r>
      <w:r>
        <w:rPr>
          <w:rFonts w:hint="eastAsia" w:ascii="仿宋_GB2312" w:hAnsi="仿宋_GB2312" w:eastAsia="仿宋_GB2312" w:cs="仿宋_GB2312"/>
          <w:spacing w:val="8"/>
          <w:sz w:val="32"/>
          <w:szCs w:val="32"/>
          <w:shd w:val="clear" w:color="auto" w:fill="FFFFFF"/>
        </w:rPr>
        <w:t>运用</w:t>
      </w:r>
      <w:r>
        <w:rPr>
          <w:rFonts w:hint="eastAsia" w:ascii="仿宋_GB2312" w:hAnsi="仿宋_GB2312" w:eastAsia="仿宋_GB2312" w:cs="仿宋_GB2312"/>
          <w:spacing w:val="8"/>
          <w:sz w:val="32"/>
          <w:szCs w:val="32"/>
          <w:shd w:val="clear" w:color="auto" w:fill="FFFFFF"/>
          <w:lang w:val="en-US" w:eastAsia="zh-CN"/>
        </w:rPr>
        <w:t>各种</w:t>
      </w:r>
      <w:r>
        <w:rPr>
          <w:rFonts w:hint="eastAsia" w:ascii="仿宋_GB2312" w:hAnsi="仿宋_GB2312" w:eastAsia="仿宋_GB2312" w:cs="仿宋_GB2312"/>
          <w:spacing w:val="8"/>
          <w:sz w:val="32"/>
          <w:szCs w:val="32"/>
          <w:shd w:val="clear" w:color="auto" w:fill="FFFFFF"/>
        </w:rPr>
        <w:t>新媒体在线学习渠道，组织辖区各基层党组织党员开展线上、线</w:t>
      </w:r>
      <w:r>
        <w:rPr>
          <w:rFonts w:hint="eastAsia" w:ascii="仿宋_GB2312" w:hAnsi="仿宋_GB2312" w:eastAsia="仿宋_GB2312" w:cs="仿宋_GB2312"/>
          <w:spacing w:val="8"/>
          <w:sz w:val="32"/>
          <w:szCs w:val="32"/>
          <w:shd w:val="clear" w:color="auto" w:fill="FFFFFF"/>
          <w:lang w:val="en-US" w:eastAsia="zh-CN"/>
        </w:rPr>
        <w:t>下学习</w:t>
      </w:r>
      <w:r>
        <w:rPr>
          <w:rFonts w:hint="default" w:ascii="仿宋_GB2312" w:hAnsi="仿宋_GB2312" w:eastAsia="仿宋_GB2312" w:cs="仿宋_GB2312"/>
          <w:spacing w:val="8"/>
          <w:sz w:val="32"/>
          <w:szCs w:val="32"/>
          <w:shd w:val="clear" w:color="auto" w:fill="FFFFFF"/>
          <w:lang w:val="en-US" w:eastAsia="zh-CN"/>
        </w:rPr>
        <w:t>活动，认真学习</w:t>
      </w:r>
      <w:r>
        <w:rPr>
          <w:rFonts w:hint="eastAsia" w:ascii="仿宋_GB2312" w:hAnsi="仿宋_GB2312" w:eastAsia="仿宋_GB2312" w:cs="仿宋_GB2312"/>
          <w:spacing w:val="8"/>
          <w:sz w:val="32"/>
          <w:szCs w:val="32"/>
          <w:shd w:val="clear" w:color="auto" w:fill="FFFFFF"/>
          <w:lang w:val="en-US" w:eastAsia="zh-CN"/>
        </w:rPr>
        <w:t>党的二十大精神</w:t>
      </w:r>
      <w:r>
        <w:rPr>
          <w:rFonts w:hint="default" w:ascii="仿宋_GB2312" w:hAnsi="仿宋_GB2312" w:eastAsia="仿宋_GB2312" w:cs="仿宋_GB2312"/>
          <w:spacing w:val="8"/>
          <w:sz w:val="32"/>
          <w:szCs w:val="32"/>
          <w:shd w:val="clear" w:color="auto" w:fill="FFFFFF"/>
          <w:lang w:val="en-US" w:eastAsia="zh-CN"/>
        </w:rPr>
        <w:t>和习近平</w:t>
      </w:r>
      <w:r>
        <w:rPr>
          <w:rFonts w:hint="eastAsia" w:ascii="仿宋_GB2312" w:hAnsi="仿宋_GB2312" w:eastAsia="仿宋_GB2312" w:cs="仿宋_GB2312"/>
          <w:spacing w:val="8"/>
          <w:sz w:val="32"/>
          <w:szCs w:val="32"/>
          <w:shd w:val="clear" w:color="auto" w:fill="FFFFFF"/>
          <w:lang w:val="en-US" w:eastAsia="zh-CN"/>
        </w:rPr>
        <w:t>法治思想</w:t>
      </w:r>
      <w:r>
        <w:rPr>
          <w:rFonts w:hint="default" w:ascii="仿宋_GB2312" w:hAnsi="仿宋_GB2312" w:eastAsia="仿宋_GB2312" w:cs="仿宋_GB2312"/>
          <w:spacing w:val="8"/>
          <w:sz w:val="32"/>
          <w:szCs w:val="32"/>
          <w:shd w:val="clear" w:color="auto" w:fill="FFFFFF"/>
          <w:lang w:val="en-US" w:eastAsia="zh-CN"/>
        </w:rPr>
        <w:t>。</w:t>
      </w:r>
    </w:p>
    <w:p w14:paraId="4D355F2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spacing w:val="8"/>
          <w:sz w:val="32"/>
          <w:szCs w:val="32"/>
          <w:highlight w:val="none"/>
          <w:shd w:val="clear" w:color="auto" w:fill="FFFFFF"/>
        </w:rPr>
      </w:pPr>
      <w:r>
        <w:rPr>
          <w:rFonts w:hint="eastAsia" w:ascii="仿宋_GB2312" w:hAnsi="仿宋_GB2312" w:eastAsia="仿宋_GB2312" w:cs="仿宋_GB2312"/>
          <w:spacing w:val="8"/>
          <w:sz w:val="32"/>
          <w:szCs w:val="32"/>
          <w:shd w:val="clear" w:color="auto" w:fill="FFFFFF"/>
          <w:lang w:val="en-US" w:eastAsia="zh-CN"/>
        </w:rPr>
        <w:t>持续抓实领导干部学法培训。街道建立主任办公会会前学法和理论学习中心组定期学法制度，坚持把党的</w:t>
      </w:r>
      <w:r>
        <w:rPr>
          <w:rFonts w:hint="eastAsia" w:ascii="仿宋_GB2312" w:hAnsi="仿宋_GB2312" w:eastAsia="仿宋_GB2312" w:cs="仿宋_GB2312"/>
          <w:sz w:val="32"/>
          <w:szCs w:val="32"/>
          <w:lang w:bidi="ar"/>
        </w:rPr>
        <w:t>二十大关于法治政府建设相关决策部署和习近平法治思想作为</w:t>
      </w:r>
      <w:r>
        <w:rPr>
          <w:rFonts w:hint="eastAsia" w:ascii="仿宋_GB2312" w:hAnsi="仿宋_GB2312" w:eastAsia="仿宋_GB2312" w:cs="仿宋_GB2312"/>
          <w:sz w:val="32"/>
          <w:szCs w:val="32"/>
          <w:lang w:eastAsia="zh-CN" w:bidi="ar"/>
        </w:rPr>
        <w:t>理论学习中心组</w:t>
      </w:r>
      <w:r>
        <w:rPr>
          <w:rFonts w:hint="eastAsia" w:ascii="仿宋_GB2312" w:hAnsi="仿宋_GB2312" w:eastAsia="仿宋_GB2312" w:cs="仿宋_GB2312"/>
          <w:sz w:val="32"/>
          <w:szCs w:val="32"/>
          <w:lang w:bidi="ar"/>
        </w:rPr>
        <w:t>学习内容</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b w:val="0"/>
          <w:bCs w:val="0"/>
          <w:i w:val="0"/>
          <w:caps w:val="0"/>
          <w:color w:val="auto"/>
          <w:spacing w:val="8"/>
          <w:kern w:val="2"/>
          <w:sz w:val="32"/>
          <w:szCs w:val="32"/>
          <w:shd w:val="clear" w:color="auto" w:fill="FFFFFF"/>
          <w:lang w:val="en-US" w:eastAsia="zh-CN" w:bidi="ar-SA"/>
        </w:rPr>
        <w:t>深入学习党的二十届四中全会精神和习近平法治思想及相关法律法规。</w:t>
      </w:r>
      <w:r>
        <w:rPr>
          <w:rFonts w:hint="eastAsia" w:ascii="仿宋_GB2312" w:hAnsi="仿宋_GB2312" w:eastAsia="仿宋_GB2312" w:cs="仿宋_GB2312"/>
          <w:b w:val="0"/>
          <w:bCs w:val="0"/>
          <w:i w:val="0"/>
          <w:caps w:val="0"/>
          <w:color w:val="000000" w:themeColor="text1"/>
          <w:spacing w:val="8"/>
          <w:kern w:val="2"/>
          <w:sz w:val="32"/>
          <w:szCs w:val="32"/>
          <w:shd w:val="clear" w:color="auto" w:fill="FFFFFF"/>
          <w:lang w:val="en-US" w:eastAsia="zh-CN" w:bidi="ar-SA"/>
          <w14:textFill>
            <w14:solidFill>
              <w14:schemeClr w14:val="tx1"/>
            </w14:solidFill>
          </w14:textFill>
        </w:rPr>
        <w:t>共计开展主任办公会会前学法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i w:val="0"/>
          <w:caps w:val="0"/>
          <w:color w:val="000000" w:themeColor="text1"/>
          <w:spacing w:val="8"/>
          <w:kern w:val="2"/>
          <w:sz w:val="32"/>
          <w:szCs w:val="32"/>
          <w:shd w:val="clear" w:color="auto" w:fill="FFFFFF"/>
          <w:lang w:val="en-US" w:eastAsia="zh-CN" w:bidi="ar-SA"/>
          <w14:textFill>
            <w14:solidFill>
              <w14:schemeClr w14:val="tx1"/>
            </w14:solidFill>
          </w14:textFill>
        </w:rPr>
        <w:t>次，理论学习中心组学法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b w:val="0"/>
          <w:bCs w:val="0"/>
          <w:i w:val="0"/>
          <w:caps w:val="0"/>
          <w:color w:val="000000" w:themeColor="text1"/>
          <w:spacing w:val="8"/>
          <w:kern w:val="2"/>
          <w:sz w:val="32"/>
          <w:szCs w:val="32"/>
          <w:shd w:val="clear" w:color="auto" w:fill="FFFFFF"/>
          <w:lang w:val="en-US" w:eastAsia="zh-CN" w:bidi="ar-SA"/>
          <w14:textFill>
            <w14:solidFill>
              <w14:schemeClr w14:val="tx1"/>
            </w14:solidFill>
          </w14:textFill>
        </w:rPr>
        <w:t>次。</w:t>
      </w:r>
      <w:r>
        <w:rPr>
          <w:rFonts w:hint="eastAsia" w:ascii="仿宋_GB2312" w:hAnsi="仿宋_GB2312" w:eastAsia="仿宋_GB2312" w:cs="仿宋_GB2312"/>
          <w:color w:val="000000" w:themeColor="text1"/>
          <w:spacing w:val="8"/>
          <w:sz w:val="32"/>
          <w:szCs w:val="32"/>
          <w:shd w:val="clear" w:color="auto" w:fill="FFFFFF"/>
          <w14:textFill>
            <w14:solidFill>
              <w14:schemeClr w14:val="tx1"/>
            </w14:solidFill>
          </w14:textFill>
        </w:rPr>
        <w:t>领导干部法治专题讲座</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pacing w:val="8"/>
          <w:sz w:val="32"/>
          <w:szCs w:val="32"/>
          <w:shd w:val="clear" w:color="auto" w:fill="FFFFFF"/>
          <w14:textFill>
            <w14:solidFill>
              <w14:schemeClr w14:val="tx1"/>
            </w14:solidFill>
          </w14:textFill>
        </w:rPr>
        <w:t>次，内容涉及习近平法治思想、</w:t>
      </w:r>
      <w:r>
        <w:rPr>
          <w:rFonts w:hint="eastAsia" w:ascii="仿宋_GB2312" w:hAnsi="仿宋_GB2312" w:eastAsia="仿宋_GB2312" w:cs="仿宋_GB2312"/>
          <w:color w:val="000000" w:themeColor="text1"/>
          <w:spacing w:val="8"/>
          <w:sz w:val="32"/>
          <w:szCs w:val="32"/>
          <w:shd w:val="clear" w:color="auto" w:fill="FFFFFF"/>
          <w:lang w:eastAsia="zh-CN"/>
          <w14:textFill>
            <w14:solidFill>
              <w14:schemeClr w14:val="tx1"/>
            </w14:solidFill>
          </w14:textFill>
        </w:rPr>
        <w:t>《中华人民共和国宪法》《中华人民共和国统计法》《中华人民共和国监察法》《中华人民共和国献血法》</w:t>
      </w:r>
      <w:r>
        <w:rPr>
          <w:rFonts w:hint="eastAsia" w:ascii="仿宋_GB2312" w:hAnsi="仿宋_GB2312" w:eastAsia="仿宋_GB2312" w:cs="仿宋_GB2312"/>
          <w:color w:val="000000" w:themeColor="text1"/>
          <w:spacing w:val="8"/>
          <w:sz w:val="32"/>
          <w:szCs w:val="32"/>
          <w:shd w:val="clear" w:color="auto" w:fill="FFFFFF"/>
          <w14:textFill>
            <w14:solidFill>
              <w14:schemeClr w14:val="tx1"/>
            </w14:solidFill>
          </w14:textFill>
        </w:rPr>
        <w:t>等</w:t>
      </w:r>
      <w:r>
        <w:rPr>
          <w:rFonts w:hint="eastAsia" w:ascii="仿宋_GB2312" w:hAnsi="仿宋_GB2312" w:eastAsia="仿宋_GB2312" w:cs="仿宋_GB2312"/>
          <w:color w:val="000000" w:themeColor="text1"/>
          <w:spacing w:val="8"/>
          <w:sz w:val="32"/>
          <w:szCs w:val="32"/>
          <w:shd w:val="clear" w:color="auto" w:fill="FFFFFF"/>
          <w:lang w:eastAsia="zh-CN"/>
          <w14:textFill>
            <w14:solidFill>
              <w14:schemeClr w14:val="tx1"/>
            </w14:solidFill>
          </w14:textFill>
        </w:rPr>
        <w:t>法律法规</w:t>
      </w:r>
      <w:r>
        <w:rPr>
          <w:rFonts w:hint="eastAsia" w:ascii="仿宋_GB2312" w:hAnsi="仿宋_GB2312" w:eastAsia="仿宋_GB2312" w:cs="仿宋_GB2312"/>
          <w:color w:val="000000" w:themeColor="text1"/>
          <w:spacing w:val="8"/>
          <w:sz w:val="32"/>
          <w:szCs w:val="32"/>
          <w:shd w:val="clear" w:color="auto" w:fill="FFFFFF"/>
          <w14:textFill>
            <w14:solidFill>
              <w14:schemeClr w14:val="tx1"/>
            </w14:solidFill>
          </w14:textFill>
        </w:rPr>
        <w:t>，</w:t>
      </w:r>
      <w:r>
        <w:rPr>
          <w:rFonts w:hint="eastAsia" w:ascii="仿宋_GB2312" w:hAnsi="仿宋_GB2312" w:eastAsia="仿宋_GB2312" w:cs="仿宋_GB2312"/>
          <w:spacing w:val="8"/>
          <w:sz w:val="32"/>
          <w:szCs w:val="32"/>
          <w:shd w:val="clear" w:color="auto" w:fill="FFFFFF"/>
        </w:rPr>
        <w:t>领</w:t>
      </w:r>
      <w:r>
        <w:rPr>
          <w:rFonts w:hint="eastAsia" w:ascii="仿宋_GB2312" w:hAnsi="仿宋_GB2312" w:eastAsia="仿宋_GB2312" w:cs="仿宋_GB2312"/>
          <w:spacing w:val="8"/>
          <w:sz w:val="32"/>
          <w:szCs w:val="32"/>
          <w:highlight w:val="none"/>
          <w:shd w:val="clear" w:color="auto" w:fill="FFFFFF"/>
        </w:rPr>
        <w:t>导班子成员的法律意识不断增强，依法决策的能力不断提高。</w:t>
      </w:r>
    </w:p>
    <w:p w14:paraId="045FAEBA">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after="0" w:line="560" w:lineRule="exact"/>
        <w:ind w:left="0" w:leftChars="0" w:right="0" w:rightChars="0" w:firstLine="672" w:firstLineChars="200"/>
        <w:rPr>
          <w:rFonts w:hint="eastAsia" w:ascii="Times New Roman" w:hAnsi="Times New Roman" w:eastAsia="仿宋_GB2312" w:cs="Times New Roman"/>
          <w:color w:val="C00000"/>
          <w:sz w:val="32"/>
          <w:szCs w:val="32"/>
          <w:shd w:val="clear" w:color="auto" w:fill="auto"/>
          <w:lang w:val="en-US" w:eastAsia="zh-CN"/>
        </w:rPr>
      </w:pPr>
      <w:bookmarkStart w:id="0" w:name="OLE_LINK1"/>
      <w:r>
        <w:rPr>
          <w:rFonts w:hint="default" w:ascii="仿宋_GB2312" w:hAnsi="仿宋_GB2312" w:eastAsia="仿宋_GB2312" w:cs="仿宋_GB2312"/>
          <w:spacing w:val="8"/>
          <w:sz w:val="32"/>
          <w:szCs w:val="32"/>
          <w:shd w:val="clear" w:color="auto" w:fill="FFFFFF"/>
          <w:lang w:val="en-US" w:eastAsia="zh-CN"/>
        </w:rPr>
        <w:t>加强习近平法治思想的研究阐释和成果转化。</w:t>
      </w:r>
      <w:bookmarkEnd w:id="0"/>
      <w:r>
        <w:rPr>
          <w:rFonts w:hint="eastAsia" w:ascii="仿宋_GB2312" w:hAnsi="仿宋_GB2312" w:eastAsia="仿宋_GB2312" w:cs="仿宋_GB2312"/>
          <w:spacing w:val="8"/>
          <w:sz w:val="32"/>
          <w:szCs w:val="32"/>
          <w:shd w:val="clear" w:color="auto" w:fill="FFFFFF"/>
          <w:lang w:val="en-US" w:eastAsia="zh-CN"/>
        </w:rPr>
        <w:t>主</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动参与区法学会组织的培训及调研工作，完成2篇法治调研文稿撰写，深耕习近平法治思想在东城区的实践应用研究，促进法治理论与实务工作深度融合、协同提升。参与区法学会2025年习近平法治思想东城实践专题研讨会，为基层法治政府建设提质增效提供助力。</w:t>
      </w:r>
    </w:p>
    <w:p w14:paraId="056752A6">
      <w:pPr>
        <w:keepNext w:val="0"/>
        <w:keepLines w:val="0"/>
        <w:pageBreakBefore w:val="0"/>
        <w:widowControl w:val="0"/>
        <w:numPr>
          <w:ilvl w:val="0"/>
          <w:numId w:val="1"/>
        </w:numPr>
        <w:pBdr>
          <w:bottom w:val="single" w:color="FFFFFF" w:sz="4" w:space="31"/>
        </w:pBdr>
        <w:kinsoku/>
        <w:wordWrap/>
        <w:overflowPunct/>
        <w:topLinePunct/>
        <w:autoSpaceDE/>
        <w:autoSpaceDN/>
        <w:bidi w:val="0"/>
        <w:adjustRightInd w:val="0"/>
        <w:spacing w:after="0" w:line="560" w:lineRule="exact"/>
        <w:ind w:left="0" w:leftChars="0" w:right="0" w:rightChars="0" w:firstLine="672"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spacing w:val="8"/>
          <w:sz w:val="32"/>
          <w:szCs w:val="32"/>
          <w:shd w:val="clear" w:color="auto" w:fill="FFFFFF"/>
        </w:rPr>
        <w:t>持续推进政府职能优化协同高效</w:t>
      </w:r>
    </w:p>
    <w:p w14:paraId="766140E5">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after="0" w:line="560" w:lineRule="exact"/>
        <w:ind w:left="0" w:leftChars="0" w:right="0" w:rightChars="0" w:firstLine="672"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仿宋_GB2312" w:hAnsi="仿宋_GB2312" w:eastAsia="仿宋_GB2312" w:cs="仿宋_GB2312"/>
          <w:spacing w:val="8"/>
          <w:sz w:val="32"/>
          <w:szCs w:val="32"/>
          <w:shd w:val="clear" w:color="auto" w:fill="FFFFFF"/>
          <w:lang w:val="en-US" w:eastAsia="zh-CN"/>
        </w:rPr>
        <w:t>推动政务服务更加规范高效</w:t>
      </w:r>
      <w:r>
        <w:rPr>
          <w:rFonts w:hint="eastAsia" w:ascii="仿宋_GB2312" w:hAnsi="仿宋_GB2312" w:eastAsia="仿宋_GB2312" w:cs="仿宋_GB2312"/>
          <w:spacing w:val="8"/>
          <w:sz w:val="32"/>
          <w:szCs w:val="32"/>
          <w:shd w:val="clear" w:color="auto" w:fill="FFFFFF"/>
          <w:lang w:val="en-US" w:eastAsia="zh-CN"/>
        </w:rPr>
        <w:t>。交道口街道始终秉持以服务群众为核心的发展理念，将方便群众办事</w:t>
      </w:r>
      <w:r>
        <w:rPr>
          <w:rFonts w:hint="eastAsia" w:ascii="仿宋_GB2312" w:hAnsi="仿宋_GB2312" w:eastAsia="仿宋_GB2312" w:cs="仿宋_GB2312"/>
          <w:color w:val="000000" w:themeColor="text1"/>
          <w:sz w:val="32"/>
          <w:szCs w:val="32"/>
          <w14:textFill>
            <w14:solidFill>
              <w14:schemeClr w14:val="tx1"/>
            </w14:solidFill>
          </w14:textFill>
        </w:rPr>
        <w:t>作为工作的重要导向，不断推动政务服务质量迈向新台阶。针对不同类别的服务事项，街道精心组织了与之对应的培训与学习活动，鼓励工作人员积极探索、勇于创新，不断优化服务模式。通过这些</w:t>
      </w:r>
      <w:r>
        <w:rPr>
          <w:rFonts w:hint="eastAsia" w:ascii="仿宋_GB2312" w:hAnsi="仿宋_GB2312" w:eastAsia="仿宋_GB2312" w:cs="仿宋_GB2312"/>
          <w:color w:val="000000" w:themeColor="text1"/>
          <w:sz w:val="32"/>
          <w:szCs w:val="32"/>
          <w:lang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政务服务工作的效能得到显著提升，居民得以享受到更为便捷、高效的政务服务。截至目前，交道口街道的政务服务覆盖范围已十分广泛，成功涵盖了公共教育、劳动就业、社会保险、医疗卫生、养老服务、社会服务、住房保障、文化体育以及残疾人服务等所有政务服务领域，实现了政务服务事项</w:t>
      </w:r>
      <w:r>
        <w:rPr>
          <w:rFonts w:hint="default" w:ascii="Times New Roman" w:hAnsi="Times New Roman" w:eastAsia="仿宋_GB2312" w:cs="Times New Roman"/>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入驻，全方位满足</w:t>
      </w:r>
      <w:r>
        <w:rPr>
          <w:rFonts w:hint="eastAsia" w:ascii="仿宋_GB2312" w:hAnsi="仿宋_GB2312" w:eastAsia="仿宋_GB2312" w:cs="仿宋_GB2312"/>
          <w:color w:val="000000" w:themeColor="text1"/>
          <w:sz w:val="32"/>
          <w:szCs w:val="32"/>
          <w:lang w:eastAsia="zh-CN"/>
          <w14:textFill>
            <w14:solidFill>
              <w14:schemeClr w14:val="tx1"/>
            </w14:solidFill>
          </w14:textFill>
        </w:rPr>
        <w:t>了居民的各类政务需求。</w:t>
      </w:r>
    </w:p>
    <w:p w14:paraId="1331A64B">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pacing w:after="0" w:line="560" w:lineRule="exact"/>
        <w:ind w:left="0" w:leftChars="0" w:right="0" w:rightChars="0" w:firstLine="672" w:firstLineChars="200"/>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spacing w:val="8"/>
          <w:sz w:val="32"/>
          <w:szCs w:val="32"/>
          <w:shd w:val="clear" w:color="auto" w:fill="FFFFFF"/>
          <w:lang w:val="en-US" w:eastAsia="zh-CN"/>
        </w:rPr>
        <w:t>推动一体化综合监管改革向纵深发展。我街道积极构建以信用为基础、信息化为支撑的监管机制。对纳入“无事不扰</w:t>
      </w:r>
      <w:r>
        <w:rPr>
          <w:rFonts w:hint="eastAsia" w:ascii="仿宋_GB2312" w:hAnsi="仿宋_GB2312" w:eastAsia="仿宋_GB2312" w:cs="仿宋_GB2312"/>
          <w:color w:val="000000"/>
          <w:sz w:val="32"/>
          <w:szCs w:val="32"/>
          <w:lang w:val="en-US" w:eastAsia="zh-CN" w:bidi="ar-SA"/>
        </w:rPr>
        <w:t>”清单的企业免于日常检查，确需检查的严格履行报备。所有涉企现场检查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sz w:val="32"/>
          <w:szCs w:val="32"/>
          <w:lang w:val="en-US" w:eastAsia="zh-CN" w:bidi="ar-SA"/>
        </w:rPr>
        <w:t>落实“逢查必扫”，实现监管全程可追溯。以视频监控、数据比对等非现场方式作为主要监管手段，通过非现场发现的问题线索精准指引现场执法，提升检查针对性与实效性。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sz w:val="32"/>
          <w:szCs w:val="32"/>
          <w:lang w:val="en-US" w:eastAsia="zh-CN" w:bidi="ar-SA"/>
        </w:rPr>
        <w:t>年我街道执法部门已累计开展行政检查共计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4024</w:t>
      </w:r>
      <w:r>
        <w:rPr>
          <w:rFonts w:hint="eastAsia" w:ascii="仿宋_GB2312" w:hAnsi="仿宋_GB2312" w:eastAsia="仿宋_GB2312" w:cs="仿宋_GB2312"/>
          <w:color w:val="000000"/>
          <w:sz w:val="32"/>
          <w:szCs w:val="32"/>
          <w:lang w:val="en-US" w:eastAsia="zh-CN" w:bidi="ar-SA"/>
        </w:rPr>
        <w:t>次，其中现场检查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774</w:t>
      </w:r>
      <w:r>
        <w:rPr>
          <w:rFonts w:hint="eastAsia" w:ascii="仿宋_GB2312" w:hAnsi="仿宋_GB2312" w:eastAsia="仿宋_GB2312" w:cs="仿宋_GB2312"/>
          <w:color w:val="000000"/>
          <w:sz w:val="32"/>
          <w:szCs w:val="32"/>
          <w:lang w:val="en-US" w:eastAsia="zh-CN" w:bidi="ar-SA"/>
        </w:rPr>
        <w:t>次，非现场检查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3250</w:t>
      </w:r>
      <w:r>
        <w:rPr>
          <w:rFonts w:hint="eastAsia" w:ascii="仿宋_GB2312" w:hAnsi="仿宋_GB2312" w:eastAsia="仿宋_GB2312" w:cs="仿宋_GB2312"/>
          <w:color w:val="000000"/>
          <w:sz w:val="32"/>
          <w:szCs w:val="32"/>
          <w:lang w:val="en-US" w:eastAsia="zh-CN" w:bidi="ar-SA"/>
        </w:rPr>
        <w:t>次，非现场检查占比达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80.7%。</w:t>
      </w:r>
      <w:r>
        <w:rPr>
          <w:rFonts w:hint="eastAsia" w:ascii="仿宋_GB2312" w:hAnsi="仿宋_GB2312" w:eastAsia="仿宋_GB2312" w:cs="仿宋_GB2312"/>
          <w:color w:val="000000"/>
          <w:sz w:val="32"/>
          <w:szCs w:val="32"/>
          <w:lang w:val="en-US" w:eastAsia="zh-CN" w:bidi="ar-SA"/>
        </w:rPr>
        <w:t>检查总发现问题率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48.2%</w:t>
      </w:r>
      <w:r>
        <w:rPr>
          <w:rFonts w:hint="eastAsia" w:ascii="仿宋_GB2312" w:hAnsi="仿宋_GB2312" w:eastAsia="仿宋_GB2312" w:cs="仿宋_GB2312"/>
          <w:color w:val="000000"/>
          <w:sz w:val="32"/>
          <w:szCs w:val="32"/>
          <w:lang w:val="en-US" w:eastAsia="zh-CN" w:bidi="ar-SA"/>
        </w:rPr>
        <w:t>，实现了精准发现问题、精准监管处置的目标。涉企检查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215</w:t>
      </w:r>
      <w:r>
        <w:rPr>
          <w:rFonts w:hint="eastAsia" w:ascii="仿宋_GB2312" w:hAnsi="仿宋_GB2312" w:eastAsia="仿宋_GB2312" w:cs="仿宋_GB2312"/>
          <w:color w:val="000000"/>
          <w:sz w:val="32"/>
          <w:szCs w:val="32"/>
          <w:lang w:val="en-US" w:eastAsia="zh-CN" w:bidi="ar-SA"/>
        </w:rPr>
        <w:t>单，涉企检查问题发现率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25.5%</w:t>
      </w:r>
      <w:r>
        <w:rPr>
          <w:rFonts w:hint="eastAsia" w:ascii="仿宋_GB2312" w:hAnsi="仿宋_GB2312" w:eastAsia="仿宋_GB2312" w:cs="仿宋_GB2312"/>
          <w:color w:val="000000"/>
          <w:sz w:val="32"/>
          <w:szCs w:val="32"/>
          <w:lang w:val="en-US" w:eastAsia="zh-CN" w:bidi="ar-SA"/>
        </w:rPr>
        <w:t>。</w:t>
      </w:r>
    </w:p>
    <w:p w14:paraId="389958EF">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72" w:firstLineChars="200"/>
        <w:textAlignment w:val="baseline"/>
        <w:outlineLvl w:val="0"/>
        <w:rPr>
          <w:rFonts w:hint="default" w:ascii="仿宋_GB2312" w:hAnsi="仿宋_GB2312" w:eastAsia="仿宋_GB2312" w:cs="仿宋_GB2312"/>
          <w:spacing w:val="8"/>
          <w:sz w:val="32"/>
          <w:szCs w:val="32"/>
          <w:shd w:val="clear" w:color="auto" w:fill="FFFFFF"/>
          <w:lang w:val="en-US" w:eastAsia="zh-CN"/>
        </w:rPr>
      </w:pPr>
      <w:r>
        <w:rPr>
          <w:rFonts w:hint="eastAsia" w:ascii="仿宋_GB2312" w:hAnsi="仿宋_GB2312" w:eastAsia="仿宋_GB2312" w:cs="仿宋_GB2312"/>
          <w:spacing w:val="8"/>
          <w:sz w:val="32"/>
          <w:szCs w:val="32"/>
          <w:shd w:val="clear" w:color="auto" w:fill="FFFFFF"/>
          <w:lang w:val="en-US" w:eastAsia="zh-CN"/>
        </w:rPr>
        <w:t>扎实推进法治化营商环境建设。</w:t>
      </w:r>
      <w:r>
        <w:rPr>
          <w:rFonts w:hint="default" w:ascii="仿宋_GB2312" w:hAnsi="仿宋_GB2312" w:eastAsia="仿宋_GB2312" w:cs="仿宋_GB2312"/>
          <w:spacing w:val="8"/>
          <w:sz w:val="32"/>
          <w:szCs w:val="32"/>
          <w:shd w:val="clear" w:color="auto" w:fill="FFFFFF"/>
          <w:lang w:val="en-US" w:eastAsia="zh-CN"/>
        </w:rPr>
        <w:t>截至</w:t>
      </w:r>
      <w:r>
        <w:rPr>
          <w:rFonts w:hint="eastAsia" w:ascii="Times New Roman" w:hAnsi="Times New Roman" w:eastAsia="宋体" w:cs="Times New Roman"/>
          <w:sz w:val="32"/>
          <w:szCs w:val="40"/>
          <w:lang w:val="en-US" w:eastAsia="zh-CN"/>
        </w:rPr>
        <w:t>11</w:t>
      </w:r>
      <w:r>
        <w:rPr>
          <w:rFonts w:hint="eastAsia" w:ascii="仿宋_GB2312" w:hAnsi="仿宋_GB2312" w:eastAsia="仿宋_GB2312" w:cs="仿宋_GB2312"/>
          <w:spacing w:val="8"/>
          <w:sz w:val="32"/>
          <w:szCs w:val="32"/>
          <w:shd w:val="clear" w:color="auto" w:fill="FFFFFF"/>
          <w:lang w:val="en-US" w:eastAsia="zh-CN"/>
        </w:rPr>
        <w:t>月，</w:t>
      </w:r>
      <w:r>
        <w:rPr>
          <w:rFonts w:hint="default" w:ascii="仿宋_GB2312" w:hAnsi="仿宋_GB2312" w:eastAsia="仿宋_GB2312" w:cs="仿宋_GB2312"/>
          <w:spacing w:val="8"/>
          <w:sz w:val="32"/>
          <w:szCs w:val="32"/>
          <w:shd w:val="clear" w:color="auto" w:fill="FFFFFF"/>
          <w:lang w:val="en-US" w:eastAsia="zh-CN"/>
        </w:rPr>
        <w:t>新引进新设立企业</w:t>
      </w:r>
      <w:r>
        <w:rPr>
          <w:rFonts w:hint="eastAsia" w:ascii="Times New Roman" w:hAnsi="Times New Roman" w:eastAsia="宋体" w:cs="Times New Roman"/>
          <w:sz w:val="32"/>
          <w:szCs w:val="40"/>
          <w:lang w:val="en-US" w:eastAsia="zh-CN"/>
        </w:rPr>
        <w:t>103</w:t>
      </w:r>
      <w:r>
        <w:rPr>
          <w:rFonts w:hint="eastAsia" w:ascii="仿宋_GB2312" w:hAnsi="仿宋_GB2312" w:eastAsia="仿宋_GB2312" w:cs="仿宋_GB2312"/>
          <w:spacing w:val="8"/>
          <w:sz w:val="32"/>
          <w:szCs w:val="32"/>
          <w:shd w:val="clear" w:color="auto" w:fill="FFFFFF"/>
          <w:lang w:val="en-US" w:eastAsia="zh-CN"/>
        </w:rPr>
        <w:t>家</w:t>
      </w:r>
      <w:r>
        <w:rPr>
          <w:rFonts w:hint="default" w:ascii="仿宋_GB2312" w:hAnsi="仿宋_GB2312" w:eastAsia="仿宋_GB2312" w:cs="仿宋_GB2312"/>
          <w:spacing w:val="8"/>
          <w:sz w:val="32"/>
          <w:szCs w:val="32"/>
          <w:shd w:val="clear" w:color="auto" w:fill="FFFFFF"/>
          <w:lang w:val="en-US" w:eastAsia="zh-CN"/>
        </w:rPr>
        <w:t>。组织赴京外开展招商活动，引进特医互联、通泰恒盛</w:t>
      </w:r>
      <w:r>
        <w:rPr>
          <w:rFonts w:hint="default" w:ascii="Times New Roman" w:hAnsi="Times New Roman" w:eastAsia="宋体" w:cs="Times New Roman"/>
          <w:sz w:val="32"/>
          <w:szCs w:val="40"/>
          <w:lang w:val="en-US" w:eastAsia="zh-CN"/>
        </w:rPr>
        <w:t>2</w:t>
      </w:r>
      <w:r>
        <w:rPr>
          <w:rFonts w:hint="default" w:ascii="仿宋_GB2312" w:hAnsi="仿宋_GB2312" w:eastAsia="仿宋_GB2312" w:cs="仿宋_GB2312"/>
          <w:spacing w:val="8"/>
          <w:sz w:val="32"/>
          <w:szCs w:val="32"/>
          <w:shd w:val="clear" w:color="auto" w:fill="FFFFFF"/>
          <w:lang w:val="en-US" w:eastAsia="zh-CN"/>
        </w:rPr>
        <w:t>家国高新和市级专精特新企业，完成“两区”建设招商引资项目</w:t>
      </w:r>
      <w:r>
        <w:rPr>
          <w:rFonts w:hint="default" w:ascii="Times New Roman" w:hAnsi="Times New Roman" w:eastAsia="宋体" w:cs="Times New Roman"/>
          <w:sz w:val="32"/>
          <w:szCs w:val="40"/>
          <w:lang w:val="en-US" w:eastAsia="zh-CN"/>
        </w:rPr>
        <w:t>2</w:t>
      </w:r>
      <w:r>
        <w:rPr>
          <w:rFonts w:hint="default" w:ascii="仿宋_GB2312" w:hAnsi="仿宋_GB2312" w:eastAsia="仿宋_GB2312" w:cs="仿宋_GB2312"/>
          <w:spacing w:val="8"/>
          <w:sz w:val="32"/>
          <w:szCs w:val="32"/>
          <w:shd w:val="clear" w:color="auto" w:fill="FFFFFF"/>
          <w:lang w:val="en-US" w:eastAsia="zh-CN"/>
        </w:rPr>
        <w:t>个</w:t>
      </w:r>
      <w:r>
        <w:rPr>
          <w:rFonts w:hint="eastAsia" w:ascii="仿宋_GB2312" w:hAnsi="仿宋_GB2312" w:eastAsia="仿宋_GB2312" w:cs="仿宋_GB2312"/>
          <w:spacing w:val="8"/>
          <w:sz w:val="32"/>
          <w:szCs w:val="32"/>
          <w:shd w:val="clear" w:color="auto" w:fill="FFFFFF"/>
          <w:lang w:val="en-US" w:eastAsia="zh-CN"/>
        </w:rPr>
        <w:t>，注册资本金均为</w:t>
      </w:r>
      <w:r>
        <w:rPr>
          <w:rFonts w:hint="eastAsia" w:ascii="Times New Roman" w:hAnsi="Times New Roman" w:eastAsia="宋体" w:cs="Times New Roman"/>
          <w:sz w:val="32"/>
          <w:szCs w:val="40"/>
          <w:lang w:val="en-US" w:eastAsia="zh-CN"/>
        </w:rPr>
        <w:t>5000</w:t>
      </w:r>
      <w:r>
        <w:rPr>
          <w:rFonts w:hint="eastAsia" w:ascii="仿宋_GB2312" w:hAnsi="仿宋_GB2312" w:eastAsia="仿宋_GB2312" w:cs="仿宋_GB2312"/>
          <w:sz w:val="32"/>
          <w:szCs w:val="40"/>
          <w:lang w:val="en-US" w:eastAsia="zh-CN"/>
        </w:rPr>
        <w:t>万元</w:t>
      </w:r>
      <w:r>
        <w:rPr>
          <w:rFonts w:hint="eastAsia" w:ascii="仿宋_GB2312" w:hAnsi="仿宋_GB2312" w:eastAsia="仿宋_GB2312" w:cs="仿宋_GB2312"/>
          <w:spacing w:val="8"/>
          <w:sz w:val="32"/>
          <w:szCs w:val="32"/>
          <w:shd w:val="clear" w:color="auto" w:fill="FFFFFF"/>
          <w:lang w:val="en-US" w:eastAsia="zh-CN"/>
        </w:rPr>
        <w:t>。完成特完（北京）科技有限公司等</w:t>
      </w:r>
      <w:r>
        <w:rPr>
          <w:rFonts w:hint="eastAsia" w:ascii="Times New Roman" w:hAnsi="Times New Roman" w:eastAsia="宋体" w:cs="Times New Roman"/>
          <w:sz w:val="32"/>
          <w:szCs w:val="40"/>
          <w:lang w:val="en-US" w:eastAsia="zh-CN"/>
        </w:rPr>
        <w:t>4</w:t>
      </w:r>
      <w:r>
        <w:rPr>
          <w:rFonts w:hint="eastAsia" w:ascii="仿宋_GB2312" w:hAnsi="仿宋_GB2312" w:eastAsia="仿宋_GB2312" w:cs="仿宋_GB2312"/>
          <w:spacing w:val="8"/>
          <w:sz w:val="32"/>
          <w:szCs w:val="32"/>
          <w:shd w:val="clear" w:color="auto" w:fill="FFFFFF"/>
          <w:lang w:val="en-US" w:eastAsia="zh-CN"/>
        </w:rPr>
        <w:t>家企业升规纳统</w:t>
      </w:r>
      <w:r>
        <w:rPr>
          <w:rFonts w:hint="default" w:ascii="仿宋_GB2312" w:hAnsi="仿宋_GB2312" w:eastAsia="仿宋_GB2312" w:cs="仿宋_GB2312"/>
          <w:spacing w:val="8"/>
          <w:sz w:val="32"/>
          <w:szCs w:val="32"/>
          <w:shd w:val="clear" w:color="auto" w:fill="FFFFFF"/>
          <w:lang w:val="en-US" w:eastAsia="zh-CN"/>
        </w:rPr>
        <w:t>。</w:t>
      </w:r>
    </w:p>
    <w:p w14:paraId="665AE946">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72" w:firstLineChars="200"/>
        <w:textAlignment w:val="baseline"/>
        <w:outlineLvl w:val="0"/>
        <w:rPr>
          <w:rFonts w:hint="eastAsia" w:ascii="仿宋_GB2312" w:hAnsi="宋体" w:eastAsia="仿宋_GB2312" w:cs="宋体"/>
          <w:sz w:val="32"/>
          <w:szCs w:val="32"/>
          <w:lang w:val="en-US" w:eastAsia="zh-CN" w:bidi="ar-SA"/>
        </w:rPr>
      </w:pPr>
      <w:r>
        <w:rPr>
          <w:rFonts w:hint="default" w:ascii="仿宋_GB2312" w:hAnsi="仿宋_GB2312" w:eastAsia="仿宋_GB2312" w:cs="仿宋_GB2312"/>
          <w:spacing w:val="8"/>
          <w:sz w:val="32"/>
          <w:szCs w:val="32"/>
          <w:shd w:val="clear" w:color="auto" w:fill="FFFFFF"/>
          <w:lang w:val="en-US" w:eastAsia="zh-CN"/>
        </w:rPr>
        <w:t>不断提升城市治理现代化水平</w:t>
      </w:r>
      <w:r>
        <w:rPr>
          <w:rFonts w:hint="eastAsia" w:ascii="仿宋_GB2312" w:hAnsi="仿宋_GB2312" w:eastAsia="仿宋_GB2312" w:cs="仿宋_GB2312"/>
          <w:spacing w:val="8"/>
          <w:sz w:val="32"/>
          <w:szCs w:val="32"/>
          <w:shd w:val="clear" w:color="auto" w:fill="FFFFFF"/>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bidi="ar-SA"/>
        </w:rPr>
        <w:t>2025</w:t>
      </w:r>
      <w:r>
        <w:rPr>
          <w:rFonts w:hint="eastAsia" w:ascii="仿宋_GB2312" w:hAnsi="仿宋_GB2312" w:eastAsia="仿宋_GB2312" w:cs="仿宋_GB2312"/>
          <w:spacing w:val="8"/>
          <w:kern w:val="2"/>
          <w:sz w:val="32"/>
          <w:szCs w:val="32"/>
          <w:shd w:val="clear" w:color="auto" w:fill="FFFFFF"/>
          <w:lang w:val="en-US" w:eastAsia="zh-CN" w:bidi="ar-SA"/>
        </w:rPr>
        <w:t>年我街道</w:t>
      </w:r>
      <w:r>
        <w:rPr>
          <w:rFonts w:hint="eastAsia" w:ascii="Times New Roman" w:hAnsi="Times New Roman" w:eastAsia="仿宋_GB2312" w:cs="Times New Roman"/>
          <w:b w:val="0"/>
          <w:bCs w:val="0"/>
          <w:color w:val="auto"/>
          <w:kern w:val="2"/>
          <w:sz w:val="32"/>
          <w:szCs w:val="32"/>
          <w:highlight w:val="none"/>
          <w:lang w:val="en-US" w:eastAsia="zh-CN" w:bidi="ar-SA"/>
        </w:rPr>
        <w:t>12345</w:t>
      </w:r>
      <w:r>
        <w:rPr>
          <w:rFonts w:hint="eastAsia" w:ascii="仿宋_GB2312" w:hAnsi="仿宋_GB2312" w:eastAsia="仿宋_GB2312" w:cs="仿宋_GB2312"/>
          <w:spacing w:val="8"/>
          <w:kern w:val="2"/>
          <w:sz w:val="32"/>
          <w:szCs w:val="32"/>
          <w:shd w:val="clear" w:color="auto" w:fill="FFFFFF"/>
          <w:lang w:val="en-US" w:eastAsia="zh-CN" w:bidi="ar-SA"/>
        </w:rPr>
        <w:t>平台共计受理群众诉求</w:t>
      </w:r>
      <w:r>
        <w:rPr>
          <w:rFonts w:hint="eastAsia" w:ascii="Times New Roman" w:hAnsi="Times New Roman" w:eastAsia="仿宋_GB2312" w:cs="Times New Roman"/>
          <w:b w:val="0"/>
          <w:bCs w:val="0"/>
          <w:color w:val="auto"/>
          <w:kern w:val="2"/>
          <w:sz w:val="32"/>
          <w:szCs w:val="32"/>
          <w:highlight w:val="none"/>
          <w:lang w:val="en-US" w:eastAsia="zh-CN" w:bidi="ar-SA"/>
        </w:rPr>
        <w:t>4947</w:t>
      </w:r>
      <w:r>
        <w:rPr>
          <w:rFonts w:hint="eastAsia" w:ascii="仿宋_GB2312" w:hAnsi="仿宋_GB2312" w:eastAsia="仿宋_GB2312" w:cs="仿宋_GB2312"/>
          <w:spacing w:val="8"/>
          <w:kern w:val="2"/>
          <w:sz w:val="32"/>
          <w:szCs w:val="32"/>
          <w:shd w:val="clear" w:color="auto" w:fill="FFFFFF"/>
          <w:lang w:val="en-US" w:eastAsia="zh-CN" w:bidi="ar-SA"/>
        </w:rPr>
        <w:t>件，其中市级直派</w:t>
      </w:r>
      <w:r>
        <w:rPr>
          <w:rFonts w:hint="eastAsia" w:ascii="Times New Roman" w:hAnsi="Times New Roman" w:eastAsia="仿宋_GB2312" w:cs="Times New Roman"/>
          <w:b w:val="0"/>
          <w:bCs w:val="0"/>
          <w:color w:val="auto"/>
          <w:kern w:val="2"/>
          <w:sz w:val="32"/>
          <w:szCs w:val="32"/>
          <w:highlight w:val="none"/>
          <w:lang w:val="en-US" w:eastAsia="zh-CN" w:bidi="ar-SA"/>
        </w:rPr>
        <w:t>1404</w:t>
      </w:r>
      <w:r>
        <w:rPr>
          <w:rFonts w:hint="eastAsia" w:ascii="仿宋_GB2312" w:hAnsi="仿宋_GB2312" w:eastAsia="仿宋_GB2312" w:cs="仿宋_GB2312"/>
          <w:spacing w:val="8"/>
          <w:kern w:val="2"/>
          <w:sz w:val="32"/>
          <w:szCs w:val="32"/>
          <w:shd w:val="clear" w:color="auto" w:fill="FFFFFF"/>
          <w:lang w:val="en-US" w:eastAsia="zh-CN" w:bidi="ar-SA"/>
        </w:rPr>
        <w:t>件，区级转派</w:t>
      </w:r>
      <w:r>
        <w:rPr>
          <w:rFonts w:hint="eastAsia" w:ascii="Times New Roman" w:hAnsi="Times New Roman" w:eastAsia="仿宋_GB2312" w:cs="Times New Roman"/>
          <w:b w:val="0"/>
          <w:bCs w:val="0"/>
          <w:color w:val="auto"/>
          <w:kern w:val="2"/>
          <w:sz w:val="32"/>
          <w:szCs w:val="32"/>
          <w:highlight w:val="none"/>
          <w:lang w:val="en-US" w:eastAsia="zh-CN" w:bidi="ar-SA"/>
        </w:rPr>
        <w:t>3543</w:t>
      </w:r>
      <w:r>
        <w:rPr>
          <w:rFonts w:hint="eastAsia" w:ascii="仿宋_GB2312" w:hAnsi="仿宋_GB2312" w:eastAsia="仿宋_GB2312" w:cs="仿宋_GB2312"/>
          <w:spacing w:val="8"/>
          <w:kern w:val="2"/>
          <w:sz w:val="32"/>
          <w:szCs w:val="32"/>
          <w:shd w:val="clear" w:color="auto" w:fill="FFFFFF"/>
          <w:lang w:val="en-US" w:eastAsia="zh-CN" w:bidi="ar-SA"/>
        </w:rPr>
        <w:t>件。在接诉即办工作中，我街道</w:t>
      </w:r>
      <w:r>
        <w:rPr>
          <w:rFonts w:hint="default" w:ascii="仿宋_GB2312" w:hAnsi="仿宋_GB2312" w:eastAsia="仿宋_GB2312" w:cs="仿宋_GB2312"/>
          <w:spacing w:val="8"/>
          <w:kern w:val="2"/>
          <w:sz w:val="32"/>
          <w:szCs w:val="32"/>
          <w:shd w:val="clear" w:color="auto" w:fill="FFFFFF"/>
          <w:lang w:val="en-US" w:eastAsia="zh-CN" w:bidi="ar-SA"/>
        </w:rPr>
        <w:t>坚持“日调度、周复盘、月分析”</w:t>
      </w:r>
      <w:r>
        <w:rPr>
          <w:rFonts w:hint="eastAsia" w:ascii="仿宋_GB2312" w:hAnsi="仿宋_GB2312" w:eastAsia="仿宋_GB2312" w:cs="仿宋_GB2312"/>
          <w:spacing w:val="8"/>
          <w:kern w:val="2"/>
          <w:sz w:val="32"/>
          <w:szCs w:val="32"/>
          <w:shd w:val="clear" w:color="auto" w:fill="FFFFFF"/>
          <w:lang w:val="en-US" w:eastAsia="zh-CN" w:bidi="ar-SA"/>
        </w:rPr>
        <w:t>，全年累计召开日调度会</w:t>
      </w:r>
      <w:r>
        <w:rPr>
          <w:rFonts w:hint="eastAsia" w:ascii="Times New Roman" w:hAnsi="Times New Roman" w:eastAsia="仿宋_GB2312" w:cs="Times New Roman"/>
          <w:b w:val="0"/>
          <w:bCs w:val="0"/>
          <w:color w:val="auto"/>
          <w:kern w:val="2"/>
          <w:sz w:val="32"/>
          <w:szCs w:val="32"/>
          <w:highlight w:val="none"/>
          <w:lang w:val="en-US" w:eastAsia="zh-CN" w:bidi="ar-SA"/>
        </w:rPr>
        <w:t>365</w:t>
      </w:r>
      <w:r>
        <w:rPr>
          <w:rFonts w:hint="eastAsia" w:ascii="仿宋_GB2312" w:hAnsi="仿宋_GB2312" w:eastAsia="仿宋_GB2312" w:cs="仿宋_GB2312"/>
          <w:spacing w:val="8"/>
          <w:kern w:val="2"/>
          <w:sz w:val="32"/>
          <w:szCs w:val="32"/>
          <w:shd w:val="clear" w:color="auto" w:fill="FFFFFF"/>
          <w:lang w:val="en-US" w:eastAsia="zh-CN" w:bidi="ar-SA"/>
        </w:rPr>
        <w:t>次，专题调度会</w:t>
      </w:r>
      <w:r>
        <w:rPr>
          <w:rFonts w:hint="eastAsia" w:ascii="Times New Roman" w:hAnsi="Times New Roman" w:eastAsia="仿宋_GB2312" w:cs="Times New Roman"/>
          <w:b w:val="0"/>
          <w:bCs w:val="0"/>
          <w:color w:val="auto"/>
          <w:kern w:val="2"/>
          <w:sz w:val="32"/>
          <w:szCs w:val="32"/>
          <w:highlight w:val="none"/>
          <w:lang w:val="en-US" w:eastAsia="zh-CN" w:bidi="ar-SA"/>
        </w:rPr>
        <w:t>24</w:t>
      </w:r>
      <w:r>
        <w:rPr>
          <w:rFonts w:hint="eastAsia" w:ascii="仿宋_GB2312" w:hAnsi="仿宋_GB2312" w:eastAsia="仿宋_GB2312" w:cs="仿宋_GB2312"/>
          <w:spacing w:val="8"/>
          <w:kern w:val="2"/>
          <w:sz w:val="32"/>
          <w:szCs w:val="32"/>
          <w:shd w:val="clear" w:color="auto" w:fill="FFFFFF"/>
          <w:lang w:val="en-US" w:eastAsia="zh-CN" w:bidi="ar-SA"/>
        </w:rPr>
        <w:t>次，成功协调解决了</w:t>
      </w:r>
      <w:r>
        <w:rPr>
          <w:rFonts w:hint="eastAsia" w:ascii="Times New Roman" w:hAnsi="Times New Roman" w:eastAsia="仿宋_GB2312" w:cs="Times New Roman"/>
          <w:b w:val="0"/>
          <w:bCs w:val="0"/>
          <w:color w:val="auto"/>
          <w:kern w:val="2"/>
          <w:sz w:val="32"/>
          <w:szCs w:val="32"/>
          <w:highlight w:val="none"/>
          <w:lang w:val="en-US" w:eastAsia="zh-CN" w:bidi="ar-SA"/>
        </w:rPr>
        <w:t>400</w:t>
      </w:r>
      <w:r>
        <w:rPr>
          <w:rFonts w:hint="eastAsia" w:ascii="仿宋_GB2312" w:hAnsi="仿宋_GB2312" w:eastAsia="仿宋_GB2312" w:cs="仿宋_GB2312"/>
          <w:spacing w:val="8"/>
          <w:kern w:val="2"/>
          <w:sz w:val="32"/>
          <w:szCs w:val="32"/>
          <w:shd w:val="clear" w:color="auto" w:fill="FFFFFF"/>
          <w:lang w:val="en-US" w:eastAsia="zh-CN" w:bidi="ar-SA"/>
        </w:rPr>
        <w:t>余件疑难问题。以“高效办成一件事”推动“高效解决一类问题”</w:t>
      </w:r>
      <w:r>
        <w:rPr>
          <w:rFonts w:hint="eastAsia" w:ascii="仿宋_GB2312" w:hAnsi="仿宋_GB2312" w:eastAsia="仿宋_GB2312" w:cs="仿宋_GB2312"/>
          <w:b w:val="0"/>
          <w:i w:val="0"/>
          <w:caps w:val="0"/>
          <w:spacing w:val="0"/>
          <w:w w:val="100"/>
          <w:kern w:val="2"/>
          <w:sz w:val="32"/>
          <w:szCs w:val="32"/>
          <w:lang w:val="en-US" w:eastAsia="zh-CN" w:bidi="ar-SA"/>
        </w:rPr>
        <w:t>。针对我辖区南锣鼓巷、鼓东大街地区无照游商、占道经营频发的特点，开展“攻百难 解民忧”专项行动，动态调整执法力量，加强巡查检查，重点点位落实专人盯守，定期整治定期复查，做到及时发现、及时处理，不断巩固管理成效。</w:t>
      </w:r>
      <w:r>
        <w:rPr>
          <w:rFonts w:hint="default" w:ascii="仿宋_GB2312" w:hAnsi="宋体" w:eastAsia="仿宋_GB2312" w:cs="宋体"/>
          <w:sz w:val="32"/>
          <w:szCs w:val="32"/>
          <w:lang w:val="en-US" w:eastAsia="zh-CN" w:bidi="ar-SA"/>
        </w:rPr>
        <w:t>通过专题培训、典型案例分析等方式，系统提升</w:t>
      </w:r>
      <w:r>
        <w:rPr>
          <w:rFonts w:hint="eastAsia" w:ascii="仿宋_GB2312" w:hAnsi="宋体" w:eastAsia="仿宋_GB2312" w:cs="宋体"/>
          <w:sz w:val="32"/>
          <w:szCs w:val="32"/>
          <w:lang w:val="en-US" w:eastAsia="zh-CN" w:bidi="ar-SA"/>
        </w:rPr>
        <w:t>工作人员</w:t>
      </w:r>
      <w:r>
        <w:rPr>
          <w:rFonts w:hint="default" w:ascii="仿宋_GB2312" w:hAnsi="宋体" w:eastAsia="仿宋_GB2312" w:cs="宋体"/>
          <w:sz w:val="32"/>
          <w:szCs w:val="32"/>
          <w:lang w:val="en-US" w:eastAsia="zh-CN" w:bidi="ar-SA"/>
        </w:rPr>
        <w:t>沟通技巧、政策运用与现场处置能力，推动“办得了”向“办得好”转变。对高频问题、集中区域、精准施策，从源头降低投诉量，提升治理前瞻性与精准度</w:t>
      </w:r>
      <w:r>
        <w:rPr>
          <w:rFonts w:hint="eastAsia" w:ascii="仿宋_GB2312" w:hAnsi="宋体" w:eastAsia="仿宋_GB2312" w:cs="宋体"/>
          <w:sz w:val="32"/>
          <w:szCs w:val="32"/>
          <w:lang w:val="en-US" w:eastAsia="zh-CN" w:bidi="ar-SA"/>
        </w:rPr>
        <w:t>。</w:t>
      </w:r>
    </w:p>
    <w:p w14:paraId="3FEFB3D2">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同时借鉴新时代“枫桥经验”，将诉求办理与主动治理相结合，聚焦高频高发共性问题和问题突出的重点区域，聚焦季节性、周期性、</w:t>
      </w:r>
      <w:r>
        <w:rPr>
          <w:rFonts w:hint="default" w:ascii="仿宋_GB2312" w:hAnsi="宋体" w:eastAsia="仿宋_GB2312" w:cs="宋体"/>
          <w:sz w:val="32"/>
          <w:szCs w:val="32"/>
          <w:lang w:val="en-US" w:eastAsia="zh-CN" w:bidi="ar-SA"/>
        </w:rPr>
        <w:t>重复诉求</w:t>
      </w:r>
      <w:r>
        <w:rPr>
          <w:rFonts w:hint="eastAsia" w:ascii="仿宋_GB2312" w:hAnsi="宋体" w:eastAsia="仿宋_GB2312" w:cs="宋体"/>
          <w:sz w:val="32"/>
          <w:szCs w:val="32"/>
          <w:lang w:val="en-US" w:eastAsia="zh-CN" w:bidi="ar-SA"/>
        </w:rPr>
        <w:t>等问题</w:t>
      </w:r>
      <w:r>
        <w:rPr>
          <w:rFonts w:hint="default" w:ascii="仿宋_GB2312" w:hAnsi="宋体" w:eastAsia="仿宋_GB2312" w:cs="宋体"/>
          <w:sz w:val="32"/>
          <w:szCs w:val="32"/>
          <w:lang w:val="en-US" w:eastAsia="zh-CN" w:bidi="ar-SA"/>
        </w:rPr>
        <w:t>深度研判</w:t>
      </w:r>
      <w:r>
        <w:rPr>
          <w:rFonts w:hint="eastAsia" w:ascii="仿宋_GB2312" w:hAnsi="仿宋_GB2312" w:eastAsia="仿宋_GB2312" w:cs="仿宋_GB2312"/>
          <w:b w:val="0"/>
          <w:i w:val="0"/>
          <w:caps w:val="0"/>
          <w:spacing w:val="0"/>
          <w:w w:val="100"/>
          <w:kern w:val="2"/>
          <w:sz w:val="32"/>
          <w:szCs w:val="32"/>
          <w:lang w:val="en-US" w:eastAsia="zh-CN" w:bidi="ar-SA"/>
        </w:rPr>
        <w:t>，加强源头治理、长效治理、提前治理</w:t>
      </w:r>
      <w:r>
        <w:rPr>
          <w:rFonts w:hint="eastAsia" w:ascii="仿宋_GB2312" w:hAnsi="仿宋_GB2312" w:eastAsia="仿宋_GB2312" w:cs="仿宋_GB2312"/>
          <w:b w:val="0"/>
          <w:i w:val="0"/>
          <w:caps w:val="0"/>
          <w:color w:val="auto"/>
          <w:spacing w:val="0"/>
          <w:w w:val="100"/>
          <w:kern w:val="2"/>
          <w:sz w:val="32"/>
          <w:szCs w:val="32"/>
          <w:lang w:val="en-US" w:eastAsia="zh-CN" w:bidi="ar-SA"/>
        </w:rPr>
        <w:t>，进一步提升了居民群众的满意度。</w:t>
      </w:r>
    </w:p>
    <w:p w14:paraId="590EDF9E">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72" w:firstLineChars="200"/>
        <w:textAlignment w:val="baseline"/>
        <w:outlineLvl w:val="0"/>
        <w:rPr>
          <w:rFonts w:hint="eastAsia" w:ascii="楷体_GB2312" w:hAnsi="楷体_GB2312" w:eastAsia="楷体_GB2312" w:cs="楷体_GB2312"/>
          <w:b w:val="0"/>
          <w:bCs w:val="0"/>
          <w:sz w:val="32"/>
          <w:szCs w:val="32"/>
          <w:lang w:val="en-US" w:eastAsia="zh-CN" w:bidi="ar-SA"/>
        </w:rPr>
      </w:pPr>
      <w:r>
        <w:rPr>
          <w:rFonts w:hint="eastAsia" w:ascii="楷体_GB2312" w:hAnsi="楷体_GB2312" w:eastAsia="楷体_GB2312" w:cs="楷体_GB2312"/>
          <w:spacing w:val="8"/>
          <w:sz w:val="32"/>
          <w:szCs w:val="32"/>
          <w:shd w:val="clear" w:color="auto" w:fill="FFFFFF"/>
          <w:lang w:val="en-US" w:eastAsia="zh-CN"/>
        </w:rPr>
        <w:t>（三）</w:t>
      </w:r>
      <w:r>
        <w:rPr>
          <w:rFonts w:hint="eastAsia" w:ascii="楷体_GB2312" w:hAnsi="楷体_GB2312" w:eastAsia="楷体_GB2312" w:cs="楷体_GB2312"/>
          <w:spacing w:val="8"/>
          <w:sz w:val="32"/>
          <w:szCs w:val="32"/>
          <w:shd w:val="clear" w:color="auto" w:fill="FFFFFF"/>
        </w:rPr>
        <w:t>加强行政执法规范与效能建设</w:t>
      </w:r>
    </w:p>
    <w:p w14:paraId="49556728">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持续深化行政执法体制改革</w:t>
      </w:r>
      <w:r>
        <w:rPr>
          <w:rFonts w:hint="eastAsia" w:ascii="仿宋_GB2312" w:hAnsi="宋体" w:eastAsia="仿宋_GB2312" w:cs="宋体"/>
          <w:sz w:val="32"/>
          <w:szCs w:val="32"/>
          <w:lang w:val="en-US" w:eastAsia="zh-CN" w:bidi="ar-SA"/>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2025</w:t>
      </w:r>
      <w:r>
        <w:rPr>
          <w:rFonts w:hint="eastAsia" w:ascii="仿宋_GB2312" w:hAnsi="宋体" w:eastAsia="仿宋_GB2312" w:cs="宋体"/>
          <w:sz w:val="32"/>
          <w:szCs w:val="32"/>
          <w:lang w:val="en-US" w:eastAsia="zh-CN" w:bidi="ar-SA"/>
        </w:rPr>
        <w:t>年，街道行政执法队围绕城市管理核心职能，持续加大执法力度，优化执法方式，扎实推进垃圾分类、占道经营、施工工地、燃气安全等重点领域常态化监管与专项整治，执法业务实现质效双升。围绕重点区域与高发时段，采取常态化巡查与集中整治相结合的方式，全年组织开展各类专项执法行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260</w:t>
      </w:r>
      <w:r>
        <w:rPr>
          <w:rFonts w:hint="eastAsia" w:ascii="仿宋_GB2312" w:hAnsi="宋体" w:eastAsia="仿宋_GB2312" w:cs="宋体"/>
          <w:sz w:val="32"/>
          <w:szCs w:val="32"/>
          <w:lang w:val="en-US" w:eastAsia="zh-CN" w:bidi="ar-SA"/>
        </w:rPr>
        <w:t>余次。通过“定时+定点”“人防+技防”等手段，有效遏制门前三包、占道经营等动态性问题，推动街面秩序持续向好。严格依照执法程序，扎实推进案件查处工作。全年共办结案件</w:t>
      </w:r>
      <w:r>
        <w:rPr>
          <w:rFonts w:hint="eastAsia" w:eastAsia="仿宋_GB2312" w:cs="Times New Roman"/>
          <w:color w:val="000000" w:themeColor="text1"/>
          <w:sz w:val="32"/>
          <w:szCs w:val="32"/>
          <w:lang w:val="en-US" w:eastAsia="zh-CN"/>
          <w14:textFill>
            <w14:solidFill>
              <w14:schemeClr w14:val="tx1"/>
            </w14:solidFill>
          </w14:textFill>
        </w:rPr>
        <w:t>255</w:t>
      </w:r>
      <w:r>
        <w:rPr>
          <w:rFonts w:hint="eastAsia" w:ascii="仿宋_GB2312" w:hAnsi="宋体" w:eastAsia="仿宋_GB2312" w:cs="宋体"/>
          <w:sz w:val="32"/>
          <w:szCs w:val="32"/>
          <w:lang w:val="en-US" w:eastAsia="zh-CN" w:bidi="ar-SA"/>
        </w:rPr>
        <w:t>起，其中一般程序案件</w:t>
      </w:r>
      <w:r>
        <w:rPr>
          <w:rFonts w:hint="eastAsia" w:eastAsia="仿宋_GB2312" w:cs="Times New Roman"/>
          <w:color w:val="000000" w:themeColor="text1"/>
          <w:sz w:val="32"/>
          <w:szCs w:val="32"/>
          <w:lang w:val="en-US" w:eastAsia="zh-CN"/>
          <w14:textFill>
            <w14:solidFill>
              <w14:schemeClr w14:val="tx1"/>
            </w14:solidFill>
          </w14:textFill>
        </w:rPr>
        <w:t>69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起，简易程序案件</w:t>
      </w:r>
      <w:r>
        <w:rPr>
          <w:rFonts w:hint="eastAsia" w:eastAsia="仿宋_GB2312" w:cs="Times New Roman"/>
          <w:color w:val="000000" w:themeColor="text1"/>
          <w:sz w:val="32"/>
          <w:szCs w:val="32"/>
          <w:lang w:val="en-US" w:eastAsia="zh-CN"/>
          <w14:textFill>
            <w14:solidFill>
              <w14:schemeClr w14:val="tx1"/>
            </w14:solidFill>
          </w14:textFill>
        </w:rPr>
        <w:t>186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起，罚款共计</w:t>
      </w:r>
      <w:r>
        <w:rPr>
          <w:rFonts w:hint="eastAsia" w:eastAsia="仿宋_GB2312" w:cs="Times New Roman"/>
          <w:color w:val="000000" w:themeColor="text1"/>
          <w:sz w:val="32"/>
          <w:szCs w:val="32"/>
          <w:lang w:val="en-US" w:eastAsia="zh-CN"/>
          <w14:textFill>
            <w14:solidFill>
              <w14:schemeClr w14:val="tx1"/>
            </w14:solidFill>
          </w14:textFill>
        </w:rPr>
        <w:t>191419.5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元。做到事实清楚、证据充分、程序合法、适用准确，</w:t>
      </w:r>
      <w:r>
        <w:rPr>
          <w:rFonts w:hint="eastAsia" w:ascii="仿宋_GB2312" w:hAnsi="宋体" w:eastAsia="仿宋_GB2312" w:cs="宋体"/>
          <w:sz w:val="32"/>
          <w:szCs w:val="32"/>
          <w:lang w:val="en-US" w:eastAsia="zh-CN" w:bidi="ar-SA"/>
        </w:rPr>
        <w:t>不断提升执法规范化水平。</w:t>
      </w:r>
    </w:p>
    <w:p w14:paraId="537361D5">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仿宋_GB2312" w:hAnsi="宋体" w:eastAsia="仿宋_GB2312" w:cs="宋体"/>
          <w:b w:val="0"/>
          <w:bCs w:val="0"/>
          <w:sz w:val="32"/>
          <w:szCs w:val="32"/>
          <w:lang w:val="en-US" w:eastAsia="zh-CN" w:bidi="ar-SA"/>
        </w:rPr>
      </w:pPr>
      <w:r>
        <w:rPr>
          <w:rFonts w:hint="eastAsia" w:ascii="仿宋_GB2312" w:hAnsi="宋体" w:eastAsia="仿宋_GB2312" w:cs="宋体"/>
          <w:sz w:val="32"/>
          <w:szCs w:val="32"/>
          <w:lang w:val="en-US" w:eastAsia="zh-CN" w:bidi="ar-SA"/>
        </w:rPr>
        <w:t>在拆违工作中</w:t>
      </w:r>
      <w:r>
        <w:rPr>
          <w:rFonts w:hint="eastAsia" w:ascii="仿宋_GB2312" w:hAnsi="宋体" w:eastAsia="仿宋_GB2312" w:cs="宋体"/>
          <w:b w:val="0"/>
          <w:bCs w:val="0"/>
          <w:sz w:val="32"/>
          <w:szCs w:val="32"/>
          <w:lang w:val="en-US" w:eastAsia="zh-CN" w:bidi="ar-SA"/>
        </w:rPr>
        <w:t>严格落实市、区关于违法建设治理部署，坚持“遏新增、消存量”。全年累计拆除违法建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48处、面积1512.68平方米；制止并拆除新生违建47处，实现“动态清零”。围绕区级重点任务，顺利完成107个“两违”点位治理；分类推进逾期临建、强拆未拆点位处置；配合完成张自忠路3号院16户自建房拆除；分三批完成4199条图斑核查处置，并建立</w:t>
      </w:r>
      <w:r>
        <w:rPr>
          <w:rFonts w:hint="eastAsia" w:ascii="仿宋_GB2312" w:hAnsi="宋体" w:eastAsia="仿宋_GB2312" w:cs="宋体"/>
          <w:b w:val="0"/>
          <w:bCs w:val="0"/>
          <w:sz w:val="32"/>
          <w:szCs w:val="32"/>
          <w:lang w:val="en-US" w:eastAsia="zh-CN" w:bidi="ar-SA"/>
        </w:rPr>
        <w:t>台账纳入系统长效管理。</w:t>
      </w:r>
    </w:p>
    <w:p w14:paraId="6492AB78">
      <w:pPr>
        <w:keepNext w:val="0"/>
        <w:keepLines w:val="0"/>
        <w:pageBreakBefore w:val="0"/>
        <w:widowControl w:val="0"/>
        <w:numPr>
          <w:ilvl w:val="0"/>
          <w:numId w:val="0"/>
        </w:numPr>
        <w:pBdr>
          <w:bottom w:val="single" w:color="FFFFFF" w:sz="4" w:space="31"/>
        </w:pBdr>
        <w:tabs>
          <w:tab w:val="left" w:pos="1453"/>
        </w:tabs>
        <w:kinsoku/>
        <w:wordWrap/>
        <w:overflowPunct/>
        <w:topLinePunct/>
        <w:autoSpaceDE w:val="0"/>
        <w:autoSpaceDN/>
        <w:bidi w:val="0"/>
        <w:adjustRightInd w:val="0"/>
        <w:spacing w:after="0" w:line="560" w:lineRule="exact"/>
        <w:ind w:left="0" w:leftChars="0" w:right="0" w:rightChars="0" w:firstLine="640" w:firstLineChars="200"/>
        <w:rPr>
          <w:rFonts w:hint="eastAsia" w:ascii="仿宋_GB2312" w:hAnsi="宋体" w:eastAsia="仿宋_GB2312" w:cs="宋体"/>
          <w:sz w:val="32"/>
          <w:szCs w:val="32"/>
          <w:lang w:val="en-US" w:eastAsia="zh-CN" w:bidi="ar-SA"/>
        </w:rPr>
      </w:pPr>
      <w:r>
        <w:rPr>
          <w:rFonts w:hint="eastAsia" w:ascii="仿宋_GB2312" w:hAnsi="宋体" w:eastAsia="仿宋_GB2312" w:cs="宋体"/>
          <w:sz w:val="32"/>
          <w:szCs w:val="32"/>
          <w:lang w:val="en-US" w:eastAsia="zh-CN" w:bidi="ar-SA"/>
        </w:rPr>
        <w:t>着力提升基层依法行政能力。</w:t>
      </w:r>
      <w:r>
        <w:rPr>
          <w:rFonts w:hint="eastAsia" w:ascii="Times New Roman" w:hAnsi="Times New Roman" w:eastAsia="仿宋_GB2312" w:cs="Times New Roman"/>
          <w:color w:val="000000" w:themeColor="text1"/>
          <w:sz w:val="32"/>
          <w:szCs w:val="24"/>
          <w:lang w:val="en-US" w:eastAsia="zh-CN"/>
          <w14:textFill>
            <w14:solidFill>
              <w14:schemeClr w14:val="tx1"/>
            </w14:solidFill>
          </w14:textFill>
        </w:rPr>
        <w:t>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名新提职领导干部和入职人员参加学法用法考试，着力提升工作人员法治素养和依法行政能力，深入推进法治实践，不断提高社会治理法治化水平。参与重大行政决策、重大行政处罚等合法性审查，共开展执法案卷评查</w:t>
      </w:r>
      <w:r>
        <w:rPr>
          <w:rFonts w:hint="eastAsia" w:eastAsia="仿宋_GB2312" w:cs="Times New Roman"/>
          <w:color w:val="000000" w:themeColor="text1"/>
          <w:sz w:val="32"/>
          <w:szCs w:val="32"/>
          <w:lang w:val="en-US" w:eastAsia="zh-CN"/>
          <w14:textFill>
            <w14:solidFill>
              <w14:schemeClr w14:val="tx1"/>
            </w14:solidFill>
          </w14:textFill>
        </w:rPr>
        <w:t>50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卷，重大法制审核7件。在监督过程中，依法调取、查阅执法案卷及相关资料8份，组织执法人员问询7次，针对复杂争议召开论证会2场，积极参与指导行政诉讼或行政复议案件的应诉和答复工作，确保行政负责人出庭应诉率达100%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强化</w:t>
      </w:r>
      <w:r>
        <w:rPr>
          <w:rFonts w:hint="eastAsia" w:ascii="Times New Roman" w:hAnsi="Times New Roman" w:eastAsia="仿宋_GB2312" w:cs="Times New Roman"/>
          <w:color w:val="000000" w:themeColor="text1"/>
          <w:sz w:val="32"/>
          <w:szCs w:val="32"/>
          <w14:textFill>
            <w14:solidFill>
              <w14:schemeClr w14:val="tx1"/>
            </w14:solidFill>
          </w14:textFill>
        </w:rPr>
        <w:t>内部管理，完善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各项</w:t>
      </w:r>
      <w:r>
        <w:rPr>
          <w:rFonts w:hint="eastAsia" w:ascii="Times New Roman" w:hAnsi="Times New Roman" w:eastAsia="仿宋_GB2312" w:cs="Times New Roman"/>
          <w:color w:val="000000" w:themeColor="text1"/>
          <w:sz w:val="32"/>
          <w:szCs w:val="32"/>
          <w14:textFill>
            <w14:solidFill>
              <w14:schemeClr w14:val="tx1"/>
            </w14:solidFill>
          </w14:textFill>
        </w:rPr>
        <w:t>工作制度，确保司法服务规范、有序</w:t>
      </w:r>
      <w:r>
        <w:rPr>
          <w:rFonts w:hint="eastAsia" w:ascii="仿宋_GB2312" w:hAnsi="仿宋_GB2312" w:eastAsia="仿宋_GB2312" w:cs="仿宋_GB2312"/>
          <w:sz w:val="32"/>
          <w:szCs w:val="32"/>
        </w:rPr>
        <w:t>进行。</w:t>
      </w:r>
    </w:p>
    <w:p w14:paraId="29D42DB0">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72" w:firstLineChars="200"/>
        <w:textAlignment w:val="baseline"/>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pacing w:val="8"/>
          <w:sz w:val="32"/>
          <w:szCs w:val="32"/>
          <w:shd w:val="clear" w:color="auto" w:fill="FFFFFF"/>
          <w:lang w:eastAsia="zh-CN"/>
        </w:rPr>
        <w:t>（四）</w:t>
      </w:r>
      <w:r>
        <w:rPr>
          <w:rFonts w:hint="eastAsia" w:ascii="楷体_GB2312" w:hAnsi="楷体_GB2312" w:eastAsia="楷体_GB2312" w:cs="楷体_GB2312"/>
          <w:spacing w:val="8"/>
          <w:sz w:val="32"/>
          <w:szCs w:val="32"/>
          <w:shd w:val="clear" w:color="auto" w:fill="FFFFFF"/>
        </w:rPr>
        <w:t>完善突发事件应对制度机制</w:t>
      </w:r>
    </w:p>
    <w:p w14:paraId="62332A6F">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ascii="仿宋_GB2312" w:hAnsi="仿宋_GB2312" w:eastAsia="仿宋_GB2312"/>
          <w:color w:val="auto"/>
          <w:sz w:val="32"/>
          <w:szCs w:val="32"/>
        </w:rPr>
      </w:pPr>
      <w:r>
        <w:rPr>
          <w:rFonts w:hint="eastAsia" w:ascii="仿宋_GB2312" w:hAnsi="仿宋_GB2312" w:eastAsia="仿宋_GB2312" w:cs="仿宋_GB2312"/>
          <w:color w:val="auto"/>
          <w:sz w:val="32"/>
          <w:szCs w:val="32"/>
          <w:lang w:val="en-US" w:eastAsia="zh-CN"/>
        </w:rPr>
        <w:t>充分利用“智慧社区”视频监控设施，在日常工作中提升智能化管理水平，全力保障辖区社会面安全稳定。</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重点时期对影响</w:t>
      </w:r>
      <w:r>
        <w:rPr>
          <w:rFonts w:hint="eastAsia" w:ascii="仿宋_GB2312" w:hAnsi="仿宋_GB2312" w:eastAsia="仿宋_GB2312" w:cs="仿宋_GB2312"/>
          <w:color w:val="000000"/>
          <w:sz w:val="32"/>
          <w:szCs w:val="32"/>
          <w:lang w:eastAsia="zh-CN"/>
        </w:rPr>
        <w:t>地区</w:t>
      </w:r>
      <w:r>
        <w:rPr>
          <w:rFonts w:hint="eastAsia" w:ascii="仿宋_GB2312" w:hAnsi="仿宋_GB2312" w:eastAsia="仿宋_GB2312" w:cs="仿宋_GB2312"/>
          <w:color w:val="000000"/>
          <w:sz w:val="32"/>
          <w:szCs w:val="32"/>
        </w:rPr>
        <w:t>安全稳定的突出问题和风险隐患，着眼预测预警预防，加强搜集分析研判、及时掌握深层次、</w:t>
      </w:r>
      <w:r>
        <w:rPr>
          <w:rFonts w:hint="eastAsia" w:ascii="仿宋_GB2312" w:hAnsi="仿宋_GB2312" w:eastAsia="仿宋_GB2312" w:cs="仿宋_GB2312"/>
          <w:color w:val="000000"/>
          <w:sz w:val="32"/>
          <w:szCs w:val="32"/>
          <w:lang w:eastAsia="zh-CN"/>
        </w:rPr>
        <w:t>动态</w:t>
      </w:r>
      <w:r>
        <w:rPr>
          <w:rFonts w:hint="eastAsia" w:ascii="仿宋_GB2312" w:hAnsi="仿宋_GB2312" w:eastAsia="仿宋_GB2312" w:cs="仿宋_GB2312"/>
          <w:color w:val="000000"/>
          <w:sz w:val="32"/>
          <w:szCs w:val="32"/>
        </w:rPr>
        <w:t>情报信息，确保将各类风险隐患防范化解、稳控处置到位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lang w:val="en-US" w:eastAsia="zh-CN"/>
        </w:rPr>
        <w:t>在两会、“五一”“9·3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等重要时间节点及敏感日期，精心制定专项工作方案和应急处置预案，明确并落实工作责任与要求。</w:t>
      </w:r>
      <w:r>
        <w:rPr>
          <w:rFonts w:hint="eastAsia" w:ascii="仿宋_GB2312" w:hAnsi="仿宋_GB2312" w:eastAsia="仿宋_GB2312" w:cs="仿宋_GB2312"/>
          <w:color w:val="auto"/>
          <w:sz w:val="32"/>
          <w:szCs w:val="32"/>
        </w:rPr>
        <w:t>及时报送安保维稳情报信息，通知相关领导参加会商会，全面梳理分析、汇总上报街道各类风险情况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及时报送重大突发事件及敏感情报信息，确保情报</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color w:val="auto"/>
          <w:sz w:val="32"/>
          <w:szCs w:val="32"/>
        </w:rPr>
        <w:t>快速灵敏有效。</w:t>
      </w:r>
      <w:r>
        <w:rPr>
          <w:rFonts w:hint="eastAsia" w:ascii="仿宋_GB2312" w:hAnsi="仿宋_GB2312" w:eastAsia="仿宋_GB2312" w:cs="仿宋_GB2312"/>
          <w:color w:val="auto"/>
          <w:sz w:val="32"/>
          <w:szCs w:val="32"/>
          <w:lang w:val="en-US" w:eastAsia="zh-CN"/>
        </w:rPr>
        <w:t>按照前期制定的专项工作方案和应急处置预案，落实工作责任和工作部署。积极发动各类群众力量，发现上报反恐防暴及各类扬言诉求等不安定线索，加强风险隐患排查，共同维护街道的和谐稳定。</w:t>
      </w:r>
    </w:p>
    <w:p w14:paraId="3F6620AF">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pacing w:after="0" w:line="560" w:lineRule="exact"/>
        <w:ind w:left="0" w:leftChars="0" w:right="0" w:rightChars="0" w:firstLine="672" w:firstLineChars="200"/>
        <w:rPr>
          <w:rFonts w:hint="eastAsia" w:ascii="楷体_GB2312" w:hAnsi="楷体_GB2312" w:eastAsia="楷体_GB2312" w:cs="楷体_GB2312"/>
          <w:spacing w:val="8"/>
          <w:sz w:val="32"/>
          <w:szCs w:val="32"/>
          <w:shd w:val="clear" w:color="auto" w:fill="FFFFFF"/>
        </w:rPr>
      </w:pPr>
      <w:r>
        <w:rPr>
          <w:rFonts w:hint="eastAsia" w:ascii="楷体_GB2312" w:hAnsi="楷体_GB2312" w:eastAsia="楷体_GB2312" w:cs="楷体_GB2312"/>
          <w:spacing w:val="8"/>
          <w:sz w:val="32"/>
          <w:szCs w:val="32"/>
          <w:shd w:val="clear" w:color="auto" w:fill="FFFFFF"/>
          <w:lang w:eastAsia="zh-CN"/>
        </w:rPr>
        <w:t>（五）</w:t>
      </w:r>
      <w:r>
        <w:rPr>
          <w:rFonts w:hint="eastAsia" w:ascii="楷体_GB2312" w:hAnsi="楷体_GB2312" w:eastAsia="楷体_GB2312" w:cs="楷体_GB2312"/>
          <w:spacing w:val="8"/>
          <w:sz w:val="32"/>
          <w:szCs w:val="32"/>
          <w:shd w:val="clear" w:color="auto" w:fill="FFFFFF"/>
        </w:rPr>
        <w:t>强化内外监督工作合力</w:t>
      </w:r>
    </w:p>
    <w:p w14:paraId="2E2A175D">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pacing w:after="0" w:line="560" w:lineRule="exact"/>
        <w:ind w:left="0" w:leftChars="0" w:right="0" w:rightChars="0" w:firstLine="640" w:firstLineChars="200"/>
        <w:rPr>
          <w:rFonts w:hint="default" w:ascii="Times New Roman" w:hAnsi="Times New Roman" w:eastAsia="仿宋_GB2312" w:cs="Times New Roman"/>
          <w:color w:val="000000"/>
          <w:kern w:val="2"/>
          <w:sz w:val="32"/>
          <w:szCs w:val="32"/>
          <w:lang w:val="zh-CN" w:eastAsia="zh-CN" w:bidi="ar-SA"/>
        </w:rPr>
      </w:pPr>
      <w:r>
        <w:rPr>
          <w:rFonts w:hint="eastAsia" w:ascii="仿宋_GB2312" w:hAnsi="宋体" w:eastAsia="仿宋_GB2312" w:cs="宋体"/>
          <w:sz w:val="32"/>
          <w:szCs w:val="32"/>
          <w:lang w:val="en-US" w:eastAsia="zh-CN" w:bidi="ar-SA"/>
        </w:rPr>
        <w:t>主动接受人大监督和政协民主监督</w:t>
      </w:r>
      <w:r>
        <w:rPr>
          <w:rFonts w:hint="default" w:ascii="仿宋_GB2312" w:hAnsi="宋体" w:eastAsia="仿宋_GB2312" w:cs="宋体"/>
          <w:sz w:val="32"/>
          <w:szCs w:val="32"/>
          <w:lang w:val="en-US" w:eastAsia="zh-CN" w:bidi="ar-SA"/>
        </w:rPr>
        <w:t>。</w:t>
      </w:r>
      <w:r>
        <w:rPr>
          <w:rFonts w:hint="default" w:ascii="Times New Roman" w:hAnsi="Times New Roman" w:eastAsia="仿宋_GB2312" w:cs="Times New Roman"/>
          <w:color w:val="000000"/>
          <w:kern w:val="2"/>
          <w:sz w:val="32"/>
          <w:szCs w:val="32"/>
          <w:lang w:val="zh-CN" w:eastAsia="zh-CN" w:bidi="ar-SA"/>
        </w:rPr>
        <w:t>周密部署人大代表换届选举工作</w:t>
      </w:r>
      <w:r>
        <w:rPr>
          <w:rFonts w:hint="eastAsia" w:ascii="Times New Roman" w:hAnsi="Times New Roman" w:cs="Times New Roman"/>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严格遵循《选举法》等相关规定，设立选举机构，确保“十个法定程序”严格执行到位。做好出席区</w:t>
      </w:r>
      <w:r>
        <w:rPr>
          <w:rFonts w:hint="eastAsia" w:eastAsia="仿宋_GB2312" w:cs="Times New Roman"/>
          <w:color w:val="000000"/>
          <w:kern w:val="2"/>
          <w:sz w:val="32"/>
          <w:szCs w:val="32"/>
          <w:lang w:val="zh-CN" w:eastAsia="zh-CN" w:bidi="ar-SA"/>
        </w:rPr>
        <w:t>人民代表大会</w:t>
      </w:r>
      <w:r>
        <w:rPr>
          <w:rFonts w:hint="default" w:ascii="Times New Roman" w:hAnsi="Times New Roman" w:eastAsia="仿宋_GB2312" w:cs="Times New Roman"/>
          <w:color w:val="000000"/>
          <w:kern w:val="2"/>
          <w:sz w:val="32"/>
          <w:szCs w:val="32"/>
          <w:lang w:val="zh-CN" w:eastAsia="zh-CN" w:bidi="ar-SA"/>
        </w:rPr>
        <w:t>前、会中、会后的组织和保障工作，协助代表做好高质量议案建议提交工作。依托代表“家站”平台，坚持每季度接待制度，</w:t>
      </w:r>
      <w:r>
        <w:rPr>
          <w:rFonts w:hint="eastAsia" w:ascii="仿宋" w:hAnsi="仿宋" w:eastAsia="仿宋" w:cs="仿宋"/>
          <w:color w:val="000000"/>
          <w:kern w:val="2"/>
          <w:sz w:val="32"/>
          <w:szCs w:val="32"/>
          <w:lang w:val="zh-CN" w:eastAsia="zh-CN" w:bidi="ar-SA"/>
        </w:rPr>
        <w:t>做好</w:t>
      </w:r>
      <w:r>
        <w:rPr>
          <w:rFonts w:hint="default" w:ascii="Times New Roman" w:hAnsi="Times New Roman" w:eastAsia="仿宋_GB2312" w:cs="Times New Roman"/>
          <w:color w:val="000000"/>
          <w:kern w:val="2"/>
          <w:sz w:val="32"/>
          <w:szCs w:val="32"/>
          <w:lang w:val="zh-CN" w:eastAsia="zh-CN" w:bidi="ar-SA"/>
        </w:rPr>
        <w:t>“码上找代表”试点，收集并推动解决群众关心的民生问题</w:t>
      </w:r>
      <w:r>
        <w:rPr>
          <w:rFonts w:hint="default" w:ascii="Times New Roman" w:hAnsi="Times New Roman" w:cs="Times New Roman"/>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强化代表履职保障与能力建设。</w:t>
      </w:r>
      <w:r>
        <w:rPr>
          <w:rFonts w:hint="default" w:ascii="Times New Roman" w:hAnsi="Times New Roman" w:eastAsia="仿宋_GB2312" w:cs="Times New Roman"/>
          <w:color w:val="auto"/>
          <w:kern w:val="2"/>
          <w:sz w:val="32"/>
          <w:szCs w:val="32"/>
          <w:lang w:val="zh-CN" w:eastAsia="zh-CN" w:bidi="ar-SA"/>
        </w:rPr>
        <w:t>以代表“家站”为阵地，组织好代表学习，同时发挥代表主体作用，加强代表建议督办，</w:t>
      </w:r>
      <w:r>
        <w:rPr>
          <w:rFonts w:hint="default" w:ascii="Times New Roman" w:hAnsi="Times New Roman" w:eastAsia="仿宋_GB2312" w:cs="Times New Roman"/>
          <w:color w:val="000000"/>
          <w:kern w:val="2"/>
          <w:sz w:val="32"/>
          <w:szCs w:val="32"/>
          <w:lang w:val="zh-CN" w:eastAsia="zh-CN" w:bidi="ar-SA"/>
        </w:rPr>
        <w:t>推动民生实事落地见效。</w:t>
      </w:r>
    </w:p>
    <w:p w14:paraId="5ABAFA21">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pacing w:after="0"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加强财政监督。完成</w:t>
      </w:r>
      <w:r>
        <w:rPr>
          <w:rFonts w:hint="eastAsia" w:ascii="Times New Roman" w:hAnsi="Times New Roman" w:eastAsia="仿宋_GB2312" w:cs="Times New Roman"/>
          <w:b w:val="0"/>
          <w:bCs w:val="0"/>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lang w:val="en-US" w:eastAsia="zh-CN" w:bidi="ar-SA"/>
        </w:rPr>
        <w:t>年度部门决算、</w:t>
      </w:r>
      <w:r>
        <w:rPr>
          <w:rFonts w:hint="eastAsia" w:ascii="Times New Roman" w:hAnsi="Times New Roman" w:eastAsia="仿宋_GB2312" w:cs="Times New Roman"/>
          <w:b w:val="0"/>
          <w:bCs w:val="0"/>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lang w:val="en-US" w:eastAsia="zh-CN" w:bidi="ar-SA"/>
        </w:rPr>
        <w:t>年度政府财务报告编报工作、</w:t>
      </w:r>
      <w:r>
        <w:rPr>
          <w:rFonts w:hint="eastAsia" w:ascii="Times New Roman" w:hAnsi="Times New Roman" w:eastAsia="仿宋_GB2312" w:cs="Times New Roman"/>
          <w:b w:val="0"/>
          <w:bCs w:val="0"/>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lang w:val="en-US" w:eastAsia="zh-CN" w:bidi="ar-SA"/>
        </w:rPr>
        <w:t>年度部门决算和</w:t>
      </w:r>
      <w:r>
        <w:rPr>
          <w:rFonts w:hint="eastAsia" w:ascii="Times New Roman" w:hAnsi="Times New Roman" w:eastAsia="仿宋_GB2312" w:cs="Times New Roman"/>
          <w:b w:val="0"/>
          <w:bCs w:val="0"/>
          <w:color w:val="auto"/>
          <w:kern w:val="2"/>
          <w:sz w:val="32"/>
          <w:szCs w:val="32"/>
          <w:highlight w:val="none"/>
          <w:lang w:val="en-US" w:eastAsia="zh-CN" w:bidi="ar-SA"/>
        </w:rPr>
        <w:t>2025</w:t>
      </w:r>
      <w:r>
        <w:rPr>
          <w:rFonts w:hint="eastAsia" w:ascii="仿宋_GB2312" w:hAnsi="仿宋_GB2312" w:eastAsia="仿宋_GB2312" w:cs="仿宋_GB2312"/>
          <w:color w:val="auto"/>
          <w:kern w:val="2"/>
          <w:sz w:val="32"/>
          <w:szCs w:val="32"/>
          <w:lang w:val="en-US" w:eastAsia="zh-CN" w:bidi="ar-SA"/>
        </w:rPr>
        <w:t>年度部门预算公开工作、</w:t>
      </w:r>
      <w:r>
        <w:rPr>
          <w:rFonts w:hint="eastAsia" w:ascii="Times New Roman" w:hAnsi="Times New Roman" w:eastAsia="仿宋_GB2312" w:cs="Times New Roman"/>
          <w:b w:val="0"/>
          <w:bCs w:val="0"/>
          <w:color w:val="auto"/>
          <w:kern w:val="2"/>
          <w:sz w:val="32"/>
          <w:szCs w:val="32"/>
          <w:highlight w:val="none"/>
          <w:lang w:val="en-US" w:eastAsia="zh-CN" w:bidi="ar-SA"/>
        </w:rPr>
        <w:t>2026</w:t>
      </w:r>
      <w:r>
        <w:rPr>
          <w:rFonts w:hint="eastAsia" w:ascii="仿宋_GB2312" w:hAnsi="仿宋_GB2312" w:eastAsia="仿宋_GB2312" w:cs="仿宋_GB2312"/>
          <w:color w:val="auto"/>
          <w:kern w:val="2"/>
          <w:sz w:val="32"/>
          <w:szCs w:val="32"/>
          <w:lang w:val="en-US" w:eastAsia="zh-CN" w:bidi="ar-SA"/>
        </w:rPr>
        <w:t>年度部门预算编报工作、清理各类结余资金等各种数据上报，编外用工人员情况统计等工作</w:t>
      </w:r>
      <w:r>
        <w:rPr>
          <w:rFonts w:hint="eastAsia" w:ascii="仿宋_GB2312" w:hAnsi="仿宋_GB2312" w:eastAsia="仿宋_GB2312" w:cs="仿宋_GB2312"/>
          <w:color w:val="auto"/>
          <w:sz w:val="32"/>
          <w:szCs w:val="32"/>
        </w:rPr>
        <w:t>。</w:t>
      </w:r>
    </w:p>
    <w:p w14:paraId="084A66F2">
      <w:pPr>
        <w:keepNext w:val="0"/>
        <w:keepLines w:val="0"/>
        <w:pageBreakBefore w:val="0"/>
        <w:widowControl w:val="0"/>
        <w:numPr>
          <w:ilvl w:val="0"/>
          <w:numId w:val="2"/>
        </w:numPr>
        <w:pBdr>
          <w:bottom w:val="single" w:color="FFFFFF" w:sz="4" w:space="31"/>
        </w:pBdr>
        <w:kinsoku/>
        <w:wordWrap/>
        <w:overflowPunct/>
        <w:topLinePunct/>
        <w:autoSpaceDE w:val="0"/>
        <w:autoSpaceDN/>
        <w:bidi w:val="0"/>
        <w:adjustRightInd w:val="0"/>
        <w:spacing w:after="0" w:line="560" w:lineRule="exact"/>
        <w:ind w:left="0" w:leftChars="0" w:right="0" w:rightChars="0" w:firstLine="672" w:firstLineChars="200"/>
        <w:rPr>
          <w:rFonts w:hint="eastAsia" w:ascii="仿宋_GB2312" w:eastAsia="仿宋_GB2312"/>
          <w:b w:val="0"/>
          <w:bCs w:val="0"/>
          <w:color w:val="auto"/>
          <w:sz w:val="32"/>
          <w:szCs w:val="32"/>
          <w:highlight w:val="none"/>
          <w:lang w:eastAsia="zh-CN"/>
        </w:rPr>
      </w:pPr>
      <w:r>
        <w:rPr>
          <w:rFonts w:hint="eastAsia" w:ascii="楷体_GB2312" w:hAnsi="楷体_GB2312" w:eastAsia="楷体_GB2312" w:cs="楷体_GB2312"/>
          <w:spacing w:val="8"/>
          <w:sz w:val="32"/>
          <w:szCs w:val="32"/>
          <w:shd w:val="clear" w:color="auto" w:fill="FFFFFF"/>
        </w:rPr>
        <w:t>健全矛盾纠纷行政预防化解体系</w:t>
      </w:r>
      <w:bookmarkStart w:id="1" w:name="OLE_LINK5"/>
      <w:bookmarkStart w:id="2" w:name="OLE_LINK4"/>
    </w:p>
    <w:p w14:paraId="0A594E5A">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pacing w:after="0" w:line="560" w:lineRule="exact"/>
        <w:ind w:left="0" w:leftChars="0" w:right="0" w:rightChars="0" w:firstLine="640" w:firstLineChars="200"/>
        <w:rPr>
          <w:rFonts w:hint="eastAsia" w:ascii="仿宋_GB2312" w:eastAsia="仿宋_GB2312"/>
          <w:b w:val="0"/>
          <w:bCs w:val="0"/>
          <w:color w:val="auto"/>
          <w:sz w:val="32"/>
          <w:szCs w:val="32"/>
          <w:highlight w:val="none"/>
          <w:lang w:eastAsia="zh-CN"/>
        </w:rPr>
      </w:pPr>
      <w:r>
        <w:rPr>
          <w:rFonts w:hint="eastAsia" w:ascii="Times New Roman" w:hAnsi="Times New Roman" w:eastAsia="仿宋_GB2312" w:cs="Times New Roman"/>
          <w:color w:val="auto"/>
          <w:spacing w:val="0"/>
          <w:sz w:val="32"/>
          <w:szCs w:val="32"/>
          <w:highlight w:val="none"/>
          <w:shd w:val="clear" w:color="auto" w:fill="FFFFFF"/>
          <w:lang w:eastAsia="zh-CN"/>
        </w:rPr>
        <w:t>引导居民通过复议和诉讼解决行政争议。</w:t>
      </w:r>
      <w:r>
        <w:rPr>
          <w:rFonts w:hint="eastAsia" w:eastAsia="仿宋_GB2312" w:cs="Times New Roman"/>
          <w:color w:val="auto"/>
          <w:spacing w:val="0"/>
          <w:sz w:val="32"/>
          <w:szCs w:val="32"/>
          <w:highlight w:val="none"/>
          <w:shd w:val="clear" w:color="auto" w:fill="FFFFFF"/>
          <w:lang w:eastAsia="zh-CN"/>
        </w:rPr>
        <w:t>交道口街道行政复议工作继续</w:t>
      </w:r>
      <w:r>
        <w:rPr>
          <w:rFonts w:hint="eastAsia" w:ascii="Times New Roman" w:hAnsi="Times New Roman" w:eastAsia="仿宋_GB2312" w:cs="Times New Roman"/>
          <w:color w:val="auto"/>
          <w:spacing w:val="0"/>
          <w:sz w:val="32"/>
          <w:szCs w:val="32"/>
          <w:highlight w:val="none"/>
          <w:shd w:val="clear" w:color="auto" w:fill="FFFFFF"/>
          <w:lang w:eastAsia="zh-CN"/>
        </w:rPr>
        <w:t>贯彻落实“谁主管，谁应诉；谁主办，谁出庭”原则，</w:t>
      </w:r>
      <w:r>
        <w:rPr>
          <w:rFonts w:hint="eastAsia" w:eastAsia="仿宋_GB2312" w:cs="Times New Roman"/>
          <w:color w:val="auto"/>
          <w:spacing w:val="0"/>
          <w:sz w:val="32"/>
          <w:szCs w:val="32"/>
          <w:highlight w:val="none"/>
          <w:shd w:val="clear" w:color="auto" w:fill="FFFFFF"/>
          <w:lang w:eastAsia="zh-CN"/>
        </w:rPr>
        <w:t>司法所和法律顾问</w:t>
      </w:r>
      <w:r>
        <w:rPr>
          <w:rFonts w:hint="eastAsia" w:ascii="Times New Roman" w:hAnsi="Times New Roman" w:eastAsia="仿宋_GB2312" w:cs="Times New Roman"/>
          <w:color w:val="auto"/>
          <w:spacing w:val="0"/>
          <w:sz w:val="32"/>
          <w:szCs w:val="32"/>
          <w:highlight w:val="none"/>
          <w:shd w:val="clear" w:color="auto" w:fill="FFFFFF"/>
          <w:lang w:eastAsia="zh-CN"/>
        </w:rPr>
        <w:t>积极</w:t>
      </w:r>
      <w:r>
        <w:rPr>
          <w:rFonts w:hint="eastAsia" w:eastAsia="仿宋_GB2312" w:cs="Times New Roman"/>
          <w:color w:val="auto"/>
          <w:spacing w:val="0"/>
          <w:sz w:val="32"/>
          <w:szCs w:val="32"/>
          <w:highlight w:val="none"/>
          <w:shd w:val="clear" w:color="auto" w:fill="FFFFFF"/>
          <w:lang w:eastAsia="zh-CN"/>
        </w:rPr>
        <w:t>配合</w:t>
      </w:r>
      <w:r>
        <w:rPr>
          <w:rFonts w:hint="eastAsia" w:ascii="Times New Roman" w:hAnsi="Times New Roman" w:eastAsia="仿宋_GB2312" w:cs="Times New Roman"/>
          <w:color w:val="auto"/>
          <w:spacing w:val="0"/>
          <w:sz w:val="32"/>
          <w:szCs w:val="32"/>
          <w:highlight w:val="none"/>
          <w:shd w:val="clear" w:color="auto" w:fill="FFFFFF"/>
          <w:lang w:eastAsia="zh-CN"/>
        </w:rPr>
        <w:t>参与指导</w:t>
      </w:r>
      <w:r>
        <w:rPr>
          <w:rFonts w:hint="eastAsia" w:eastAsia="仿宋_GB2312" w:cs="Times New Roman"/>
          <w:color w:val="auto"/>
          <w:spacing w:val="0"/>
          <w:sz w:val="32"/>
          <w:szCs w:val="32"/>
          <w:highlight w:val="none"/>
          <w:shd w:val="clear" w:color="auto" w:fill="FFFFFF"/>
          <w:lang w:eastAsia="zh-CN"/>
        </w:rPr>
        <w:t>相关科室</w:t>
      </w:r>
      <w:r>
        <w:rPr>
          <w:rFonts w:hint="eastAsia" w:ascii="Times New Roman" w:hAnsi="Times New Roman" w:eastAsia="仿宋_GB2312" w:cs="Times New Roman"/>
          <w:color w:val="auto"/>
          <w:spacing w:val="0"/>
          <w:sz w:val="32"/>
          <w:szCs w:val="32"/>
          <w:highlight w:val="none"/>
          <w:shd w:val="clear" w:color="auto" w:fill="FFFFFF"/>
          <w:lang w:eastAsia="zh-CN"/>
        </w:rPr>
        <w:t>行政诉讼或行政复议案件的应诉和答复工作</w:t>
      </w:r>
      <w:r>
        <w:rPr>
          <w:rFonts w:hint="eastAsia" w:eastAsia="仿宋_GB2312" w:cs="Times New Roman"/>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color w:val="auto"/>
          <w:sz w:val="32"/>
          <w:szCs w:val="32"/>
          <w:highlight w:val="none"/>
          <w:lang w:val="en-US" w:eastAsia="zh-CN"/>
        </w:rPr>
        <w:t>2025</w:t>
      </w:r>
      <w:r>
        <w:rPr>
          <w:rFonts w:hint="eastAsia" w:ascii="仿宋_GB2312" w:eastAsia="仿宋_GB2312"/>
          <w:b w:val="0"/>
          <w:bCs w:val="0"/>
          <w:color w:val="auto"/>
          <w:sz w:val="32"/>
          <w:szCs w:val="32"/>
          <w:highlight w:val="none"/>
          <w:lang w:val="en-US" w:eastAsia="zh-CN"/>
        </w:rPr>
        <w:t>年我街道共收到行政复议案件</w:t>
      </w:r>
      <w:r>
        <w:rPr>
          <w:rFonts w:hint="eastAsia" w:ascii="Times New Roman" w:hAnsi="Times New Roman" w:eastAsia="仿宋_GB2312" w:cs="Times New Roman"/>
          <w:b w:val="0"/>
          <w:bCs w:val="0"/>
          <w:color w:val="auto"/>
          <w:sz w:val="32"/>
          <w:szCs w:val="32"/>
          <w:highlight w:val="none"/>
          <w:lang w:val="en-US" w:eastAsia="zh-CN"/>
        </w:rPr>
        <w:t>10</w:t>
      </w:r>
      <w:r>
        <w:rPr>
          <w:rFonts w:hint="eastAsia" w:ascii="仿宋_GB2312" w:eastAsia="仿宋_GB2312"/>
          <w:b w:val="0"/>
          <w:bCs w:val="0"/>
          <w:color w:val="auto"/>
          <w:sz w:val="32"/>
          <w:szCs w:val="32"/>
          <w:highlight w:val="none"/>
          <w:lang w:val="en-US" w:eastAsia="zh-CN"/>
        </w:rPr>
        <w:t>件。共收到行政诉讼案件</w:t>
      </w:r>
      <w:r>
        <w:rPr>
          <w:rFonts w:hint="eastAsia" w:ascii="Times New Roman" w:hAnsi="Times New Roman" w:eastAsia="仿宋_GB2312" w:cs="Times New Roman"/>
          <w:b w:val="0"/>
          <w:bCs w:val="0"/>
          <w:color w:val="auto"/>
          <w:sz w:val="32"/>
          <w:szCs w:val="32"/>
          <w:highlight w:val="none"/>
          <w:lang w:val="en-US" w:eastAsia="zh-CN"/>
        </w:rPr>
        <w:t>9</w:t>
      </w:r>
      <w:r>
        <w:rPr>
          <w:rFonts w:hint="eastAsia" w:ascii="仿宋_GB2312" w:eastAsia="仿宋_GB2312"/>
          <w:b w:val="0"/>
          <w:bCs w:val="0"/>
          <w:color w:val="auto"/>
          <w:sz w:val="32"/>
          <w:szCs w:val="32"/>
          <w:highlight w:val="none"/>
          <w:lang w:val="en-US" w:eastAsia="zh-CN"/>
        </w:rPr>
        <w:t>件，其中去年判决败诉</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件，撤诉</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件，胜诉</w:t>
      </w:r>
      <w:r>
        <w:rPr>
          <w:rFonts w:hint="eastAsia" w:ascii="Times New Roman" w:hAnsi="Times New Roman" w:eastAsia="仿宋_GB2312" w:cs="Times New Roman"/>
          <w:b w:val="0"/>
          <w:bCs w:val="0"/>
          <w:color w:val="auto"/>
          <w:sz w:val="32"/>
          <w:szCs w:val="32"/>
          <w:highlight w:val="none"/>
          <w:lang w:val="en-US" w:eastAsia="zh-CN"/>
        </w:rPr>
        <w:t>5</w:t>
      </w:r>
      <w:r>
        <w:rPr>
          <w:rFonts w:hint="eastAsia" w:ascii="仿宋_GB2312" w:eastAsia="仿宋_GB2312"/>
          <w:b w:val="0"/>
          <w:bCs w:val="0"/>
          <w:color w:val="auto"/>
          <w:sz w:val="32"/>
          <w:szCs w:val="32"/>
          <w:highlight w:val="none"/>
          <w:lang w:val="en-US" w:eastAsia="zh-CN"/>
        </w:rPr>
        <w:t>件，未出结果</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件，未开庭</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件。</w:t>
      </w:r>
    </w:p>
    <w:p w14:paraId="6B341C25">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pacing w:after="0" w:line="560" w:lineRule="exact"/>
        <w:ind w:left="0" w:leftChars="0" w:right="0" w:rightChars="0" w:firstLine="640" w:firstLineChars="200"/>
        <w:rPr>
          <w:rFonts w:hint="eastAsia" w:ascii="Times New Roman" w:hAnsi="Times New Roman" w:eastAsia="仿宋_GB2312" w:cs="Times New Roman"/>
          <w:color w:val="auto"/>
          <w:sz w:val="32"/>
          <w:szCs w:val="24"/>
          <w:lang w:val="en-US" w:eastAsia="zh-CN"/>
        </w:rPr>
      </w:pPr>
      <w:r>
        <w:rPr>
          <w:rFonts w:hint="eastAsia" w:ascii="仿宋_GB2312" w:hAnsi="仿宋_GB2312" w:eastAsia="仿宋_GB2312" w:cs="仿宋_GB2312"/>
          <w:color w:val="auto"/>
          <w:sz w:val="32"/>
          <w:szCs w:val="32"/>
          <w:lang w:val="en-US" w:eastAsia="zh-CN"/>
        </w:rPr>
        <w:t>深化推进信访法治化和人民调解的协调联动。</w:t>
      </w:r>
      <w:r>
        <w:rPr>
          <w:rFonts w:hint="eastAsia" w:ascii="Times New Roman" w:hAnsi="Times New Roman" w:eastAsia="仿宋_GB2312" w:cs="Times New Roman"/>
          <w:b w:val="0"/>
          <w:bCs w:val="0"/>
          <w:color w:val="auto"/>
          <w:kern w:val="2"/>
          <w:sz w:val="32"/>
          <w:szCs w:val="32"/>
          <w:highlight w:val="none"/>
          <w:lang w:val="en-US" w:eastAsia="zh-CN" w:bidi="ar-SA"/>
        </w:rPr>
        <w:t>2025</w:t>
      </w:r>
      <w:r>
        <w:rPr>
          <w:rFonts w:hint="eastAsia" w:ascii="仿宋_GB2312" w:hAnsi="仿宋_GB2312" w:eastAsia="仿宋_GB2312" w:cs="仿宋_GB2312"/>
          <w:color w:val="auto"/>
          <w:sz w:val="32"/>
          <w:szCs w:val="32"/>
          <w:lang w:val="en-US" w:eastAsia="zh-CN"/>
        </w:rPr>
        <w:t>年我街道处理包括国家局、领导信箱等信访系统平台案件</w:t>
      </w:r>
      <w:r>
        <w:rPr>
          <w:rFonts w:hint="eastAsia" w:ascii="Times New Roman" w:hAnsi="Times New Roman" w:eastAsia="仿宋_GB2312" w:cs="Times New Roman"/>
          <w:b w:val="0"/>
          <w:bCs w:val="0"/>
          <w:color w:val="auto"/>
          <w:kern w:val="2"/>
          <w:sz w:val="32"/>
          <w:szCs w:val="32"/>
          <w:highlight w:val="none"/>
          <w:lang w:val="en-US" w:eastAsia="zh-CN" w:bidi="ar-SA"/>
        </w:rPr>
        <w:t>83</w:t>
      </w:r>
      <w:r>
        <w:rPr>
          <w:rFonts w:hint="eastAsia" w:ascii="仿宋_GB2312" w:hAnsi="仿宋_GB2312" w:eastAsia="仿宋_GB2312" w:cs="仿宋_GB2312"/>
          <w:color w:val="auto"/>
          <w:sz w:val="32"/>
          <w:szCs w:val="32"/>
          <w:lang w:val="en-US" w:eastAsia="zh-CN"/>
        </w:rPr>
        <w:t>件，接待直接群众来访</w:t>
      </w:r>
      <w:r>
        <w:rPr>
          <w:rFonts w:hint="eastAsia" w:ascii="Times New Roman" w:hAnsi="Times New Roman" w:eastAsia="仿宋_GB2312" w:cs="Times New Roman"/>
          <w:b w:val="0"/>
          <w:bCs w:val="0"/>
          <w:color w:val="auto"/>
          <w:kern w:val="2"/>
          <w:sz w:val="32"/>
          <w:szCs w:val="32"/>
          <w:highlight w:val="none"/>
          <w:lang w:val="en-US" w:eastAsia="zh-CN" w:bidi="ar-SA"/>
        </w:rPr>
        <w:t>204</w:t>
      </w:r>
      <w:r>
        <w:rPr>
          <w:rFonts w:hint="eastAsia" w:ascii="仿宋_GB2312" w:hAnsi="仿宋_GB2312" w:eastAsia="仿宋_GB2312" w:cs="仿宋_GB2312"/>
          <w:color w:val="auto"/>
          <w:sz w:val="32"/>
          <w:szCs w:val="32"/>
          <w:lang w:val="en-US" w:eastAsia="zh-CN"/>
        </w:rPr>
        <w:t>批、共</w:t>
      </w:r>
      <w:r>
        <w:rPr>
          <w:rFonts w:hint="eastAsia" w:ascii="Times New Roman" w:hAnsi="Times New Roman" w:eastAsia="仿宋_GB2312" w:cs="Times New Roman"/>
          <w:b w:val="0"/>
          <w:bCs w:val="0"/>
          <w:color w:val="auto"/>
          <w:kern w:val="2"/>
          <w:sz w:val="32"/>
          <w:szCs w:val="32"/>
          <w:highlight w:val="none"/>
          <w:lang w:val="en-US" w:eastAsia="zh-CN" w:bidi="ar-SA"/>
        </w:rPr>
        <w:t>233</w:t>
      </w:r>
      <w:r>
        <w:rPr>
          <w:rFonts w:hint="eastAsia" w:ascii="仿宋_GB2312" w:hAnsi="仿宋_GB2312" w:eastAsia="仿宋_GB2312" w:cs="仿宋_GB2312"/>
          <w:color w:val="auto"/>
          <w:sz w:val="32"/>
          <w:szCs w:val="32"/>
          <w:lang w:val="en-US" w:eastAsia="zh-CN"/>
        </w:rPr>
        <w:t>人次。各社区排查矛盾纠纷案件总数为</w:t>
      </w:r>
      <w:r>
        <w:rPr>
          <w:rFonts w:hint="eastAsia" w:ascii="Times New Roman" w:hAnsi="Times New Roman" w:eastAsia="仿宋_GB2312" w:cs="Times New Roman"/>
          <w:b w:val="0"/>
          <w:bCs w:val="0"/>
          <w:color w:val="auto"/>
          <w:kern w:val="2"/>
          <w:sz w:val="32"/>
          <w:szCs w:val="32"/>
          <w:highlight w:val="none"/>
          <w:lang w:val="en-US" w:eastAsia="zh-CN" w:bidi="ar-SA"/>
        </w:rPr>
        <w:t>351</w:t>
      </w:r>
      <w:r>
        <w:rPr>
          <w:rFonts w:hint="eastAsia" w:ascii="仿宋_GB2312" w:hAnsi="仿宋_GB2312" w:eastAsia="仿宋_GB2312" w:cs="仿宋_GB2312"/>
          <w:color w:val="auto"/>
          <w:sz w:val="32"/>
          <w:szCs w:val="32"/>
          <w:lang w:val="en-US" w:eastAsia="zh-CN"/>
        </w:rPr>
        <w:t>件，通过做思想工作、心理疏导、困难帮扶、自行和解等化解数为</w:t>
      </w:r>
      <w:r>
        <w:rPr>
          <w:rFonts w:hint="eastAsia" w:ascii="Times New Roman" w:hAnsi="Times New Roman" w:eastAsia="仿宋_GB2312" w:cs="Times New Roman"/>
          <w:b w:val="0"/>
          <w:bCs w:val="0"/>
          <w:color w:val="auto"/>
          <w:kern w:val="2"/>
          <w:sz w:val="32"/>
          <w:szCs w:val="32"/>
          <w:highlight w:val="none"/>
          <w:lang w:val="en-US" w:eastAsia="zh-CN" w:bidi="ar-SA"/>
        </w:rPr>
        <w:t>346</w:t>
      </w:r>
      <w:r>
        <w:rPr>
          <w:rFonts w:hint="eastAsia" w:ascii="仿宋_GB2312" w:hAnsi="仿宋_GB2312" w:eastAsia="仿宋_GB2312" w:cs="仿宋_GB2312"/>
          <w:color w:val="auto"/>
          <w:sz w:val="32"/>
          <w:szCs w:val="32"/>
          <w:lang w:val="en-US" w:eastAsia="zh-CN"/>
        </w:rPr>
        <w:t>件。以宣传《信访工作条例》为主题，开展信访宣传教育活动</w:t>
      </w:r>
      <w:r>
        <w:rPr>
          <w:rFonts w:hint="eastAsia"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color w:val="auto"/>
          <w:sz w:val="32"/>
          <w:szCs w:val="32"/>
          <w:lang w:val="en-US" w:eastAsia="zh-CN"/>
        </w:rPr>
        <w:t>余场，宣传覆盖辖区群众</w:t>
      </w:r>
      <w:r>
        <w:rPr>
          <w:rFonts w:hint="eastAsia" w:ascii="Times New Roman" w:hAnsi="Times New Roman" w:eastAsia="仿宋_GB2312" w:cs="Times New Roman"/>
          <w:b w:val="0"/>
          <w:bCs w:val="0"/>
          <w:color w:val="auto"/>
          <w:kern w:val="2"/>
          <w:sz w:val="32"/>
          <w:szCs w:val="32"/>
          <w:highlight w:val="none"/>
          <w:lang w:val="en-US" w:eastAsia="zh-CN" w:bidi="ar-SA"/>
        </w:rPr>
        <w:t>1637</w:t>
      </w:r>
      <w:r>
        <w:rPr>
          <w:rFonts w:hint="eastAsia" w:ascii="仿宋_GB2312" w:hAnsi="仿宋_GB2312" w:eastAsia="仿宋_GB2312" w:cs="仿宋_GB2312"/>
          <w:color w:val="auto"/>
          <w:sz w:val="32"/>
          <w:szCs w:val="32"/>
          <w:lang w:val="en-US" w:eastAsia="zh-CN"/>
        </w:rPr>
        <w:t>人，进一步引导居民知法、用法、守法，提升群众依法信访的法律意识，营造友好、和谐的诉求表达氛围。我街道</w:t>
      </w:r>
      <w:r>
        <w:rPr>
          <w:rFonts w:hint="eastAsia" w:ascii="仿宋_GB2312" w:hAnsi="仿宋_GB2312" w:eastAsia="仿宋_GB2312" w:cs="仿宋_GB2312"/>
          <w:color w:val="auto"/>
          <w:sz w:val="32"/>
          <w:szCs w:val="32"/>
          <w:lang w:eastAsia="zh-CN"/>
        </w:rPr>
        <w:t>始终坚持“调解优先”的原则，</w:t>
      </w:r>
      <w:r>
        <w:rPr>
          <w:rFonts w:hint="eastAsia" w:ascii="仿宋_GB2312" w:hAnsi="仿宋_GB2312" w:eastAsia="仿宋_GB2312" w:cs="仿宋_GB2312"/>
          <w:color w:val="auto"/>
          <w:sz w:val="32"/>
          <w:szCs w:val="32"/>
        </w:rPr>
        <w:t>依托“大调解”工作平台，</w:t>
      </w:r>
      <w:r>
        <w:rPr>
          <w:rFonts w:hint="eastAsia" w:ascii="仿宋_GB2312" w:hAnsi="仿宋_GB2312" w:eastAsia="仿宋_GB2312" w:cs="仿宋_GB2312"/>
          <w:color w:val="auto"/>
          <w:sz w:val="32"/>
          <w:szCs w:val="32"/>
          <w:lang w:eastAsia="zh-CN"/>
        </w:rPr>
        <w:t>通过多元化解机制，及时有效地化解矛盾纠纷。</w:t>
      </w:r>
      <w:r>
        <w:rPr>
          <w:rFonts w:hint="eastAsia" w:ascii="仿宋_GB2312" w:hAnsi="仿宋_GB2312" w:eastAsia="仿宋_GB2312" w:cs="仿宋_GB2312"/>
          <w:color w:val="auto"/>
          <w:kern w:val="2"/>
          <w:sz w:val="32"/>
          <w:szCs w:val="32"/>
          <w:lang w:val="en-US" w:eastAsia="zh-CN" w:bidi="ar-SA"/>
        </w:rPr>
        <w:t>筑牢人民调解坚固防线。聚焦调解员能力提升，组织开展法律政策解读、纠纷化解技巧等专题培训，覆盖专兼职调解</w:t>
      </w:r>
      <w:r>
        <w:rPr>
          <w:rFonts w:hint="eastAsia" w:ascii="Times New Roman" w:hAnsi="Times New Roman" w:eastAsia="仿宋_GB2312" w:cs="Times New Roman"/>
          <w:b w:val="0"/>
          <w:bCs w:val="0"/>
          <w:color w:val="auto"/>
          <w:kern w:val="2"/>
          <w:sz w:val="32"/>
          <w:szCs w:val="32"/>
          <w:highlight w:val="none"/>
          <w:lang w:val="en-US" w:eastAsia="zh-CN" w:bidi="ar-SA"/>
        </w:rPr>
        <w:t>员66</w:t>
      </w:r>
      <w:r>
        <w:rPr>
          <w:rFonts w:hint="eastAsia" w:ascii="仿宋_GB2312" w:hAnsi="仿宋_GB2312" w:eastAsia="仿宋_GB2312" w:cs="仿宋_GB2312"/>
          <w:color w:val="auto"/>
          <w:kern w:val="2"/>
          <w:sz w:val="32"/>
          <w:szCs w:val="32"/>
          <w:lang w:val="en-US" w:eastAsia="zh-CN" w:bidi="ar-SA"/>
        </w:rPr>
        <w:t>人次，调解员法律意识与业务水平显著提高。进一步优化队伍结构，增加更年轻的同志加入调解员队伍，完成调解员的人员大更新。全年共开展矛盾纠纷排查</w:t>
      </w:r>
      <w:r>
        <w:rPr>
          <w:rFonts w:hint="eastAsia" w:ascii="Times New Roman" w:hAnsi="Times New Roman" w:eastAsia="仿宋_GB2312" w:cs="Times New Roman"/>
          <w:b w:val="0"/>
          <w:bCs w:val="0"/>
          <w:color w:val="auto"/>
          <w:kern w:val="2"/>
          <w:sz w:val="32"/>
          <w:szCs w:val="32"/>
          <w:highlight w:val="none"/>
          <w:lang w:val="en-US" w:eastAsia="zh-CN" w:bidi="ar-SA"/>
        </w:rPr>
        <w:t>84</w:t>
      </w:r>
      <w:r>
        <w:rPr>
          <w:rFonts w:hint="eastAsia" w:ascii="仿宋_GB2312" w:hAnsi="仿宋_GB2312" w:eastAsia="仿宋_GB2312" w:cs="仿宋_GB2312"/>
          <w:color w:val="auto"/>
          <w:kern w:val="2"/>
          <w:sz w:val="32"/>
          <w:szCs w:val="32"/>
          <w:lang w:val="en-US" w:eastAsia="zh-CN" w:bidi="ar-SA"/>
        </w:rPr>
        <w:t>次，排查各类纠纷线索</w:t>
      </w:r>
      <w:r>
        <w:rPr>
          <w:rFonts w:hint="eastAsia" w:ascii="Times New Roman" w:hAnsi="Times New Roman" w:eastAsia="仿宋_GB2312" w:cs="Times New Roman"/>
          <w:b w:val="0"/>
          <w:bCs w:val="0"/>
          <w:color w:val="auto"/>
          <w:kern w:val="2"/>
          <w:sz w:val="32"/>
          <w:szCs w:val="32"/>
          <w:highlight w:val="none"/>
          <w:lang w:val="en-US" w:eastAsia="zh-CN" w:bidi="ar-SA"/>
        </w:rPr>
        <w:t>80</w:t>
      </w:r>
      <w:r>
        <w:rPr>
          <w:rFonts w:hint="eastAsia" w:ascii="仿宋_GB2312" w:hAnsi="仿宋_GB2312" w:eastAsia="仿宋_GB2312" w:cs="仿宋_GB2312"/>
          <w:color w:val="auto"/>
          <w:kern w:val="2"/>
          <w:sz w:val="32"/>
          <w:szCs w:val="32"/>
          <w:lang w:val="en-US" w:eastAsia="zh-CN" w:bidi="ar-SA"/>
        </w:rPr>
        <w:t>件，成功调解各类矛盾纠纷</w:t>
      </w:r>
      <w:r>
        <w:rPr>
          <w:rFonts w:hint="eastAsia" w:ascii="Times New Roman" w:hAnsi="Times New Roman" w:eastAsia="仿宋_GB2312" w:cs="Times New Roman"/>
          <w:b w:val="0"/>
          <w:bCs w:val="0"/>
          <w:color w:val="auto"/>
          <w:kern w:val="2"/>
          <w:sz w:val="32"/>
          <w:szCs w:val="32"/>
          <w:highlight w:val="none"/>
          <w:lang w:val="en-US" w:eastAsia="zh-CN" w:bidi="ar-SA"/>
        </w:rPr>
        <w:t>74</w:t>
      </w:r>
      <w:r>
        <w:rPr>
          <w:rFonts w:hint="eastAsia" w:ascii="仿宋_GB2312" w:hAnsi="仿宋_GB2312" w:eastAsia="仿宋_GB2312" w:cs="仿宋_GB2312"/>
          <w:color w:val="auto"/>
          <w:kern w:val="2"/>
          <w:sz w:val="32"/>
          <w:szCs w:val="32"/>
          <w:lang w:val="en-US" w:eastAsia="zh-CN" w:bidi="ar-SA"/>
        </w:rPr>
        <w:t>件，成功</w:t>
      </w:r>
      <w:r>
        <w:rPr>
          <w:rFonts w:hint="eastAsia" w:ascii="Times New Roman" w:hAnsi="Times New Roman" w:eastAsia="仿宋_GB2312" w:cs="Times New Roman"/>
          <w:b w:val="0"/>
          <w:bCs w:val="0"/>
          <w:color w:val="auto"/>
          <w:kern w:val="2"/>
          <w:sz w:val="32"/>
          <w:szCs w:val="32"/>
          <w:highlight w:val="none"/>
          <w:lang w:val="en-US" w:eastAsia="zh-CN" w:bidi="ar-SA"/>
        </w:rPr>
        <w:t>74</w:t>
      </w:r>
      <w:r>
        <w:rPr>
          <w:rFonts w:hint="eastAsia" w:ascii="仿宋_GB2312" w:hAnsi="仿宋_GB2312" w:eastAsia="仿宋_GB2312" w:cs="仿宋_GB2312"/>
          <w:color w:val="auto"/>
          <w:kern w:val="2"/>
          <w:sz w:val="32"/>
          <w:szCs w:val="32"/>
          <w:lang w:val="en-US" w:eastAsia="zh-CN" w:bidi="ar-SA"/>
        </w:rPr>
        <w:t>件</w:t>
      </w:r>
      <w:r>
        <w:rPr>
          <w:rFonts w:hint="eastAsia" w:ascii="Times New Roman" w:hAnsi="Times New Roman" w:eastAsia="仿宋_GB2312" w:cs="Times New Roman"/>
          <w:color w:val="auto"/>
          <w:sz w:val="32"/>
          <w:szCs w:val="24"/>
          <w:lang w:val="en-US" w:eastAsia="zh-CN"/>
        </w:rPr>
        <w:t>，调解成功率达100%，有效维护了辖区和谐稳定，使人民调解组织的权威性和公信力在实践中得到有效提升。</w:t>
      </w:r>
    </w:p>
    <w:bookmarkEnd w:id="1"/>
    <w:p w14:paraId="338EED69">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pacing w:after="0" w:line="560" w:lineRule="exact"/>
        <w:ind w:left="0" w:leftChars="0" w:right="0" w:rightChars="0" w:firstLine="640" w:firstLineChars="200"/>
        <w:rPr>
          <w:rFonts w:hint="default" w:ascii="Times New Roman Regular" w:hAnsi="Times New Roman Regular" w:eastAsia="仿宋_GB2312" w:cs="Times New Roman Regular"/>
          <w:color w:val="auto"/>
          <w:sz w:val="32"/>
          <w:szCs w:val="32"/>
        </w:rPr>
      </w:pPr>
      <w:r>
        <w:rPr>
          <w:rFonts w:hint="default" w:ascii="仿宋_GB2312" w:hAnsi="仿宋_GB2312" w:eastAsia="仿宋_GB2312" w:cs="仿宋_GB2312"/>
          <w:color w:val="auto"/>
          <w:sz w:val="32"/>
          <w:szCs w:val="32"/>
        </w:rPr>
        <w:t>优化</w:t>
      </w:r>
      <w:r>
        <w:rPr>
          <w:rFonts w:hint="eastAsia" w:ascii="仿宋_GB2312" w:hAnsi="仿宋_GB2312" w:eastAsia="仿宋_GB2312" w:cs="仿宋_GB2312"/>
          <w:color w:val="auto"/>
          <w:sz w:val="32"/>
          <w:szCs w:val="32"/>
        </w:rPr>
        <w:t>公共法律服务供给。构建三级公共法律服务平台</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辖区群众提供法律咨询和法律援助服务</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24"/>
          <w:lang w:val="en-US" w:eastAsia="zh-CN"/>
        </w:rPr>
        <w:t>通过举办法治讲座、发放宣传资料、开展法律咨询等方式，丰富宣传手段，提升普法吸引力。全年共计开展法治宣传</w:t>
      </w:r>
      <w:r>
        <w:rPr>
          <w:rFonts w:hint="eastAsia" w:eastAsia="仿宋_GB2312" w:cs="Times New Roman"/>
          <w:color w:val="auto"/>
          <w:sz w:val="32"/>
          <w:szCs w:val="24"/>
          <w:lang w:val="en-US" w:eastAsia="zh-CN"/>
        </w:rPr>
        <w:t>18</w:t>
      </w:r>
      <w:r>
        <w:rPr>
          <w:rFonts w:hint="eastAsia" w:ascii="Times New Roman" w:hAnsi="Times New Roman" w:eastAsia="仿宋_GB2312" w:cs="Times New Roman"/>
          <w:color w:val="auto"/>
          <w:sz w:val="32"/>
          <w:szCs w:val="24"/>
          <w:lang w:val="en-US" w:eastAsia="zh-CN"/>
        </w:rPr>
        <w:t>余场，发放宣传材料</w:t>
      </w:r>
      <w:r>
        <w:rPr>
          <w:rFonts w:hint="eastAsia" w:eastAsia="仿宋_GB2312" w:cs="Times New Roman"/>
          <w:color w:val="auto"/>
          <w:sz w:val="32"/>
          <w:szCs w:val="24"/>
          <w:lang w:val="en-US" w:eastAsia="zh-CN"/>
        </w:rPr>
        <w:t>3000</w:t>
      </w:r>
      <w:r>
        <w:rPr>
          <w:rFonts w:hint="eastAsia" w:ascii="Times New Roman" w:hAnsi="Times New Roman" w:eastAsia="仿宋_GB2312" w:cs="Times New Roman"/>
          <w:color w:val="auto"/>
          <w:sz w:val="32"/>
          <w:szCs w:val="24"/>
          <w:lang w:val="en-US" w:eastAsia="zh-CN"/>
        </w:rPr>
        <w:t>余份，累计覆盖群众</w:t>
      </w:r>
      <w:r>
        <w:rPr>
          <w:rFonts w:hint="eastAsia" w:eastAsia="仿宋_GB2312" w:cs="Times New Roman"/>
          <w:color w:val="auto"/>
          <w:sz w:val="32"/>
          <w:szCs w:val="24"/>
          <w:lang w:val="en-US" w:eastAsia="zh-CN"/>
        </w:rPr>
        <w:t>3</w:t>
      </w:r>
      <w:r>
        <w:rPr>
          <w:rFonts w:hint="eastAsia" w:ascii="Times New Roman" w:hAnsi="Times New Roman" w:eastAsia="仿宋_GB2312" w:cs="Times New Roman"/>
          <w:color w:val="auto"/>
          <w:sz w:val="32"/>
          <w:szCs w:val="24"/>
          <w:lang w:val="en-US" w:eastAsia="zh-CN"/>
        </w:rPr>
        <w:t>000人次，</w:t>
      </w:r>
      <w:r>
        <w:rPr>
          <w:rFonts w:hint="default" w:ascii="Times New Roman Regular" w:hAnsi="Times New Roman Regular" w:eastAsia="仿宋_GB2312" w:cs="Times New Roman Regular"/>
          <w:color w:val="auto"/>
          <w:sz w:val="32"/>
          <w:szCs w:val="32"/>
          <w:lang w:eastAsia="zh-CN"/>
        </w:rPr>
        <w:t>接待来电来访法律咨询</w:t>
      </w:r>
      <w:r>
        <w:rPr>
          <w:rFonts w:hint="default" w:ascii="Times New Roman Regular" w:hAnsi="Times New Roman Regular" w:eastAsia="仿宋_GB2312" w:cs="Times New Roman Regular"/>
          <w:color w:val="auto"/>
          <w:sz w:val="32"/>
          <w:szCs w:val="32"/>
          <w:lang w:val="en-US" w:eastAsia="zh-CN"/>
        </w:rPr>
        <w:t>675人次，为居民代写民事起诉状</w:t>
      </w:r>
      <w:r>
        <w:rPr>
          <w:rFonts w:hint="eastAsia" w:ascii="Times New Roman Regular" w:hAnsi="Times New Roman Regular" w:eastAsia="仿宋_GB2312" w:cs="Times New Roman Regular"/>
          <w:color w:val="auto"/>
          <w:sz w:val="32"/>
          <w:szCs w:val="32"/>
          <w:lang w:val="en-US" w:eastAsia="zh-CN"/>
        </w:rPr>
        <w:t>2</w:t>
      </w:r>
      <w:r>
        <w:rPr>
          <w:rFonts w:hint="default" w:ascii="Times New Roman Regular" w:hAnsi="Times New Roman Regular" w:eastAsia="仿宋_GB2312" w:cs="Times New Roman Regular"/>
          <w:color w:val="auto"/>
          <w:sz w:val="32"/>
          <w:szCs w:val="32"/>
          <w:lang w:val="en-US" w:eastAsia="zh-CN"/>
        </w:rPr>
        <w:t>份</w:t>
      </w:r>
      <w:r>
        <w:rPr>
          <w:rFonts w:hint="eastAsia" w:ascii="Times New Roman Regular" w:hAnsi="Times New Roman Regular" w:eastAsia="仿宋_GB2312" w:cs="Times New Roman Regular"/>
          <w:color w:val="auto"/>
          <w:sz w:val="32"/>
          <w:szCs w:val="32"/>
          <w:lang w:val="en-US" w:eastAsia="zh-CN"/>
        </w:rPr>
        <w:t>，</w:t>
      </w:r>
      <w:r>
        <w:rPr>
          <w:rFonts w:hint="eastAsia" w:ascii="Times New Roman" w:hAnsi="Times New Roman" w:eastAsia="仿宋_GB2312" w:cs="Times New Roman"/>
          <w:color w:val="auto"/>
          <w:sz w:val="32"/>
          <w:szCs w:val="24"/>
          <w:lang w:val="en-US" w:eastAsia="zh-CN"/>
        </w:rPr>
        <w:t>辖区法治氛围愈发浓厚。</w:t>
      </w:r>
      <w:r>
        <w:rPr>
          <w:rFonts w:hint="default" w:ascii="Times New Roman Regular" w:hAnsi="Times New Roman Regular" w:eastAsia="仿宋_GB2312" w:cs="Times New Roman Regular"/>
          <w:color w:val="auto"/>
          <w:sz w:val="32"/>
          <w:szCs w:val="32"/>
        </w:rPr>
        <w:t>同时，</w:t>
      </w:r>
      <w:r>
        <w:rPr>
          <w:rFonts w:hint="default" w:ascii="Times New Roman Regular" w:hAnsi="Times New Roman Regular" w:eastAsia="仿宋_GB2312" w:cs="Times New Roman Regular"/>
          <w:color w:val="auto"/>
          <w:sz w:val="32"/>
          <w:szCs w:val="32"/>
          <w:lang w:eastAsia="zh-CN"/>
        </w:rPr>
        <w:t>充分发动社区公益律师，</w:t>
      </w:r>
      <w:r>
        <w:rPr>
          <w:rFonts w:hint="default" w:ascii="Times New Roman Regular" w:hAnsi="Times New Roman Regular" w:eastAsia="仿宋_GB2312" w:cs="Times New Roman Regular"/>
          <w:i w:val="0"/>
          <w:caps w:val="0"/>
          <w:color w:val="auto"/>
          <w:spacing w:val="0"/>
          <w:sz w:val="32"/>
          <w:szCs w:val="32"/>
          <w:shd w:val="clear" w:fill="FFFFFF"/>
        </w:rPr>
        <w:t>积极参与社区的矛</w:t>
      </w:r>
      <w:r>
        <w:rPr>
          <w:rFonts w:hint="default" w:ascii="Times New Roman Regular" w:hAnsi="Times New Roman Regular" w:eastAsia="仿宋_GB2312" w:cs="Times New Roman Regular"/>
          <w:color w:val="auto"/>
          <w:sz w:val="32"/>
          <w:szCs w:val="32"/>
        </w:rPr>
        <w:t>盾纠纷调解、法治宣传和</w:t>
      </w:r>
      <w:r>
        <w:rPr>
          <w:rFonts w:hint="default" w:ascii="Times New Roman Regular" w:hAnsi="Times New Roman Regular" w:eastAsia="仿宋_GB2312" w:cs="Times New Roman Regular"/>
          <w:color w:val="auto"/>
          <w:sz w:val="32"/>
          <w:szCs w:val="32"/>
          <w:lang w:eastAsia="zh-CN"/>
        </w:rPr>
        <w:t>法律咨询</w:t>
      </w:r>
      <w:r>
        <w:rPr>
          <w:rFonts w:hint="default" w:ascii="Times New Roman Regular" w:hAnsi="Times New Roman Regular" w:eastAsia="仿宋_GB2312" w:cs="Times New Roman Regular"/>
          <w:color w:val="auto"/>
          <w:sz w:val="32"/>
          <w:szCs w:val="32"/>
        </w:rPr>
        <w:t>等工作，</w:t>
      </w:r>
      <w:r>
        <w:rPr>
          <w:rFonts w:hint="default" w:ascii="Times New Roman Regular" w:hAnsi="Times New Roman Regular" w:eastAsia="仿宋_GB2312" w:cs="Times New Roman Regular"/>
          <w:i w:val="0"/>
          <w:caps w:val="0"/>
          <w:color w:val="auto"/>
          <w:spacing w:val="0"/>
          <w:sz w:val="32"/>
          <w:szCs w:val="32"/>
          <w:shd w:val="clear" w:fill="FFFFFF"/>
        </w:rPr>
        <w:t>不断提高社区法治化管理水平</w:t>
      </w:r>
      <w:r>
        <w:rPr>
          <w:rFonts w:hint="default" w:ascii="Times New Roman Regular" w:hAnsi="Times New Roman Regular" w:eastAsia="仿宋_GB2312" w:cs="Times New Roman Regular"/>
          <w:color w:val="auto"/>
          <w:sz w:val="32"/>
          <w:szCs w:val="32"/>
          <w:lang w:eastAsia="zh-CN"/>
        </w:rPr>
        <w:t>。</w:t>
      </w:r>
    </w:p>
    <w:p w14:paraId="076D51F2">
      <w:pPr>
        <w:keepNext w:val="0"/>
        <w:keepLines w:val="0"/>
        <w:pageBreakBefore w:val="0"/>
        <w:widowControl w:val="0"/>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24"/>
          <w:lang w:val="en-US" w:eastAsia="zh-CN"/>
          <w14:textFill>
            <w14:solidFill>
              <w14:schemeClr w14:val="tx1"/>
            </w14:solidFill>
          </w14:textFill>
        </w:rPr>
      </w:pPr>
      <w:r>
        <w:rPr>
          <w:rFonts w:hint="eastAsia" w:ascii="黑体" w:hAnsi="黑体" w:eastAsia="黑体"/>
          <w:sz w:val="32"/>
          <w:szCs w:val="32"/>
          <w:lang w:eastAsia="zh-CN"/>
        </w:rPr>
        <w:t>二、</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黑体" w:hAnsi="黑体" w:eastAsia="黑体"/>
          <w:sz w:val="32"/>
          <w:szCs w:val="32"/>
        </w:rPr>
        <w:t>年度推进法治政府</w:t>
      </w:r>
      <w:r>
        <w:rPr>
          <w:rFonts w:hint="eastAsia" w:ascii="黑体" w:hAnsi="黑体" w:eastAsia="黑体"/>
          <w:sz w:val="32"/>
          <w:szCs w:val="32"/>
          <w:lang w:eastAsia="zh-CN"/>
        </w:rPr>
        <w:t>建设存在的不足和原因</w:t>
      </w:r>
    </w:p>
    <w:p w14:paraId="0A5582C7">
      <w:pPr>
        <w:keepNext w:val="0"/>
        <w:keepLines w:val="0"/>
        <w:pageBreakBefore w:val="0"/>
        <w:widowControl w:val="0"/>
        <w:numPr>
          <w:ilvl w:val="0"/>
          <w:numId w:val="3"/>
        </w:numPr>
        <w:pBdr>
          <w:bottom w:val="single" w:color="FFFFFF" w:sz="4" w:space="31"/>
        </w:pBdr>
        <w:tabs>
          <w:tab w:val="left" w:pos="1453"/>
        </w:tabs>
        <w:kinsoku/>
        <w:wordWrap/>
        <w:overflowPunct/>
        <w:topLinePunct/>
        <w:autoSpaceDE w:val="0"/>
        <w:autoSpaceDN/>
        <w:bidi w:val="0"/>
        <w:adjustRightInd w:val="0"/>
        <w:spacing w:after="0" w:line="560" w:lineRule="exact"/>
        <w:ind w:left="0" w:leftChars="0" w:right="0" w:rightChars="0" w:firstLine="656" w:firstLineChars="200"/>
        <w:rPr>
          <w:rFonts w:hint="eastAsia" w:ascii="Times New Roman" w:hAnsi="Times New Roman" w:eastAsia="仿宋_GB2312" w:cs="Times New Roman"/>
          <w:color w:val="000000" w:themeColor="text1"/>
          <w:sz w:val="32"/>
          <w:szCs w:val="24"/>
          <w:lang w:val="en-US" w:eastAsia="zh-CN"/>
          <w14:textFill>
            <w14:solidFill>
              <w14:schemeClr w14:val="tx1"/>
            </w14:solidFill>
          </w14:textFill>
        </w:rPr>
      </w:pPr>
      <w:r>
        <w:rPr>
          <w:rFonts w:hint="eastAsia" w:ascii="楷体_GB2312" w:hAnsi="楷体_GB2312" w:eastAsia="楷体_GB2312" w:cs="楷体_GB2312"/>
          <w:color w:val="auto"/>
          <w:spacing w:val="4"/>
          <w:kern w:val="0"/>
          <w:sz w:val="32"/>
          <w:szCs w:val="32"/>
          <w:highlight w:val="none"/>
          <w:lang w:val="en-US" w:eastAsia="zh-CN"/>
        </w:rPr>
        <w:t>基层法治队伍专业素养亟待强化</w:t>
      </w:r>
    </w:p>
    <w:p w14:paraId="506FBBC0">
      <w:pPr>
        <w:keepNext w:val="0"/>
        <w:keepLines w:val="0"/>
        <w:pageBreakBefore w:val="0"/>
        <w:widowControl w:val="0"/>
        <w:numPr>
          <w:ilvl w:val="0"/>
          <w:numId w:val="0"/>
        </w:numPr>
        <w:pBdr>
          <w:bottom w:val="single" w:color="FFFFFF" w:sz="4" w:space="31"/>
        </w:pBdr>
        <w:tabs>
          <w:tab w:val="left" w:pos="1453"/>
        </w:tabs>
        <w:kinsoku/>
        <w:wordWrap/>
        <w:overflowPunct/>
        <w:topLinePunct/>
        <w:autoSpaceDE w:val="0"/>
        <w:autoSpaceDN/>
        <w:bidi w:val="0"/>
        <w:adjustRightInd w:val="0"/>
        <w:spacing w:after="0" w:line="560" w:lineRule="exact"/>
        <w:ind w:left="0" w:leftChars="0" w:right="0" w:rightChars="0" w:firstLine="656" w:firstLineChars="200"/>
        <w:rPr>
          <w:rFonts w:hint="eastAsia" w:ascii="Times New Roman" w:hAnsi="Times New Roman" w:eastAsia="仿宋_GB2312" w:cs="Times New Roman"/>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auto"/>
          <w:spacing w:val="4"/>
          <w:kern w:val="0"/>
          <w:sz w:val="32"/>
          <w:szCs w:val="32"/>
          <w:highlight w:val="none"/>
          <w:lang w:val="en-US" w:eastAsia="zh-CN"/>
        </w:rPr>
        <w:t>街道、社区两级法治工作力量存在专业人才匮乏的短板，从事法治工作的人员中具备法律职业资格或相关专业背景的占比较低，队伍整体专业结构不够合理；面对基层治理中日益复杂的矛盾纠纷调解、涉法事务处理等工作，工作人员运用法治思维分析问题、以法治方式解决问题的能力有待提升，应对疑难复杂法律问题的经验和技巧不足，难以充分满足基层群众日益增长的法治服务需求。</w:t>
      </w:r>
    </w:p>
    <w:p w14:paraId="3039DA0E">
      <w:pPr>
        <w:keepNext w:val="0"/>
        <w:keepLines w:val="0"/>
        <w:pageBreakBefore w:val="0"/>
        <w:widowControl w:val="0"/>
        <w:numPr>
          <w:ilvl w:val="0"/>
          <w:numId w:val="3"/>
        </w:numPr>
        <w:pBdr>
          <w:bottom w:val="single" w:color="FFFFFF" w:sz="4" w:space="31"/>
        </w:pBdr>
        <w:tabs>
          <w:tab w:val="left" w:pos="1453"/>
        </w:tabs>
        <w:kinsoku/>
        <w:wordWrap/>
        <w:overflowPunct/>
        <w:topLinePunct/>
        <w:autoSpaceDE w:val="0"/>
        <w:autoSpaceDN/>
        <w:bidi w:val="0"/>
        <w:adjustRightInd w:val="0"/>
        <w:spacing w:after="0" w:line="560" w:lineRule="exact"/>
        <w:ind w:left="0" w:leftChars="0" w:right="0" w:rightChars="0" w:firstLine="656" w:firstLineChars="200"/>
        <w:rPr>
          <w:rFonts w:hint="eastAsia" w:ascii="仿宋_GB2312" w:hAnsi="仿宋_GB2312" w:eastAsia="仿宋_GB2312" w:cs="仿宋_GB2312"/>
          <w:color w:val="auto"/>
          <w:spacing w:val="4"/>
          <w:kern w:val="0"/>
          <w:sz w:val="32"/>
          <w:szCs w:val="32"/>
          <w:highlight w:val="none"/>
          <w:lang w:val="en-US" w:eastAsia="zh-CN"/>
        </w:rPr>
      </w:pPr>
      <w:r>
        <w:rPr>
          <w:rFonts w:hint="eastAsia" w:ascii="楷体_GB2312" w:hAnsi="楷体_GB2312" w:eastAsia="楷体_GB2312" w:cs="楷体_GB2312"/>
          <w:color w:val="auto"/>
          <w:spacing w:val="4"/>
          <w:kern w:val="0"/>
          <w:sz w:val="32"/>
          <w:szCs w:val="32"/>
          <w:highlight w:val="none"/>
          <w:lang w:val="en-US" w:eastAsia="zh-CN"/>
        </w:rPr>
        <w:t>档案归档工作规范化水平仍需持续提升</w:t>
      </w:r>
    </w:p>
    <w:p w14:paraId="51D203C3">
      <w:pPr>
        <w:keepNext w:val="0"/>
        <w:keepLines w:val="0"/>
        <w:pageBreakBefore w:val="0"/>
        <w:widowControl w:val="0"/>
        <w:numPr>
          <w:ilvl w:val="0"/>
          <w:numId w:val="0"/>
        </w:numPr>
        <w:pBdr>
          <w:bottom w:val="single" w:color="FFFFFF" w:sz="4" w:space="31"/>
        </w:pBdr>
        <w:tabs>
          <w:tab w:val="left" w:pos="1453"/>
        </w:tabs>
        <w:kinsoku/>
        <w:wordWrap/>
        <w:overflowPunct/>
        <w:topLinePunct/>
        <w:autoSpaceDE w:val="0"/>
        <w:autoSpaceDN/>
        <w:bidi w:val="0"/>
        <w:adjustRightInd w:val="0"/>
        <w:spacing w:after="0" w:line="560" w:lineRule="exact"/>
        <w:ind w:left="0" w:leftChars="0" w:right="0" w:rightChars="0" w:firstLine="656" w:firstLineChars="200"/>
        <w:rPr>
          <w:rFonts w:hint="eastAsia" w:ascii="仿宋_GB2312" w:hAnsi="仿宋_GB2312" w:eastAsia="仿宋_GB2312" w:cs="仿宋_GB2312"/>
          <w:color w:val="auto"/>
          <w:spacing w:val="4"/>
          <w:kern w:val="0"/>
          <w:sz w:val="32"/>
          <w:szCs w:val="32"/>
          <w:highlight w:val="none"/>
          <w:lang w:val="en-US" w:eastAsia="zh-CN"/>
        </w:rPr>
      </w:pPr>
      <w:r>
        <w:rPr>
          <w:rFonts w:hint="eastAsia" w:ascii="仿宋_GB2312" w:hAnsi="仿宋_GB2312" w:eastAsia="仿宋_GB2312" w:cs="仿宋_GB2312"/>
          <w:color w:val="auto"/>
          <w:spacing w:val="4"/>
          <w:kern w:val="0"/>
          <w:sz w:val="32"/>
          <w:szCs w:val="32"/>
          <w:highlight w:val="none"/>
          <w:lang w:val="en-US" w:eastAsia="zh-CN"/>
        </w:rPr>
        <w:t>当前档案整理工作尚未完全形成标准化、制度化的操作流程，相关工作人员对档案管理法规政策、归档整理规范的学习深度和掌握程度不足，理论知识储备与实际工作需求存在一定差距；档案分类、立卷、保管等环节的精细化程度有待加强，部分档案资料的完整性、准确性、系统性未能得到充分保障，档案资源的开发利用效能尚未完全发挥，与新时代档案工作高质量发展要求还有差距。</w:t>
      </w:r>
    </w:p>
    <w:p w14:paraId="16ADCF51">
      <w:pPr>
        <w:keepNext w:val="0"/>
        <w:keepLines w:val="0"/>
        <w:pageBreakBefore w:val="0"/>
        <w:widowControl w:val="0"/>
        <w:numPr>
          <w:ilvl w:val="0"/>
          <w:numId w:val="3"/>
        </w:numPr>
        <w:pBdr>
          <w:bottom w:val="single" w:color="FFFFFF" w:sz="4" w:space="31"/>
        </w:pBdr>
        <w:tabs>
          <w:tab w:val="left" w:pos="1453"/>
        </w:tabs>
        <w:kinsoku/>
        <w:wordWrap/>
        <w:overflowPunct/>
        <w:topLinePunct/>
        <w:autoSpaceDE w:val="0"/>
        <w:autoSpaceDN/>
        <w:bidi w:val="0"/>
        <w:adjustRightInd w:val="0"/>
        <w:spacing w:after="0" w:line="560" w:lineRule="exact"/>
        <w:ind w:left="0" w:leftChars="0" w:right="0" w:rightChars="0" w:firstLine="656" w:firstLineChars="200"/>
        <w:rPr>
          <w:rFonts w:hint="eastAsia" w:ascii="楷体_GB2312" w:hAnsi="楷体_GB2312" w:eastAsia="楷体_GB2312" w:cs="楷体_GB2312"/>
          <w:color w:val="auto"/>
          <w:spacing w:val="4"/>
          <w:kern w:val="0"/>
          <w:sz w:val="32"/>
          <w:szCs w:val="32"/>
          <w:highlight w:val="none"/>
          <w:lang w:val="en-US" w:eastAsia="zh-CN"/>
        </w:rPr>
      </w:pPr>
      <w:r>
        <w:rPr>
          <w:rFonts w:hint="eastAsia" w:ascii="楷体_GB2312" w:hAnsi="楷体_GB2312" w:eastAsia="楷体_GB2312" w:cs="楷体_GB2312"/>
          <w:color w:val="auto"/>
          <w:spacing w:val="4"/>
          <w:kern w:val="0"/>
          <w:sz w:val="32"/>
          <w:szCs w:val="32"/>
          <w:highlight w:val="none"/>
          <w:lang w:val="en-US" w:eastAsia="zh-CN"/>
        </w:rPr>
        <w:t>法治建设与基层治理融合质效尚需深化</w:t>
      </w:r>
    </w:p>
    <w:p w14:paraId="5B10C5FA">
      <w:pPr>
        <w:keepNext w:val="0"/>
        <w:keepLines w:val="0"/>
        <w:pageBreakBefore w:val="0"/>
        <w:widowControl w:val="0"/>
        <w:numPr>
          <w:ilvl w:val="0"/>
          <w:numId w:val="0"/>
        </w:numPr>
        <w:pBdr>
          <w:bottom w:val="single" w:color="FFFFFF" w:sz="4" w:space="31"/>
        </w:pBdr>
        <w:tabs>
          <w:tab w:val="left" w:pos="1453"/>
        </w:tabs>
        <w:kinsoku/>
        <w:wordWrap/>
        <w:overflowPunct/>
        <w:topLinePunct/>
        <w:autoSpaceDE w:val="0"/>
        <w:autoSpaceDN/>
        <w:bidi w:val="0"/>
        <w:adjustRightInd w:val="0"/>
        <w:spacing w:after="0" w:line="560" w:lineRule="exact"/>
        <w:ind w:left="0" w:leftChars="0" w:right="0" w:rightChars="0" w:firstLine="656" w:firstLineChars="200"/>
        <w:rPr>
          <w:rFonts w:hint="eastAsia" w:ascii="Times New Roman" w:hAnsi="Times New Roman" w:eastAsia="仿宋_GB2312" w:cs="Times New Roman"/>
          <w:color w:val="000000" w:themeColor="text1"/>
          <w:sz w:val="32"/>
          <w:szCs w:val="24"/>
          <w:lang w:val="en-US" w:eastAsia="zh-CN"/>
          <w14:textFill>
            <w14:solidFill>
              <w14:schemeClr w14:val="tx1"/>
            </w14:solidFill>
          </w14:textFill>
        </w:rPr>
      </w:pPr>
      <w:r>
        <w:rPr>
          <w:rFonts w:hint="eastAsia" w:ascii="仿宋_GB2312" w:hAnsi="仿宋_GB2312" w:eastAsia="仿宋_GB2312" w:cs="仿宋_GB2312"/>
          <w:color w:val="auto"/>
          <w:spacing w:val="4"/>
          <w:kern w:val="0"/>
          <w:sz w:val="32"/>
          <w:szCs w:val="32"/>
          <w:highlight w:val="none"/>
          <w:lang w:val="en-US" w:eastAsia="zh-CN"/>
        </w:rPr>
        <w:t>法治建设与基层治理各环节的协同联动机制不够健全，法治赋能基层治理的作用未能充分彰显；在优化法治化营商环境、服务辖区经济社会发展方面，政策供给的精准性和实效性有待加强，针对企业经营发展中的法律需求响应不够及时；运用法治手段破解基层治理难题、化解民生痛点的路径和方法较为单一，法治建设成果转化为基层治理效能的转化率不高，与构建共建共治共享的基层治理新格局的目标仍有提升空间。</w:t>
      </w:r>
    </w:p>
    <w:p w14:paraId="0228BD03">
      <w:pPr>
        <w:keepNext w:val="0"/>
        <w:keepLines w:val="0"/>
        <w:pageBreakBefore w:val="0"/>
        <w:widowControl w:val="0"/>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w:t>
      </w:r>
      <w:bookmarkStart w:id="3" w:name="OLE_LINK15"/>
      <w:bookmarkStart w:id="4" w:name="OLE_LINK16"/>
      <w:r>
        <w:rPr>
          <w:rFonts w:hint="eastAsia" w:eastAsia="黑体"/>
          <w:color w:val="000000" w:themeColor="text1"/>
          <w:kern w:val="0"/>
          <w:sz w:val="32"/>
          <w:szCs w:val="32"/>
          <w14:textFill>
            <w14:solidFill>
              <w14:schemeClr w14:val="tx1"/>
            </w14:solidFill>
          </w14:textFill>
        </w:rPr>
        <w:t>202</w:t>
      </w:r>
      <w:r>
        <w:rPr>
          <w:rFonts w:hint="eastAsia" w:eastAsia="黑体"/>
          <w:color w:val="000000" w:themeColor="text1"/>
          <w:kern w:val="0"/>
          <w:sz w:val="32"/>
          <w:szCs w:val="32"/>
          <w:lang w:val="en-US" w:eastAsia="zh-CN"/>
          <w14:textFill>
            <w14:solidFill>
              <w14:schemeClr w14:val="tx1"/>
            </w14:solidFill>
          </w14:textFill>
        </w:rPr>
        <w:t>5</w:t>
      </w:r>
      <w:r>
        <w:rPr>
          <w:rFonts w:ascii="黑体" w:hAnsi="黑体" w:eastAsia="黑体"/>
          <w:color w:val="000000" w:themeColor="text1"/>
          <w:kern w:val="0"/>
          <w:sz w:val="32"/>
          <w:szCs w:val="32"/>
          <w14:textFill>
            <w14:solidFill>
              <w14:schemeClr w14:val="tx1"/>
            </w14:solidFill>
          </w14:textFill>
        </w:rPr>
        <w:t>年党政主要负责人履行推进法治建设第一责任人职责，加强法治政府建设的有关情况</w:t>
      </w:r>
      <w:bookmarkEnd w:id="3"/>
      <w:bookmarkEnd w:id="4"/>
    </w:p>
    <w:p w14:paraId="364EF3B4">
      <w:pPr>
        <w:keepNext w:val="0"/>
        <w:keepLines w:val="0"/>
        <w:pageBreakBefore w:val="0"/>
        <w:widowControl w:val="0"/>
        <w:numPr>
          <w:ilvl w:val="0"/>
          <w:numId w:val="4"/>
        </w:numPr>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带头尊法学法，</w:t>
      </w:r>
      <w:r>
        <w:rPr>
          <w:rFonts w:hint="eastAsia" w:ascii="楷体_GB2312" w:hAnsi="楷体_GB2312" w:eastAsia="楷体_GB2312" w:cs="楷体_GB2312"/>
          <w:sz w:val="32"/>
          <w:szCs w:val="32"/>
          <w:lang w:val="en-US" w:eastAsia="zh-CN"/>
        </w:rPr>
        <w:t>切实把法治建设抓在手上、扛在肩上</w:t>
      </w:r>
    </w:p>
    <w:p w14:paraId="0FFCF767">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带头学习贯彻习近平法治思想，</w:t>
      </w:r>
      <w:r>
        <w:rPr>
          <w:rFonts w:hint="eastAsia" w:ascii="仿宋_GB2312" w:hAnsi="仿宋_GB2312" w:eastAsia="仿宋_GB2312" w:cs="仿宋_GB2312"/>
          <w:b w:val="0"/>
          <w:bCs w:val="0"/>
          <w:kern w:val="0"/>
          <w:sz w:val="32"/>
          <w:szCs w:val="32"/>
          <w:lang w:val="en-US" w:eastAsia="zh-CN"/>
        </w:rPr>
        <w:t>落实主任办公会学法制度，全年共学习法律法规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kern w:val="0"/>
          <w:sz w:val="32"/>
          <w:szCs w:val="32"/>
          <w:lang w:val="en-US" w:eastAsia="zh-CN"/>
        </w:rPr>
        <w:t>部，</w:t>
      </w:r>
      <w:r>
        <w:rPr>
          <w:rFonts w:hint="eastAsia" w:ascii="仿宋_GB2312" w:hAnsi="仿宋_GB2312" w:eastAsia="仿宋_GB2312" w:cs="仿宋_GB2312"/>
          <w:b w:val="0"/>
          <w:bCs w:val="0"/>
          <w:sz w:val="32"/>
          <w:szCs w:val="32"/>
          <w:lang w:val="en-US" w:eastAsia="zh-CN"/>
        </w:rPr>
        <w:t>专题学习《中华人民共和国宪法》《中华人民共和国统计法》《中华人民共和国监察法》《中华人民共和国献血法》等法律法规，提升运用法治思维和法治方式开展工作的能力。</w:t>
      </w:r>
    </w:p>
    <w:p w14:paraId="43369BC2">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坚持依法决策，规范权力运行流程</w:t>
      </w:r>
    </w:p>
    <w:p w14:paraId="31200AE4">
      <w:pPr>
        <w:keepNext w:val="0"/>
        <w:keepLines w:val="0"/>
        <w:pageBreakBefore w:val="0"/>
        <w:widowControl w:val="0"/>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是统筹规划部署，压实法治责任。</w:t>
      </w:r>
      <w:r>
        <w:rPr>
          <w:rFonts w:hint="eastAsia" w:ascii="仿宋_GB2312" w:hAnsi="仿宋_GB2312" w:eastAsia="仿宋_GB2312" w:cs="仿宋_GB2312"/>
          <w:b w:val="0"/>
          <w:bCs w:val="0"/>
          <w:kern w:val="0"/>
          <w:sz w:val="32"/>
          <w:szCs w:val="32"/>
          <w:lang w:val="en-US" w:eastAsia="zh-CN"/>
        </w:rPr>
        <w:t>对重大工作亲自部署、重大问题亲自过问、重点环节亲自督办</w:t>
      </w:r>
      <w:bookmarkStart w:id="5" w:name="OLE_LINK2"/>
      <w:r>
        <w:rPr>
          <w:rFonts w:hint="eastAsia" w:ascii="仿宋_GB2312" w:hAnsi="仿宋_GB2312" w:eastAsia="仿宋_GB2312" w:cs="仿宋_GB2312"/>
          <w:b w:val="0"/>
          <w:bCs w:val="0"/>
          <w:kern w:val="0"/>
          <w:sz w:val="32"/>
          <w:szCs w:val="32"/>
          <w:lang w:val="en-US" w:eastAsia="zh-CN"/>
        </w:rPr>
        <w:t>，</w:t>
      </w:r>
      <w:r>
        <w:rPr>
          <w:rFonts w:hint="eastAsia" w:ascii="仿宋" w:hAnsi="仿宋" w:eastAsia="仿宋" w:cs="仿宋"/>
          <w:color w:val="auto"/>
          <w:sz w:val="32"/>
          <w:szCs w:val="32"/>
        </w:rPr>
        <w:t>落实重大行政决策程序。</w:t>
      </w:r>
      <w:bookmarkEnd w:id="5"/>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32"/>
          <w14:textFill>
            <w14:solidFill>
              <w14:schemeClr w14:val="tx1"/>
            </w14:solidFill>
          </w14:textFill>
        </w:rPr>
        <w:t>全年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我街道</w:t>
      </w:r>
      <w:r>
        <w:rPr>
          <w:rFonts w:hint="eastAsia" w:ascii="Times New Roman" w:hAnsi="Times New Roman" w:eastAsia="仿宋_GB2312" w:cs="Times New Roman"/>
          <w:color w:val="000000" w:themeColor="text1"/>
          <w:sz w:val="32"/>
          <w:szCs w:val="32"/>
          <w14:textFill>
            <w14:solidFill>
              <w14:schemeClr w14:val="tx1"/>
            </w14:solidFill>
          </w14:textFill>
        </w:rPr>
        <w:t>召开工委（扩大）会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44</w:t>
      </w:r>
      <w:r>
        <w:rPr>
          <w:rFonts w:hint="eastAsia" w:ascii="Times New Roman" w:hAnsi="Times New Roman" w:eastAsia="仿宋_GB2312" w:cs="Times New Roman"/>
          <w:color w:val="000000" w:themeColor="text1"/>
          <w:sz w:val="32"/>
          <w:szCs w:val="32"/>
          <w14:textFill>
            <w14:solidFill>
              <w14:schemeClr w14:val="tx1"/>
            </w14:solidFill>
          </w14:textFill>
        </w:rPr>
        <w:t>次，主任办公会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eastAsia" w:ascii="Times New Roman" w:hAnsi="Times New Roman" w:eastAsia="仿宋_GB2312" w:cs="Times New Roman"/>
          <w:color w:val="000000" w:themeColor="text1"/>
          <w:sz w:val="32"/>
          <w:szCs w:val="32"/>
          <w14:textFill>
            <w14:solidFill>
              <w14:schemeClr w14:val="tx1"/>
            </w14:solidFill>
          </w14:textFill>
        </w:rPr>
        <w:t>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严格上会前审核把关，重视听取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街道</w:t>
      </w:r>
      <w:r>
        <w:rPr>
          <w:rFonts w:hint="eastAsia" w:ascii="Times New Roman" w:hAnsi="Times New Roman" w:eastAsia="仿宋_GB2312" w:cs="Times New Roman"/>
          <w:color w:val="000000" w:themeColor="text1"/>
          <w:sz w:val="32"/>
          <w:szCs w:val="32"/>
          <w14:textFill>
            <w14:solidFill>
              <w14:schemeClr w14:val="tx1"/>
            </w14:solidFill>
          </w14:textFill>
        </w:rPr>
        <w:t>法律顾问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的建议与</w:t>
      </w:r>
      <w:r>
        <w:rPr>
          <w:rFonts w:hint="eastAsia" w:ascii="Times New Roman" w:hAnsi="Times New Roman" w:eastAsia="仿宋_GB2312" w:cs="Times New Roman"/>
          <w:color w:val="000000" w:themeColor="text1"/>
          <w:sz w:val="32"/>
          <w:szCs w:val="32"/>
          <w14:textFill>
            <w14:solidFill>
              <w14:schemeClr w14:val="tx1"/>
            </w14:solidFill>
          </w14:textFill>
        </w:rPr>
        <w:t>意见。</w:t>
      </w:r>
      <w:r>
        <w:rPr>
          <w:rFonts w:hint="eastAsia" w:ascii="仿宋" w:hAnsi="仿宋" w:eastAsia="仿宋" w:cs="仿宋"/>
          <w:color w:val="auto"/>
          <w:sz w:val="32"/>
          <w:szCs w:val="32"/>
          <w:lang w:eastAsia="zh-CN"/>
        </w:rPr>
        <w:t>持续</w:t>
      </w:r>
      <w:r>
        <w:rPr>
          <w:rFonts w:hint="eastAsia" w:ascii="仿宋_GB2312" w:hAnsi="仿宋_GB2312" w:eastAsia="仿宋_GB2312" w:cs="仿宋_GB2312"/>
          <w:color w:val="auto"/>
          <w:sz w:val="32"/>
          <w:szCs w:val="32"/>
        </w:rPr>
        <w:t>强化书记会、主任办公会和工委会议题申报流程和材料要求，有效提升“三重一大”议事决策流程的严肃性、高效性，</w:t>
      </w:r>
      <w:r>
        <w:rPr>
          <w:rFonts w:hint="default" w:ascii="Times New Roman Regular" w:hAnsi="Times New Roman Regular" w:eastAsia="仿宋_GB2312" w:cs="Times New Roman Regular"/>
          <w:color w:val="auto"/>
          <w:sz w:val="32"/>
          <w:szCs w:val="32"/>
        </w:rPr>
        <w:t>提前思考谋划，做好全局性、阶段性工作会议筹备和会务工作。</w:t>
      </w:r>
      <w:r>
        <w:rPr>
          <w:rFonts w:hint="eastAsia" w:ascii="Times New Roman Regular" w:hAnsi="Times New Roman Regular" w:eastAsia="仿宋_GB2312" w:cs="Times New Roman Regular"/>
          <w:color w:val="auto"/>
          <w:sz w:val="32"/>
          <w:szCs w:val="32"/>
          <w:lang w:eastAsia="zh-CN"/>
        </w:rPr>
        <w:t>总揽全局、协调各方</w:t>
      </w:r>
      <w:r>
        <w:rPr>
          <w:rFonts w:hint="eastAsia" w:ascii="仿宋_GB2312" w:hAnsi="仿宋_GB2312" w:eastAsia="仿宋_GB2312" w:cs="仿宋_GB2312"/>
          <w:color w:val="auto"/>
          <w:sz w:val="32"/>
          <w:szCs w:val="32"/>
        </w:rPr>
        <w:t>、服务各部门的能力和效率切实提升。</w:t>
      </w:r>
      <w:r>
        <w:rPr>
          <w:rFonts w:hint="eastAsia" w:ascii="仿宋_GB2312" w:hAnsi="仿宋_GB2312" w:eastAsia="仿宋_GB2312" w:cs="仿宋_GB2312"/>
          <w:b w:val="0"/>
          <w:bCs w:val="0"/>
          <w:kern w:val="0"/>
          <w:sz w:val="32"/>
          <w:szCs w:val="32"/>
          <w:lang w:val="en-US" w:eastAsia="zh-CN" w:bidi="ar-SA"/>
        </w:rPr>
        <w:t>二是积极推进政府法律顾问制度。充分发动社区公益律师，积极参与社区的矛盾纠纷调解、法治宣传和法律咨询等工作，不断提高社区法治化治理水平。选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聘1名律师担任街道法律顾问，引导法律顾问参与重大行政事务处理，推</w:t>
      </w:r>
      <w:r>
        <w:rPr>
          <w:rFonts w:hint="eastAsia" w:ascii="仿宋_GB2312" w:hAnsi="仿宋_GB2312" w:eastAsia="仿宋_GB2312" w:cs="仿宋_GB2312"/>
          <w:b w:val="0"/>
          <w:bCs w:val="0"/>
          <w:kern w:val="0"/>
          <w:sz w:val="32"/>
          <w:szCs w:val="32"/>
          <w:lang w:val="en-US" w:eastAsia="zh-CN" w:bidi="ar-SA"/>
        </w:rPr>
        <w:t>动在重大行政决策、依法行政中公正、廉洁、高效履职。严格执行《领导干部干预司法活动、插手具体案件处理的记录、通报和责任追究规定》，加强警示教育，让领导干部深刻认识到干预司法的严重后果，筑牢思想防线，养成“不干预司法”的自觉，支持司法机关依法独立公正行使职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2025年，未出现</w:t>
      </w:r>
      <w:r>
        <w:rPr>
          <w:rFonts w:hint="eastAsia" w:ascii="仿宋_GB2312" w:hAnsi="仿宋_GB2312" w:eastAsia="仿宋_GB2312" w:cs="仿宋_GB2312"/>
          <w:b w:val="0"/>
          <w:bCs w:val="0"/>
          <w:kern w:val="0"/>
          <w:sz w:val="32"/>
          <w:szCs w:val="32"/>
          <w:lang w:val="en-US" w:eastAsia="zh-CN" w:bidi="ar-SA"/>
        </w:rPr>
        <w:t>领导干部违反该制度的情况。</w:t>
      </w:r>
    </w:p>
    <w:p w14:paraId="776541AD">
      <w:pPr>
        <w:keepNext w:val="0"/>
        <w:keepLines w:val="0"/>
        <w:pageBreakBefore w:val="0"/>
        <w:widowControl w:val="0"/>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聚焦履职实效，提升法治治理实践水平</w:t>
      </w:r>
    </w:p>
    <w:p w14:paraId="3D283FA3">
      <w:pPr>
        <w:keepNext w:val="0"/>
        <w:keepLines w:val="0"/>
        <w:pageBreakBefore w:val="0"/>
        <w:widowControl w:val="0"/>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Times New Roman" w:hAnsi="Times New Roman" w:eastAsia="仿宋_GB2312" w:cs="Times New Roman"/>
          <w:color w:val="auto"/>
          <w:sz w:val="32"/>
          <w:szCs w:val="32"/>
          <w:highlight w:val="none"/>
          <w:u w:val="none"/>
          <w:shd w:val="clear" w:color="auto" w:fill="auto"/>
        </w:rPr>
      </w:pPr>
      <w:r>
        <w:rPr>
          <w:rFonts w:hint="eastAsia" w:ascii="仿宋_GB2312" w:hAnsi="仿宋_GB2312" w:eastAsia="仿宋_GB2312" w:cs="仿宋_GB2312"/>
          <w:sz w:val="32"/>
          <w:szCs w:val="32"/>
          <w:lang w:val="en-US" w:eastAsia="zh-CN"/>
        </w:rPr>
        <w:t>参与重大行政决</w:t>
      </w:r>
      <w:r>
        <w:rPr>
          <w:rFonts w:hint="eastAsia" w:ascii="仿宋_GB2312" w:hAnsi="仿宋_GB2312" w:eastAsia="仿宋_GB2312" w:cs="仿宋_GB2312"/>
          <w:sz w:val="32"/>
          <w:szCs w:val="32"/>
          <w:highlight w:val="none"/>
          <w:lang w:val="en-US" w:eastAsia="zh-CN"/>
        </w:rPr>
        <w:t>策、重大行政处罚等合法性审核，组织纪工委和司法所开展行政监督工作，强化执法部门全体干部的思想认识，并督促其认真开展自查自纠；通过</w:t>
      </w:r>
      <w:r>
        <w:rPr>
          <w:rFonts w:hint="eastAsia" w:ascii="仿宋_GB2312" w:hAnsi="仿宋_GB2312" w:eastAsia="仿宋_GB2312" w:cs="仿宋_GB2312"/>
          <w:b w:val="0"/>
          <w:bCs w:val="0"/>
          <w:kern w:val="2"/>
          <w:sz w:val="32"/>
          <w:szCs w:val="32"/>
        </w:rPr>
        <w:t>系统</w:t>
      </w:r>
      <w:r>
        <w:rPr>
          <w:rFonts w:hint="eastAsia" w:ascii="仿宋_GB2312" w:hAnsi="仿宋_GB2312" w:eastAsia="仿宋_GB2312" w:cs="仿宋_GB2312"/>
          <w:b w:val="0"/>
          <w:bCs w:val="0"/>
          <w:kern w:val="2"/>
          <w:sz w:val="32"/>
          <w:szCs w:val="32"/>
          <w:lang w:eastAsia="zh-CN"/>
        </w:rPr>
        <w:t>化</w:t>
      </w:r>
      <w:r>
        <w:rPr>
          <w:rFonts w:hint="eastAsia" w:ascii="仿宋_GB2312" w:hAnsi="仿宋_GB2312" w:eastAsia="仿宋_GB2312" w:cs="仿宋_GB2312"/>
          <w:b w:val="0"/>
          <w:bCs w:val="0"/>
          <w:kern w:val="2"/>
          <w:sz w:val="32"/>
          <w:szCs w:val="32"/>
        </w:rPr>
        <w:t>法治学习，提升干部法律素养，打造专业执法队伍</w:t>
      </w:r>
      <w:r>
        <w:rPr>
          <w:rFonts w:hint="eastAsia" w:ascii="仿宋_GB2312" w:hAnsi="仿宋_GB2312" w:eastAsia="仿宋_GB2312" w:cs="仿宋_GB2312"/>
          <w:b w:val="0"/>
          <w:bCs w:val="0"/>
          <w:kern w:val="2"/>
          <w:sz w:val="32"/>
          <w:szCs w:val="32"/>
          <w:lang w:eastAsia="zh-CN"/>
        </w:rPr>
        <w:t>。全年</w:t>
      </w:r>
      <w:r>
        <w:rPr>
          <w:rFonts w:hint="eastAsia" w:ascii="Times New Roman" w:hAnsi="Times New Roman" w:eastAsia="仿宋_GB2312" w:cs="Times New Roman"/>
          <w:color w:val="auto"/>
          <w:sz w:val="32"/>
          <w:szCs w:val="32"/>
          <w:highlight w:val="none"/>
          <w:u w:val="none"/>
          <w:shd w:val="clear" w:color="auto" w:fill="auto"/>
        </w:rPr>
        <w:t>以规范执法文书制作为重点，</w:t>
      </w:r>
      <w:r>
        <w:rPr>
          <w:rFonts w:hint="eastAsia" w:ascii="Times New Roman" w:hAnsi="Times New Roman" w:eastAsia="仿宋_GB2312" w:cs="Times New Roman"/>
          <w:color w:val="auto"/>
          <w:sz w:val="32"/>
          <w:szCs w:val="32"/>
          <w:highlight w:val="none"/>
          <w:u w:val="none"/>
          <w:shd w:val="clear" w:color="auto" w:fill="auto"/>
          <w:lang w:eastAsia="zh-CN"/>
        </w:rPr>
        <w:t>通过执法</w:t>
      </w:r>
      <w:r>
        <w:rPr>
          <w:rFonts w:hint="eastAsia" w:ascii="Times New Roman" w:hAnsi="Times New Roman" w:eastAsia="仿宋_GB2312" w:cs="Times New Roman"/>
          <w:color w:val="auto"/>
          <w:sz w:val="32"/>
          <w:szCs w:val="32"/>
          <w:highlight w:val="none"/>
          <w:u w:val="none"/>
          <w:shd w:val="clear" w:color="auto" w:fill="auto"/>
        </w:rPr>
        <w:t>案卷评查</w:t>
      </w:r>
      <w:r>
        <w:rPr>
          <w:rFonts w:hint="eastAsia" w:ascii="Times New Roman" w:hAnsi="Times New Roman" w:eastAsia="仿宋_GB2312" w:cs="Times New Roman"/>
          <w:color w:val="auto"/>
          <w:sz w:val="32"/>
          <w:szCs w:val="32"/>
          <w:highlight w:val="none"/>
          <w:u w:val="none"/>
          <w:shd w:val="clear" w:color="auto" w:fill="auto"/>
          <w:lang w:eastAsia="zh-CN"/>
        </w:rPr>
        <w:t>和</w:t>
      </w:r>
      <w:r>
        <w:rPr>
          <w:rFonts w:hint="eastAsia" w:ascii="Times New Roman" w:hAnsi="Times New Roman" w:eastAsia="仿宋_GB2312" w:cs="Times New Roman"/>
          <w:color w:val="auto"/>
          <w:sz w:val="32"/>
          <w:szCs w:val="32"/>
          <w:highlight w:val="none"/>
          <w:u w:val="none"/>
          <w:shd w:val="clear" w:color="auto" w:fill="auto"/>
        </w:rPr>
        <w:t>重大法制审核，切实提高执法</w:t>
      </w:r>
      <w:r>
        <w:rPr>
          <w:rFonts w:hint="eastAsia" w:ascii="Times New Roman" w:hAnsi="Times New Roman" w:eastAsia="仿宋_GB2312" w:cs="Times New Roman"/>
          <w:color w:val="auto"/>
          <w:sz w:val="32"/>
          <w:szCs w:val="32"/>
          <w:highlight w:val="none"/>
          <w:u w:val="none"/>
          <w:shd w:val="clear" w:color="auto" w:fill="auto"/>
          <w:lang w:eastAsia="zh-CN"/>
        </w:rPr>
        <w:t>文书</w:t>
      </w:r>
      <w:r>
        <w:rPr>
          <w:rFonts w:hint="eastAsia" w:ascii="Times New Roman" w:hAnsi="Times New Roman" w:eastAsia="仿宋_GB2312" w:cs="Times New Roman"/>
          <w:color w:val="auto"/>
          <w:sz w:val="32"/>
          <w:szCs w:val="32"/>
          <w:highlight w:val="none"/>
          <w:u w:val="none"/>
          <w:shd w:val="clear" w:color="auto" w:fill="auto"/>
        </w:rPr>
        <w:t>质量</w:t>
      </w:r>
      <w:r>
        <w:rPr>
          <w:rFonts w:hint="eastAsia" w:ascii="Times New Roman" w:hAnsi="Times New Roman" w:eastAsia="仿宋_GB2312" w:cs="Times New Roman"/>
          <w:color w:val="auto"/>
          <w:sz w:val="32"/>
          <w:szCs w:val="32"/>
          <w:highlight w:val="none"/>
          <w:u w:val="none"/>
          <w:shd w:val="clear" w:color="auto" w:fill="auto"/>
          <w:lang w:eastAsia="zh-CN"/>
        </w:rPr>
        <w:t>。同时邀请相关执法单位和司法部门进行授课，</w:t>
      </w:r>
      <w:r>
        <w:rPr>
          <w:rFonts w:hint="eastAsia" w:ascii="Times New Roman" w:hAnsi="Times New Roman" w:eastAsia="仿宋_GB2312" w:cs="Times New Roman"/>
          <w:color w:val="auto"/>
          <w:sz w:val="32"/>
          <w:szCs w:val="32"/>
          <w:highlight w:val="none"/>
          <w:u w:val="none"/>
          <w:shd w:val="clear" w:color="auto" w:fill="auto"/>
        </w:rPr>
        <w:t>不断提高</w:t>
      </w:r>
      <w:r>
        <w:rPr>
          <w:rFonts w:hint="eastAsia" w:ascii="Times New Roman" w:hAnsi="Times New Roman" w:eastAsia="仿宋_GB2312" w:cs="Times New Roman"/>
          <w:color w:val="auto"/>
          <w:sz w:val="32"/>
          <w:szCs w:val="32"/>
          <w:highlight w:val="none"/>
          <w:u w:val="none"/>
          <w:shd w:val="clear" w:color="auto" w:fill="auto"/>
          <w:lang w:eastAsia="zh-CN"/>
        </w:rPr>
        <w:t>我街道执法队</w:t>
      </w:r>
      <w:r>
        <w:rPr>
          <w:rFonts w:hint="eastAsia" w:ascii="Times New Roman" w:hAnsi="Times New Roman" w:eastAsia="仿宋_GB2312" w:cs="Times New Roman"/>
          <w:color w:val="auto"/>
          <w:sz w:val="32"/>
          <w:szCs w:val="32"/>
          <w:highlight w:val="none"/>
          <w:u w:val="none"/>
          <w:shd w:val="clear" w:color="auto" w:fill="auto"/>
        </w:rPr>
        <w:t>行政执法能力和</w:t>
      </w:r>
      <w:r>
        <w:rPr>
          <w:rFonts w:hint="eastAsia" w:ascii="Times New Roman" w:hAnsi="Times New Roman" w:eastAsia="仿宋_GB2312" w:cs="Times New Roman"/>
          <w:color w:val="auto"/>
          <w:sz w:val="32"/>
          <w:szCs w:val="32"/>
          <w:highlight w:val="none"/>
          <w:u w:val="none"/>
          <w:shd w:val="clear" w:color="auto" w:fill="auto"/>
          <w:lang w:eastAsia="zh-CN"/>
        </w:rPr>
        <w:t>工作</w:t>
      </w:r>
      <w:r>
        <w:rPr>
          <w:rFonts w:hint="eastAsia" w:ascii="Times New Roman" w:hAnsi="Times New Roman" w:eastAsia="仿宋_GB2312" w:cs="Times New Roman"/>
          <w:color w:val="auto"/>
          <w:sz w:val="32"/>
          <w:szCs w:val="32"/>
          <w:highlight w:val="none"/>
          <w:u w:val="none"/>
          <w:shd w:val="clear" w:color="auto" w:fill="auto"/>
        </w:rPr>
        <w:t>水平。</w:t>
      </w:r>
    </w:p>
    <w:p w14:paraId="59B0EF43">
      <w:pPr>
        <w:keepNext w:val="0"/>
        <w:keepLines w:val="0"/>
        <w:pageBreakBefore w:val="0"/>
        <w:widowControl w:val="0"/>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（四）深化普法宣传，营造尊法学法浓厚氛围</w:t>
      </w:r>
    </w:p>
    <w:p w14:paraId="11C92DE1">
      <w:pPr>
        <w:keepNext w:val="0"/>
        <w:keepLines w:val="0"/>
        <w:pageBreakBefore w:val="0"/>
        <w:widowControl w:val="0"/>
        <w:pBdr>
          <w:bottom w:val="single" w:color="FFFFFF" w:sz="4" w:space="31"/>
        </w:pBdr>
        <w:kinsoku/>
        <w:wordWrap/>
        <w:overflowPunct/>
        <w:autoSpaceDE w:val="0"/>
        <w:autoSpaceDN/>
        <w:bidi w:val="0"/>
        <w:snapToGrid w:val="0"/>
        <w:spacing w:after="0" w:line="560" w:lineRule="exact"/>
        <w:ind w:left="0" w:leftChars="0" w:right="0" w:rightChars="0" w:firstLine="640" w:firstLineChars="200"/>
        <w:textAlignment w:val="baseline"/>
        <w:outlineLvl w:val="0"/>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深入推进落实“八五”普法规划和重点任务，继续开展以宪法为核心，以民法典为主要内容的普法教育工作。</w:t>
      </w:r>
      <w:r>
        <w:rPr>
          <w:rFonts w:hint="eastAsia" w:ascii="仿宋_GB2312" w:hAnsi="仿宋_GB2312" w:eastAsia="仿宋_GB2312" w:cs="仿宋_GB2312"/>
          <w:b w:val="0"/>
          <w:bCs w:val="0"/>
          <w:sz w:val="32"/>
          <w:szCs w:val="32"/>
          <w:highlight w:val="none"/>
        </w:rPr>
        <w:t>始终坚持“谁执法谁普法”“谁服务谁普法”责任制，创新普法方式，提升普法针对性和实效性。一是抓好重点节点普法。结合“</w:t>
      </w:r>
      <w:r>
        <w:rPr>
          <w:rFonts w:hint="eastAsia" w:ascii="Times New Roman" w:hAnsi="Times New Roman" w:eastAsia="仿宋_GB2312" w:cs="Times New Roman"/>
          <w:color w:val="000000" w:themeColor="text1"/>
          <w:sz w:val="32"/>
          <w:szCs w:val="32"/>
          <w14:textFill>
            <w14:solidFill>
              <w14:schemeClr w14:val="tx1"/>
            </w14:solidFill>
          </w14:textFill>
        </w:rPr>
        <w:t>3·15”消费者权益日、“4·15”全民国家安全教育日、“12·4”</w:t>
      </w:r>
      <w:r>
        <w:rPr>
          <w:rFonts w:hint="eastAsia" w:ascii="仿宋_GB2312" w:hAnsi="仿宋_GB2312" w:eastAsia="仿宋_GB2312" w:cs="仿宋_GB2312"/>
          <w:b w:val="0"/>
          <w:bCs w:val="0"/>
          <w:sz w:val="32"/>
          <w:szCs w:val="32"/>
          <w:highlight w:val="none"/>
        </w:rPr>
        <w:t>国家宪法日等重要时间节点，通过发放宣传资料、现场咨询、</w:t>
      </w:r>
      <w:r>
        <w:rPr>
          <w:rFonts w:hint="eastAsia" w:ascii="仿宋_GB2312" w:hAnsi="仿宋_GB2312" w:eastAsia="仿宋_GB2312" w:cs="仿宋_GB2312"/>
          <w:b w:val="0"/>
          <w:bCs w:val="0"/>
          <w:sz w:val="32"/>
          <w:szCs w:val="32"/>
          <w:highlight w:val="none"/>
          <w:lang w:eastAsia="zh-CN"/>
        </w:rPr>
        <w:t>以案释法</w:t>
      </w:r>
      <w:r>
        <w:rPr>
          <w:rFonts w:hint="eastAsia" w:ascii="仿宋_GB2312" w:hAnsi="仿宋_GB2312" w:eastAsia="仿宋_GB2312" w:cs="仿宋_GB2312"/>
          <w:b w:val="0"/>
          <w:bCs w:val="0"/>
          <w:sz w:val="32"/>
          <w:szCs w:val="32"/>
          <w:highlight w:val="none"/>
        </w:rPr>
        <w:t>等形式</w:t>
      </w:r>
      <w:r>
        <w:rPr>
          <w:rFonts w:hint="eastAsia" w:ascii="仿宋_GB2312" w:hAnsi="仿宋_GB2312" w:eastAsia="仿宋_GB2312" w:cs="仿宋_GB2312"/>
          <w:b w:val="0"/>
          <w:bCs w:val="0"/>
          <w:sz w:val="32"/>
          <w:szCs w:val="32"/>
          <w:highlight w:val="none"/>
          <w:lang w:eastAsia="zh-CN"/>
        </w:rPr>
        <w:t>对辖区广大</w:t>
      </w:r>
      <w:r>
        <w:rPr>
          <w:rFonts w:hint="eastAsia" w:ascii="仿宋_GB2312" w:hAnsi="仿宋_GB2312" w:eastAsia="仿宋_GB2312" w:cs="仿宋_GB2312"/>
          <w:b w:val="0"/>
          <w:bCs w:val="0"/>
          <w:sz w:val="32"/>
          <w:szCs w:val="32"/>
          <w:highlight w:val="none"/>
        </w:rPr>
        <w:t>群众开展主题普法宣传活动</w:t>
      </w:r>
      <w:r>
        <w:rPr>
          <w:rFonts w:hint="eastAsia" w:ascii="仿宋_GB2312" w:hAnsi="仿宋_GB2312" w:eastAsia="仿宋_GB2312" w:cs="仿宋_GB2312"/>
          <w:b w:val="0"/>
          <w:bCs w:val="0"/>
          <w:sz w:val="32"/>
          <w:szCs w:val="32"/>
          <w:highlight w:val="none"/>
          <w:lang w:val="en-US" w:eastAsia="zh-CN"/>
        </w:rPr>
        <w:t>18</w:t>
      </w:r>
      <w:r>
        <w:rPr>
          <w:rFonts w:hint="eastAsia" w:ascii="仿宋_GB2312" w:hAnsi="仿宋_GB2312" w:eastAsia="仿宋_GB2312" w:cs="仿宋_GB2312"/>
          <w:b w:val="0"/>
          <w:bCs w:val="0"/>
          <w:sz w:val="32"/>
          <w:szCs w:val="32"/>
          <w:highlight w:val="none"/>
        </w:rPr>
        <w:t>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二是</w:t>
      </w:r>
      <w:r>
        <w:rPr>
          <w:rFonts w:hint="eastAsia" w:ascii="仿宋_GB2312" w:hAnsi="仿宋_GB2312" w:eastAsia="仿宋_GB2312" w:cs="仿宋_GB2312"/>
          <w:b w:val="0"/>
          <w:bCs w:val="0"/>
          <w:sz w:val="32"/>
          <w:szCs w:val="32"/>
          <w:highlight w:val="none"/>
          <w:lang w:eastAsia="zh-CN"/>
        </w:rPr>
        <w:t>推进分层普法，</w:t>
      </w:r>
      <w:bookmarkStart w:id="8" w:name="_GoBack"/>
      <w:r>
        <w:rPr>
          <w:rFonts w:hint="eastAsia" w:ascii="仿宋_GB2312" w:hAnsi="仿宋_GB2312" w:eastAsia="仿宋_GB2312" w:cs="仿宋_GB2312"/>
          <w:b w:val="0"/>
          <w:bCs w:val="0"/>
          <w:kern w:val="0"/>
          <w:sz w:val="32"/>
          <w:szCs w:val="32"/>
          <w:highlight w:val="none"/>
          <w:lang w:val="en-US" w:eastAsia="zh-CN" w:bidi="ar-SA"/>
        </w:rPr>
        <w:t>开展“法律进机关、进校园、进企业、进社区、进重点公共场所、进网络”活动。</w:t>
      </w:r>
      <w:r>
        <w:rPr>
          <w:rFonts w:hint="eastAsia" w:ascii="仿宋_GB2312" w:hAnsi="仿宋_GB2312" w:eastAsia="仿宋_GB2312" w:cs="仿宋_GB2312"/>
          <w:b w:val="0"/>
          <w:bCs w:val="0"/>
          <w:sz w:val="32"/>
          <w:szCs w:val="32"/>
          <w:highlight w:val="none"/>
        </w:rPr>
        <w:t>三是</w:t>
      </w:r>
      <w:r>
        <w:rPr>
          <w:rFonts w:hint="eastAsia" w:ascii="仿宋_GB2312" w:hAnsi="仿宋_GB2312" w:eastAsia="仿宋_GB2312" w:cs="仿宋_GB2312"/>
          <w:b w:val="0"/>
          <w:bCs w:val="0"/>
          <w:kern w:val="0"/>
          <w:sz w:val="32"/>
          <w:szCs w:val="32"/>
          <w:highlight w:val="none"/>
          <w:lang w:val="en-US" w:eastAsia="zh-CN" w:bidi="ar-SA"/>
        </w:rPr>
        <w:t>加</w:t>
      </w:r>
      <w:bookmarkEnd w:id="8"/>
      <w:r>
        <w:rPr>
          <w:rFonts w:hint="eastAsia" w:ascii="仿宋_GB2312" w:hAnsi="仿宋_GB2312" w:eastAsia="仿宋_GB2312" w:cs="仿宋_GB2312"/>
          <w:b w:val="0"/>
          <w:bCs w:val="0"/>
          <w:kern w:val="0"/>
          <w:sz w:val="32"/>
          <w:szCs w:val="32"/>
          <w:highlight w:val="none"/>
          <w:lang w:val="en-US" w:eastAsia="zh-CN" w:bidi="ar-SA"/>
        </w:rPr>
        <w:t>强法治文化阵地建设。利用法制宣传橱窗定时更新张贴社区法治宣传挂图。运用街道公众号开展普法宣传，积极转载普法作品。</w:t>
      </w:r>
    </w:p>
    <w:p w14:paraId="54BB4257">
      <w:pPr>
        <w:keepNext w:val="0"/>
        <w:keepLines w:val="0"/>
        <w:pageBreakBefore w:val="0"/>
        <w:widowControl w:val="0"/>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w:t>
      </w:r>
      <w:r>
        <w:rPr>
          <w:rFonts w:hint="eastAsia" w:ascii="Times New Roman" w:hAnsi="Times New Roman" w:eastAsia="仿宋_GB2312" w:cs="Times New Roman"/>
          <w:b w:val="0"/>
          <w:bCs w:val="0"/>
          <w:color w:val="auto"/>
          <w:kern w:val="2"/>
          <w:sz w:val="32"/>
          <w:szCs w:val="32"/>
          <w:highlight w:val="none"/>
          <w:lang w:val="en-US" w:eastAsia="zh-CN" w:bidi="ar-SA"/>
        </w:rPr>
        <w:t>2026</w:t>
      </w:r>
      <w:r>
        <w:rPr>
          <w:rFonts w:hint="eastAsia" w:ascii="黑体" w:hAnsi="黑体" w:eastAsia="黑体" w:cs="黑体"/>
          <w:sz w:val="32"/>
          <w:szCs w:val="32"/>
        </w:rPr>
        <w:t>年度</w:t>
      </w:r>
      <w:bookmarkStart w:id="6" w:name="OLE_LINK22"/>
      <w:bookmarkStart w:id="7" w:name="OLE_LINK21"/>
      <w:r>
        <w:rPr>
          <w:rFonts w:hint="eastAsia" w:ascii="黑体" w:hAnsi="黑体" w:eastAsia="黑体" w:cs="黑体"/>
          <w:sz w:val="32"/>
          <w:szCs w:val="32"/>
        </w:rPr>
        <w:t>推进法治政府建设的主要安排</w:t>
      </w:r>
      <w:bookmarkEnd w:id="6"/>
      <w:bookmarkEnd w:id="7"/>
    </w:p>
    <w:p w14:paraId="3EFAA7CD">
      <w:pPr>
        <w:keepNext w:val="0"/>
        <w:keepLines w:val="0"/>
        <w:pageBreakBefore w:val="0"/>
        <w:widowControl w:val="0"/>
        <w:numPr>
          <w:ilvl w:val="0"/>
          <w:numId w:val="5"/>
        </w:numPr>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强化法治思想引领，筑牢依法治理根基</w:t>
      </w:r>
    </w:p>
    <w:p w14:paraId="25781A2A">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napToGrid/>
        <w:spacing w:after="0" w:line="560" w:lineRule="exact"/>
        <w:ind w:left="0" w:leftChars="0" w:right="0" w:rightChars="0" w:firstLine="640" w:firstLineChars="200"/>
        <w:jc w:val="both"/>
        <w:textAlignment w:val="auto"/>
        <w:outlineLvl w:val="9"/>
        <w:rPr>
          <w:rFonts w:hint="eastAsia" w:ascii="仿宋_GB2312" w:eastAsia="仿宋_GB2312"/>
          <w:spacing w:val="8"/>
          <w:sz w:val="32"/>
          <w:szCs w:val="32"/>
          <w:shd w:val="clear" w:color="auto" w:fill="FFFFFF"/>
        </w:rPr>
      </w:pPr>
      <w:r>
        <w:rPr>
          <w:rFonts w:hint="eastAsia" w:ascii="仿宋_GB2312" w:hAnsi="仿宋_GB2312" w:eastAsia="仿宋_GB2312" w:cs="仿宋_GB2312"/>
          <w:b w:val="0"/>
          <w:bCs w:val="0"/>
          <w:kern w:val="2"/>
          <w:sz w:val="32"/>
          <w:szCs w:val="32"/>
          <w:lang w:val="en-US" w:eastAsia="zh-CN" w:bidi="ar-SA"/>
        </w:rPr>
        <w:t>坚持把学习贯彻习近平法治思想作为首要政治任务，压紧压实“一把手抓法治”责任链条，严格落实党政主要负责人推进法治建设第一责任人职责。健全完善干部学法用法长效机制，分层分类开展精准化法治培训，重点提升领导干部及执法人员依法决策、依法行政、依法调解的专业能力，培育高素质法治骨干队伍，推动干部在履职尽责、矛盾化解中熟练运用法治思维和法治方式解决问题，全面强化法治实践效能。</w:t>
      </w:r>
    </w:p>
    <w:p w14:paraId="3AF8977B">
      <w:pPr>
        <w:keepNext w:val="0"/>
        <w:keepLines w:val="0"/>
        <w:pageBreakBefore w:val="0"/>
        <w:widowControl w:val="0"/>
        <w:numPr>
          <w:ilvl w:val="0"/>
          <w:numId w:val="6"/>
        </w:numPr>
        <w:pBdr>
          <w:bottom w:val="single" w:color="FFFFFF" w:sz="4" w:space="31"/>
        </w:pBdr>
        <w:kinsoku/>
        <w:wordWrap/>
        <w:overflowPunct/>
        <w:topLinePunct/>
        <w:autoSpaceDE w:val="0"/>
        <w:autoSpaceDN/>
        <w:bidi w:val="0"/>
        <w:adjustRightInd w:val="0"/>
        <w:spacing w:after="0" w:line="560" w:lineRule="exact"/>
        <w:ind w:left="0" w:leftChars="0" w:right="0" w:rightChars="0" w:firstLine="672" w:firstLineChars="200"/>
        <w:rPr>
          <w:rFonts w:hint="eastAsia" w:ascii="楷体_GB2312" w:hAnsi="楷体_GB2312" w:eastAsia="楷体_GB2312" w:cs="楷体_GB2312"/>
          <w:spacing w:val="8"/>
          <w:sz w:val="32"/>
          <w:szCs w:val="32"/>
          <w:shd w:val="clear" w:color="auto" w:fill="FFFFFF"/>
        </w:rPr>
      </w:pPr>
      <w:r>
        <w:rPr>
          <w:rFonts w:hint="eastAsia" w:ascii="楷体_GB2312" w:hAnsi="楷体_GB2312" w:eastAsia="楷体_GB2312" w:cs="楷体_GB2312"/>
          <w:spacing w:val="8"/>
          <w:sz w:val="32"/>
          <w:szCs w:val="32"/>
          <w:shd w:val="clear" w:color="auto" w:fill="FFFFFF"/>
        </w:rPr>
        <w:t>深化法治理念教育，培育全员法治思维</w:t>
      </w:r>
    </w:p>
    <w:p w14:paraId="5D442CA9">
      <w:pPr>
        <w:keepNext w:val="0"/>
        <w:keepLines w:val="0"/>
        <w:pageBreakBefore w:val="0"/>
        <w:widowControl w:val="0"/>
        <w:numPr>
          <w:ilvl w:val="0"/>
          <w:numId w:val="0"/>
        </w:numPr>
        <w:pBdr>
          <w:bottom w:val="single" w:color="FFFFFF" w:sz="4" w:space="31"/>
        </w:pBdr>
        <w:kinsoku/>
        <w:wordWrap/>
        <w:overflowPunct/>
        <w:topLinePunct/>
        <w:autoSpaceDE w:val="0"/>
        <w:autoSpaceDN/>
        <w:bidi w:val="0"/>
        <w:adjustRightInd w:val="0"/>
        <w:spacing w:after="0" w:line="560" w:lineRule="exact"/>
        <w:ind w:left="0" w:leftChars="0" w:right="0" w:rightChars="0" w:firstLine="640" w:firstLineChars="200"/>
        <w:rPr>
          <w:rFonts w:hint="eastAsia" w:ascii="仿宋_GB2312" w:eastAsia="仿宋_GB2312"/>
          <w:spacing w:val="8"/>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val="en-US" w:eastAsia="zh-CN"/>
        </w:rPr>
        <w:t>全面启动“九五”普法工作，健全完善普法工作体系，聚焦新业态群体、重点人群法治需求，构建精准化、常态化、多元化法治宣传教育格局。对于辖区群众，要通过多层次、多渠道、全方位普法举措实现精准覆盖，持续提升居民的法治意识与法律素养，切实增强不同群体法治获得感、幸福感、满意度，着力营造办事依法、遇事找法、解决问题用法、化解矛盾靠法的良好法治环境。对街道内部更要</w:t>
      </w:r>
      <w:r>
        <w:rPr>
          <w:rFonts w:hint="eastAsia" w:ascii="仿宋_GB2312" w:eastAsia="仿宋_GB2312"/>
          <w:spacing w:val="8"/>
          <w:sz w:val="32"/>
          <w:szCs w:val="32"/>
          <w:shd w:val="clear" w:color="auto" w:fill="FFFFFF"/>
        </w:rPr>
        <w:t>将法治教育纳入干部职工年度培训计划，制定详细的法治培训课程体系，邀请法律专家学者、资深法官、检察官等专业人士进行授课，围绕宪法、行政法、民法典等与日常工作密切相关的法律法规以及法治政府建设的理论与实践等内容，开展专题培训讲座，并通过网络在线学习平台提供丰富的法治学习资源，供干部职工自主学习，推动干部职工从“被动守法”向“主动用法”转变，提升运用法治思维解决问题的能力。</w:t>
      </w:r>
    </w:p>
    <w:p w14:paraId="46B38BB7">
      <w:pPr>
        <w:keepNext w:val="0"/>
        <w:keepLines w:val="0"/>
        <w:pageBreakBefore w:val="0"/>
        <w:widowControl w:val="0"/>
        <w:pBdr>
          <w:bottom w:val="single" w:color="FFFFFF" w:sz="4" w:space="31"/>
        </w:pBdr>
        <w:kinsoku/>
        <w:wordWrap/>
        <w:overflowPunct/>
        <w:topLinePunct/>
        <w:autoSpaceDE w:val="0"/>
        <w:autoSpaceDN/>
        <w:bidi w:val="0"/>
        <w:adjustRightInd w:val="0"/>
        <w:spacing w:after="0" w:line="560" w:lineRule="exact"/>
        <w:ind w:left="0" w:leftChars="0" w:right="0" w:rightChars="0" w:firstLine="672" w:firstLineChars="200"/>
        <w:rPr>
          <w:rFonts w:hint="eastAsia" w:ascii="楷体_GB2312" w:hAnsi="楷体_GB2312" w:eastAsia="楷体_GB2312" w:cs="楷体_GB2312"/>
          <w:spacing w:val="8"/>
          <w:sz w:val="32"/>
          <w:szCs w:val="32"/>
          <w:shd w:val="clear" w:color="auto" w:fill="FFFFFF"/>
        </w:rPr>
      </w:pPr>
      <w:r>
        <w:rPr>
          <w:rFonts w:hint="eastAsia" w:ascii="楷体_GB2312" w:hAnsi="楷体_GB2312" w:eastAsia="楷体_GB2312" w:cs="楷体_GB2312"/>
          <w:spacing w:val="8"/>
          <w:sz w:val="32"/>
          <w:szCs w:val="32"/>
          <w:shd w:val="clear" w:color="auto" w:fill="FFFFFF"/>
        </w:rPr>
        <w:t>（三）创新法治宣传方式，扩大宣传覆盖面与实效性</w:t>
      </w:r>
    </w:p>
    <w:p w14:paraId="48D1E801">
      <w:pPr>
        <w:keepNext w:val="0"/>
        <w:keepLines w:val="0"/>
        <w:pageBreakBefore w:val="0"/>
        <w:widowControl w:val="0"/>
        <w:pBdr>
          <w:bottom w:val="single" w:color="FFFFFF" w:sz="4" w:space="31"/>
        </w:pBdr>
        <w:kinsoku/>
        <w:wordWrap/>
        <w:overflowPunct/>
        <w:topLinePunct/>
        <w:autoSpaceDE w:val="0"/>
        <w:autoSpaceDN/>
        <w:bidi w:val="0"/>
        <w:adjustRightInd w:val="0"/>
        <w:spacing w:after="0" w:line="560" w:lineRule="exact"/>
        <w:ind w:left="0" w:leftChars="0" w:right="0" w:rightChars="0" w:firstLine="672" w:firstLineChars="200"/>
        <w:rPr>
          <w:rFonts w:hint="eastAsia" w:ascii="仿宋_GB2312" w:eastAsia="仿宋_GB2312"/>
          <w:spacing w:val="8"/>
          <w:sz w:val="32"/>
          <w:szCs w:val="32"/>
          <w:shd w:val="clear" w:color="auto" w:fill="FFFFFF"/>
        </w:rPr>
      </w:pPr>
      <w:r>
        <w:rPr>
          <w:rFonts w:hint="eastAsia" w:ascii="仿宋_GB2312" w:eastAsia="仿宋_GB2312"/>
          <w:spacing w:val="8"/>
          <w:sz w:val="32"/>
          <w:szCs w:val="32"/>
          <w:shd w:val="clear" w:color="auto" w:fill="FFFFFF"/>
        </w:rPr>
        <w:t>充分整合线上线下宣传资源，构建全方位、多层次的法治宣传平台。线上，利用微信公众号、微博、抖音等新媒体平台开设法治宣传专栏，定期发布法律法规解读、法治动漫、微视频、以案说法等生动有趣、通俗易懂的法治内容，吸引群众关注与互动；线下，除传统的宣传册发放、法律咨询活动、法治讲座外，结合社区文化活动、民俗节庆等时机，开展法治文艺演出、法治电影放映等群众喜闻乐见的宣传活动，将法律知识融入到群众的日常生活中，增强法治宣传的趣味性与吸引力。</w:t>
      </w:r>
    </w:p>
    <w:bookmarkEnd w:id="2"/>
    <w:p w14:paraId="5F2497AD">
      <w:pPr>
        <w:keepNext w:val="0"/>
        <w:keepLines w:val="0"/>
        <w:pageBreakBefore w:val="0"/>
        <w:widowControl w:val="0"/>
        <w:numPr>
          <w:ilvl w:val="0"/>
          <w:numId w:val="0"/>
        </w:numPr>
        <w:pBdr>
          <w:bottom w:val="single" w:color="FFFFFF" w:sz="4" w:space="31"/>
        </w:pBdr>
        <w:kinsoku/>
        <w:wordWrap/>
        <w:overflowPunct/>
        <w:autoSpaceDE w:val="0"/>
        <w:autoSpaceDN/>
        <w:bidi w:val="0"/>
        <w:snapToGrid w:val="0"/>
        <w:spacing w:after="0" w:line="560" w:lineRule="exact"/>
        <w:ind w:right="0" w:rightChars="0" w:firstLine="420" w:firstLineChars="200"/>
        <w:textAlignment w:val="baseline"/>
        <w:outlineLvl w:val="0"/>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8AF5A"/>
    <w:multiLevelType w:val="singleLevel"/>
    <w:tmpl w:val="F798AF5A"/>
    <w:lvl w:ilvl="0" w:tentative="0">
      <w:start w:val="6"/>
      <w:numFmt w:val="chineseCounting"/>
      <w:suff w:val="nothing"/>
      <w:lvlText w:val="（%1）"/>
      <w:lvlJc w:val="left"/>
      <w:rPr>
        <w:rFonts w:hint="eastAsia" w:ascii="楷体_GB2312" w:hAnsi="楷体_GB2312" w:eastAsia="楷体_GB2312" w:cs="楷体_GB2312"/>
      </w:rPr>
    </w:lvl>
  </w:abstractNum>
  <w:abstractNum w:abstractNumId="1">
    <w:nsid w:val="5E9EEA37"/>
    <w:multiLevelType w:val="singleLevel"/>
    <w:tmpl w:val="5E9EEA37"/>
    <w:lvl w:ilvl="0" w:tentative="0">
      <w:start w:val="2"/>
      <w:numFmt w:val="chineseCounting"/>
      <w:suff w:val="nothing"/>
      <w:lvlText w:val="（%1）"/>
      <w:lvlJc w:val="left"/>
      <w:rPr>
        <w:rFonts w:hint="eastAsia" w:ascii="楷体_GB2312" w:hAnsi="楷体_GB2312" w:eastAsia="楷体_GB2312" w:cs="楷体_GB2312"/>
      </w:rPr>
    </w:lvl>
  </w:abstractNum>
  <w:abstractNum w:abstractNumId="2">
    <w:nsid w:val="69667285"/>
    <w:multiLevelType w:val="singleLevel"/>
    <w:tmpl w:val="69667285"/>
    <w:lvl w:ilvl="0" w:tentative="0">
      <w:start w:val="1"/>
      <w:numFmt w:val="chineseCounting"/>
      <w:suff w:val="nothing"/>
      <w:lvlText w:val="（%1）"/>
      <w:lvlJc w:val="left"/>
      <w:rPr>
        <w:rFonts w:hint="eastAsia" w:ascii="楷体_GB2312" w:hAnsi="楷体_GB2312" w:eastAsia="楷体_GB2312" w:cs="楷体_GB2312"/>
      </w:rPr>
    </w:lvl>
  </w:abstractNum>
  <w:abstractNum w:abstractNumId="3">
    <w:nsid w:val="69667373"/>
    <w:multiLevelType w:val="singleLevel"/>
    <w:tmpl w:val="69667373"/>
    <w:lvl w:ilvl="0" w:tentative="0">
      <w:start w:val="1"/>
      <w:numFmt w:val="chineseCounting"/>
      <w:suff w:val="nothing"/>
      <w:lvlText w:val="（%1）"/>
      <w:lvlJc w:val="left"/>
    </w:lvl>
  </w:abstractNum>
  <w:abstractNum w:abstractNumId="4">
    <w:nsid w:val="69667A08"/>
    <w:multiLevelType w:val="singleLevel"/>
    <w:tmpl w:val="69667A08"/>
    <w:lvl w:ilvl="0" w:tentative="0">
      <w:start w:val="2"/>
      <w:numFmt w:val="chineseCounting"/>
      <w:suff w:val="nothing"/>
      <w:lvlText w:val="（%1）"/>
      <w:lvlJc w:val="left"/>
    </w:lvl>
  </w:abstractNum>
  <w:abstractNum w:abstractNumId="5">
    <w:nsid w:val="69688A17"/>
    <w:multiLevelType w:val="singleLevel"/>
    <w:tmpl w:val="69688A1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A4256"/>
    <w:rsid w:val="01FD3627"/>
    <w:rsid w:val="484A4E82"/>
    <w:rsid w:val="4FA6962F"/>
    <w:rsid w:val="704D4357"/>
    <w:rsid w:val="766A4256"/>
    <w:rsid w:val="EE6FA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rPr>
  </w:style>
  <w:style w:type="paragraph" w:styleId="3">
    <w:name w:val="endnote text"/>
    <w:basedOn w:val="1"/>
    <w:qFormat/>
    <w:uiPriority w:val="0"/>
    <w:pPr>
      <w:snapToGrid w:val="0"/>
      <w:jc w:val="left"/>
    </w:pPr>
  </w:style>
  <w:style w:type="paragraph" w:customStyle="1" w:styleId="6">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d0d08ebf-7521-464a-a424-77beabcf8b98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570CF0C</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701bc5ec-ac65-4ad1-9871-73c1cfc916d9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570CF0C</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b4473cb9-b8d1-43c2-a8d0-10afcaf0bcce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1331A64B</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b76fedc0-117e-46ad-bb8e-bc5d5c41ce03</errorID>
      <errorWord xmlns="http://schemas.wps.cn/vas-ai-hub/contract-review">确保将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确保</item>
      </candidateList>
      <explain xmlns="http://schemas.wps.cn/vas-ai-hub/contract-review">〈动〉确实地保持或保证：～交通畅通｜加强田间管理，～粮食丰收。</explain>
      <paraID xmlns="http://schemas.wps.cn/vas-ai-hub/contract-review">62332A6F</paraID>
      <start xmlns="http://schemas.wps.cn/vas-ai-hub/contract-review">105</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6182539c-c1aa-4113-a22b-283c40e4b25c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62332A6F</paraID>
      <start xmlns="http://schemas.wps.cn/vas-ai-hub/contract-review">137</start>
      <end xmlns="http://schemas.wps.cn/vas-ai-hub/contract-review">142</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5d1ef1a6-2ac8-47b5-8431-8b2ba0b59498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62332A6F</paraID>
      <start xmlns="http://schemas.wps.cn/vas-ai-hub/contract-review">237</start>
      <end xmlns="http://schemas.wps.cn/vas-ai-hub/contract-review">239</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7f65dc74-f653-46b8-a775-9a894397bcb2</errorID>
      <errorWord xmlns="http://schemas.wps.cn/vas-ai-hub/contract-review">去年</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在公文场景，请避免使用“去年”这种模糊表述。</explain>
      <paraID xmlns="http://schemas.wps.cn/vas-ai-hub/contract-review"> A594E5A</paraID>
      <start xmlns="http://schemas.wps.cn/vas-ai-hub/contract-review">130</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bd862548-392f-4840-a5aa-a86c8f9bd133</errorID>
      <errorWord xmlns="http://schemas.wps.cn/vas-ai-hub/contract-review">、共2</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共2</item>
      </candidateList>
      <explain xmlns="http://schemas.wps.cn/vas-ai-hub/contract-review"/>
      <paraID xmlns="http://schemas.wps.cn/vas-ai-hub/contract-review">6B341C25</paraID>
      <start xmlns="http://schemas.wps.cn/vas-ai-hub/contract-review">68</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fb966ebd-e01f-4d8f-93b4-15f6d7a04b79</errorID>
      <errorWord xmlns="http://schemas.wps.cn/vas-ai-hub/contract-review">融入到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融入</item>
      </candidateList>
      <explain xmlns="http://schemas.wps.cn/vas-ai-hub/contract-review"/>
      <paraID xmlns="http://schemas.wps.cn/vas-ai-hub/contract-review">48D1E801</paraID>
      <start xmlns="http://schemas.wps.cn/vas-ai-hub/contract-review">187</start>
      <end xmlns="http://schemas.wps.cn/vas-ai-hub/contract-review">190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2035159-afb0-4709-8528-8bfdcf8ec20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6882</Words>
  <Characters>7086</Characters>
  <Lines>0</Lines>
  <Paragraphs>0</Paragraphs>
  <TotalTime>3</TotalTime>
  <ScaleCrop>false</ScaleCrop>
  <LinksUpToDate>false</LinksUpToDate>
  <CharactersWithSpaces>7087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2026-01-15T22:23:00Z</dcterms:created>
  <dc:creator>彭晶晶</dc:creator>
  <cp:lastModifiedBy>user</cp:lastModifiedBy>
  <dcterms:modified xsi:type="dcterms:W3CDTF">2026-03-19T15:41:58Z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CE38D3D6674EC8874160BA69291CF686_42</vt:lpwstr>
  </property>
  <property fmtid="{D5CDD505-2E9C-101B-9397-08002B2CF9AE}" pid="4" name="KSOTemplateDocerSaveRecord">
    <vt:lpwstr>eyJoZGlkIjoiMGU3M2U2NzEwNTZmNTk2Mjk1MjBlYzY0MTM1MzM0YTUiLCJ1c2VySWQiOiI2Mzc1MDI3OTEifQ==</vt:lpwstr>
  </property>
</Properties>
</file>